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4B4A8">
      <w:pPr>
        <w:pStyle w:val="65"/>
        <w:ind w:firstLine="480"/>
        <w:rPr>
          <w:color w:val="000000" w:themeColor="text1"/>
          <w14:textFill>
            <w14:solidFill>
              <w14:schemeClr w14:val="tx1"/>
            </w14:solidFill>
          </w14:textFill>
        </w:rPr>
      </w:pPr>
    </w:p>
    <w:p w14:paraId="44434DB9">
      <w:pPr>
        <w:pStyle w:val="65"/>
        <w:ind w:firstLine="480"/>
        <w:rPr>
          <w:color w:val="000000" w:themeColor="text1"/>
          <w14:textFill>
            <w14:solidFill>
              <w14:schemeClr w14:val="tx1"/>
            </w14:solidFill>
          </w14:textFill>
        </w:rPr>
      </w:pPr>
    </w:p>
    <w:p w14:paraId="650990FD">
      <w:pPr>
        <w:pStyle w:val="65"/>
        <w:ind w:firstLine="480"/>
        <w:rPr>
          <w:color w:val="000000" w:themeColor="text1"/>
          <w14:textFill>
            <w14:solidFill>
              <w14:schemeClr w14:val="tx1"/>
            </w14:solidFill>
          </w14:textFill>
        </w:rPr>
      </w:pPr>
    </w:p>
    <w:p w14:paraId="3B0C317F">
      <w:pPr>
        <w:adjustRightInd w:val="0"/>
        <w:snapToGrid w:val="0"/>
        <w:jc w:val="center"/>
        <w:outlineLvl w:val="0"/>
        <w:rPr>
          <w:rFonts w:eastAsia="黑体"/>
          <w:bCs/>
          <w:color w:val="000000" w:themeColor="text1"/>
          <w:sz w:val="72"/>
          <w:szCs w:val="72"/>
          <w14:textFill>
            <w14:solidFill>
              <w14:schemeClr w14:val="tx1"/>
            </w14:solidFill>
          </w14:textFill>
        </w:rPr>
      </w:pPr>
      <w:r>
        <w:rPr>
          <w:rFonts w:eastAsia="黑体"/>
          <w:bCs/>
          <w:color w:val="000000" w:themeColor="text1"/>
          <w:sz w:val="72"/>
          <w:szCs w:val="72"/>
          <w14:textFill>
            <w14:solidFill>
              <w14:schemeClr w14:val="tx1"/>
            </w14:solidFill>
          </w14:textFill>
        </w:rPr>
        <w:t>建设项目环境影响报告表</w:t>
      </w:r>
    </w:p>
    <w:p w14:paraId="5DD3AB14">
      <w:pPr>
        <w:adjustRightInd w:val="0"/>
        <w:snapToGrid w:val="0"/>
        <w:spacing w:before="249" w:beforeLines="80"/>
        <w:jc w:val="center"/>
        <w:rPr>
          <w:bCs/>
          <w:color w:val="000000" w:themeColor="text1"/>
          <w:sz w:val="48"/>
          <w:szCs w:val="48"/>
          <w14:textFill>
            <w14:solidFill>
              <w14:schemeClr w14:val="tx1"/>
            </w14:solidFill>
          </w14:textFill>
        </w:rPr>
      </w:pPr>
      <w:r>
        <w:rPr>
          <w:bCs/>
          <w:color w:val="000000" w:themeColor="text1"/>
          <w:sz w:val="48"/>
          <w:szCs w:val="48"/>
          <w14:textFill>
            <w14:solidFill>
              <w14:schemeClr w14:val="tx1"/>
            </w14:solidFill>
          </w14:textFill>
        </w:rPr>
        <w:t>（污染影响类）</w:t>
      </w:r>
    </w:p>
    <w:p w14:paraId="1C570538">
      <w:pPr>
        <w:adjustRightInd w:val="0"/>
        <w:snapToGrid w:val="0"/>
        <w:spacing w:before="249" w:beforeLines="80"/>
        <w:rPr>
          <w:bCs/>
          <w:color w:val="000000" w:themeColor="text1"/>
          <w:sz w:val="30"/>
          <w:szCs w:val="30"/>
          <w14:textFill>
            <w14:solidFill>
              <w14:schemeClr w14:val="tx1"/>
            </w14:solidFill>
          </w14:textFill>
        </w:rPr>
      </w:pPr>
      <w:r>
        <w:rPr>
          <w:bCs/>
          <w:color w:val="000000" w:themeColor="text1"/>
          <w:sz w:val="30"/>
          <w:szCs w:val="30"/>
          <w14:textFill>
            <w14:solidFill>
              <w14:schemeClr w14:val="tx1"/>
            </w14:solidFill>
          </w14:textFill>
        </w:rPr>
        <w:t xml:space="preserve"> </w:t>
      </w:r>
    </w:p>
    <w:p w14:paraId="516FFED9">
      <w:pPr>
        <w:adjustRightInd w:val="0"/>
        <w:snapToGrid w:val="0"/>
        <w:spacing w:before="249" w:beforeLines="80"/>
        <w:rPr>
          <w:bCs/>
          <w:color w:val="000000" w:themeColor="text1"/>
          <w:sz w:val="30"/>
          <w:szCs w:val="30"/>
          <w14:textFill>
            <w14:solidFill>
              <w14:schemeClr w14:val="tx1"/>
            </w14:solidFill>
          </w14:textFill>
        </w:rPr>
      </w:pPr>
      <w:r>
        <w:rPr>
          <w:bCs/>
          <w:color w:val="000000" w:themeColor="text1"/>
          <w:sz w:val="30"/>
          <w:szCs w:val="30"/>
          <w14:textFill>
            <w14:solidFill>
              <w14:schemeClr w14:val="tx1"/>
            </w14:solidFill>
          </w14:textFill>
        </w:rPr>
        <w:t xml:space="preserve"> </w:t>
      </w:r>
    </w:p>
    <w:p w14:paraId="5090ABF0">
      <w:pPr>
        <w:adjustRightInd w:val="0"/>
        <w:snapToGrid w:val="0"/>
        <w:spacing w:before="249" w:beforeLines="80"/>
        <w:rPr>
          <w:bCs/>
          <w:color w:val="000000" w:themeColor="text1"/>
          <w:sz w:val="30"/>
          <w:szCs w:val="30"/>
          <w14:textFill>
            <w14:solidFill>
              <w14:schemeClr w14:val="tx1"/>
            </w14:solidFill>
          </w14:textFill>
        </w:rPr>
      </w:pPr>
      <w:r>
        <w:rPr>
          <w:bCs/>
          <w:color w:val="000000" w:themeColor="text1"/>
          <w:sz w:val="30"/>
          <w:szCs w:val="30"/>
          <w14:textFill>
            <w14:solidFill>
              <w14:schemeClr w14:val="tx1"/>
            </w14:solidFill>
          </w14:textFill>
        </w:rPr>
        <w:t xml:space="preserve"> </w:t>
      </w:r>
    </w:p>
    <w:p w14:paraId="5920FF9C">
      <w:pPr>
        <w:adjustRightInd w:val="0"/>
        <w:snapToGrid w:val="0"/>
        <w:spacing w:before="249" w:beforeLines="80"/>
        <w:rPr>
          <w:bCs/>
          <w:color w:val="000000" w:themeColor="text1"/>
          <w:sz w:val="30"/>
          <w:szCs w:val="30"/>
          <w14:textFill>
            <w14:solidFill>
              <w14:schemeClr w14:val="tx1"/>
            </w14:solidFill>
          </w14:textFill>
        </w:rPr>
      </w:pPr>
      <w:r>
        <w:rPr>
          <w:bCs/>
          <w:color w:val="000000" w:themeColor="text1"/>
          <w:sz w:val="30"/>
          <w:szCs w:val="30"/>
          <w14:textFill>
            <w14:solidFill>
              <w14:schemeClr w14:val="tx1"/>
            </w14:solidFill>
          </w14:textFill>
        </w:rPr>
        <w:t xml:space="preserve"> </w:t>
      </w:r>
    </w:p>
    <w:p w14:paraId="61FAF350">
      <w:pPr>
        <w:adjustRightInd w:val="0"/>
        <w:snapToGrid w:val="0"/>
        <w:spacing w:before="249" w:beforeLines="80"/>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 xml:space="preserve"> </w:t>
      </w:r>
    </w:p>
    <w:p w14:paraId="735536A0">
      <w:pPr>
        <w:adjustRightInd w:val="0"/>
        <w:snapToGrid w:val="0"/>
        <w:spacing w:before="249" w:beforeLines="80"/>
        <w:rPr>
          <w:bCs/>
          <w:color w:val="000000" w:themeColor="text1"/>
          <w:sz w:val="32"/>
          <w:szCs w:val="32"/>
          <w14:textFill>
            <w14:solidFill>
              <w14:schemeClr w14:val="tx1"/>
            </w14:solidFill>
          </w14:textFill>
        </w:rPr>
      </w:pPr>
    </w:p>
    <w:p w14:paraId="271D8DEA">
      <w:pPr>
        <w:adjustRightInd w:val="0"/>
        <w:snapToGrid w:val="0"/>
        <w:spacing w:before="249" w:beforeLines="80"/>
        <w:rPr>
          <w:bCs/>
          <w:color w:val="000000" w:themeColor="text1"/>
          <w:sz w:val="32"/>
          <w:szCs w:val="32"/>
          <w14:textFill>
            <w14:solidFill>
              <w14:schemeClr w14:val="tx1"/>
            </w14:solidFill>
          </w14:textFill>
        </w:rPr>
      </w:pPr>
    </w:p>
    <w:p w14:paraId="33DA122A">
      <w:pPr>
        <w:adjustRightInd w:val="0"/>
        <w:snapToGrid w:val="0"/>
        <w:spacing w:before="249" w:beforeLines="80"/>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 xml:space="preserve"> </w:t>
      </w:r>
    </w:p>
    <w:p w14:paraId="4FF7AC06">
      <w:pPr>
        <w:spacing w:line="360" w:lineRule="auto"/>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项目名称：</w:t>
      </w:r>
      <w:r>
        <w:rPr>
          <w:color w:val="000000" w:themeColor="text1"/>
          <w:sz w:val="36"/>
          <w:szCs w:val="36"/>
          <w:u w:val="single"/>
          <w14:textFill>
            <w14:solidFill>
              <w14:schemeClr w14:val="tx1"/>
            </w14:solidFill>
          </w14:textFill>
        </w:rPr>
        <w:t>朝阳县佳云奇金属材料有限公司固体</w:t>
      </w:r>
    </w:p>
    <w:p w14:paraId="6B8F490E">
      <w:pPr>
        <w:spacing w:line="360" w:lineRule="auto"/>
        <w:ind w:firstLine="1800" w:firstLineChars="500"/>
        <w:rPr>
          <w:color w:val="000000" w:themeColor="text1"/>
          <w:sz w:val="36"/>
          <w:szCs w:val="36"/>
          <w:u w:val="single"/>
          <w14:textFill>
            <w14:solidFill>
              <w14:schemeClr w14:val="tx1"/>
            </w14:solidFill>
          </w14:textFill>
        </w:rPr>
      </w:pPr>
      <w:r>
        <w:rPr>
          <w:color w:val="000000" w:themeColor="text1"/>
          <w:sz w:val="36"/>
          <w:szCs w:val="36"/>
          <w:u w:val="single"/>
          <w14:textFill>
            <w14:solidFill>
              <w14:schemeClr w14:val="tx1"/>
            </w14:solidFill>
          </w14:textFill>
        </w:rPr>
        <w:t>废物加工再利用项目</w:t>
      </w:r>
    </w:p>
    <w:p w14:paraId="72F286FC">
      <w:pPr>
        <w:adjustRightInd w:val="0"/>
        <w:snapToGrid w:val="0"/>
        <w:spacing w:line="360" w:lineRule="auto"/>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建设单位（盖章）：</w:t>
      </w:r>
      <w:r>
        <w:rPr>
          <w:color w:val="000000" w:themeColor="text1"/>
          <w:sz w:val="36"/>
          <w:szCs w:val="36"/>
          <w:u w:val="single"/>
          <w14:textFill>
            <w14:solidFill>
              <w14:schemeClr w14:val="tx1"/>
            </w14:solidFill>
          </w14:textFill>
        </w:rPr>
        <w:t>朝阳县佳云奇金属材料有限公司</w:t>
      </w:r>
    </w:p>
    <w:p w14:paraId="5D3156C6">
      <w:pPr>
        <w:adjustRightInd w:val="0"/>
        <w:snapToGrid w:val="0"/>
        <w:spacing w:line="360" w:lineRule="auto"/>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编制日期：</w:t>
      </w:r>
      <w:r>
        <w:rPr>
          <w:color w:val="000000" w:themeColor="text1"/>
          <w:sz w:val="36"/>
          <w:szCs w:val="36"/>
          <w:u w:val="single"/>
          <w14:textFill>
            <w14:solidFill>
              <w14:schemeClr w14:val="tx1"/>
            </w14:solidFill>
          </w14:textFill>
        </w:rPr>
        <w:t>2026年8月</w:t>
      </w:r>
    </w:p>
    <w:p w14:paraId="48DAD30E">
      <w:pPr>
        <w:rPr>
          <w:color w:val="000000" w:themeColor="text1"/>
          <w14:textFill>
            <w14:solidFill>
              <w14:schemeClr w14:val="tx1"/>
            </w14:solidFill>
          </w14:textFill>
        </w:rPr>
      </w:pPr>
    </w:p>
    <w:p w14:paraId="0DDF93DC">
      <w:pPr>
        <w:rPr>
          <w:color w:val="000000" w:themeColor="text1"/>
          <w14:textFill>
            <w14:solidFill>
              <w14:schemeClr w14:val="tx1"/>
            </w14:solidFill>
          </w14:textFill>
        </w:rPr>
      </w:pPr>
    </w:p>
    <w:p w14:paraId="5538153E">
      <w:pPr>
        <w:pStyle w:val="65"/>
        <w:ind w:firstLine="480"/>
        <w:rPr>
          <w:color w:val="000000" w:themeColor="text1"/>
          <w14:textFill>
            <w14:solidFill>
              <w14:schemeClr w14:val="tx1"/>
            </w14:solidFill>
          </w14:textFill>
        </w:rPr>
      </w:pPr>
    </w:p>
    <w:p w14:paraId="6393DFCF">
      <w:pPr>
        <w:pStyle w:val="65"/>
        <w:ind w:firstLine="480"/>
        <w:rPr>
          <w:color w:val="000000" w:themeColor="text1"/>
          <w14:textFill>
            <w14:solidFill>
              <w14:schemeClr w14:val="tx1"/>
            </w14:solidFill>
          </w14:textFill>
        </w:rPr>
      </w:pPr>
    </w:p>
    <w:p w14:paraId="3AFE04CE">
      <w:pPr>
        <w:pStyle w:val="65"/>
        <w:ind w:firstLine="480"/>
        <w:rPr>
          <w:color w:val="000000" w:themeColor="text1"/>
          <w14:textFill>
            <w14:solidFill>
              <w14:schemeClr w14:val="tx1"/>
            </w14:solidFill>
          </w14:textFill>
        </w:rPr>
      </w:pPr>
    </w:p>
    <w:p w14:paraId="3E0B2F4C">
      <w:pPr>
        <w:pStyle w:val="65"/>
        <w:ind w:firstLine="480"/>
        <w:rPr>
          <w:color w:val="000000" w:themeColor="text1"/>
          <w14:textFill>
            <w14:solidFill>
              <w14:schemeClr w14:val="tx1"/>
            </w14:solidFill>
          </w14:textFill>
        </w:rPr>
      </w:pPr>
    </w:p>
    <w:p w14:paraId="4E2255FE">
      <w:pPr>
        <w:pStyle w:val="65"/>
        <w:ind w:firstLine="480"/>
        <w:rPr>
          <w:color w:val="000000" w:themeColor="text1"/>
          <w14:textFill>
            <w14:solidFill>
              <w14:schemeClr w14:val="tx1"/>
            </w14:solidFill>
          </w14:textFill>
        </w:rPr>
      </w:pPr>
    </w:p>
    <w:p w14:paraId="1649D3E2">
      <w:pPr>
        <w:pStyle w:val="65"/>
        <w:ind w:firstLine="0" w:firstLineChars="0"/>
        <w:jc w:val="center"/>
        <w:rPr>
          <w:color w:val="000000" w:themeColor="text1"/>
          <w14:textFill>
            <w14:solidFill>
              <w14:schemeClr w14:val="tx1"/>
            </w14:solidFill>
          </w14:textFill>
        </w:rPr>
      </w:pPr>
      <w:r>
        <w:rPr>
          <w:color w:val="000000" w:themeColor="text1"/>
          <w:sz w:val="36"/>
          <w:szCs w:val="36"/>
          <w14:textFill>
            <w14:solidFill>
              <w14:schemeClr w14:val="tx1"/>
            </w14:solidFill>
          </w14:textFill>
        </w:rPr>
        <w:t>中华人民共和国生态环境部</w:t>
      </w:r>
    </w:p>
    <w:p w14:paraId="29523A14">
      <w:pPr>
        <w:pStyle w:val="65"/>
        <w:ind w:firstLine="480"/>
        <w:rPr>
          <w:color w:val="000000" w:themeColor="text1"/>
          <w14:textFill>
            <w14:solidFill>
              <w14:schemeClr w14:val="tx1"/>
            </w14:solidFill>
          </w14:textFill>
        </w:rPr>
      </w:pPr>
    </w:p>
    <w:p w14:paraId="528AD4DA">
      <w:pPr>
        <w:pStyle w:val="65"/>
        <w:ind w:firstLine="480"/>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331482E4">
      <w:pPr>
        <w:pStyle w:val="65"/>
        <w:spacing w:line="240" w:lineRule="auto"/>
        <w:ind w:firstLine="0" w:firstLineChars="0"/>
        <w:rPr>
          <w:color w:val="000000" w:themeColor="text1"/>
          <w14:textFill>
            <w14:solidFill>
              <w14:schemeClr w14:val="tx1"/>
            </w14:solidFill>
          </w14:textFill>
        </w:rPr>
      </w:pPr>
    </w:p>
    <w:p w14:paraId="07B893F7">
      <w:pPr>
        <w:pStyle w:val="32"/>
        <w:rPr>
          <w:rFonts w:ascii="Times New Roman" w:hAnsi="Times New Roman"/>
          <w:color w:val="000000" w:themeColor="text1"/>
          <w:vertAlign w:val="subscript"/>
          <w14:textFill>
            <w14:solidFill>
              <w14:schemeClr w14:val="tx1"/>
            </w14:solidFill>
          </w14:textFill>
        </w:rPr>
      </w:pPr>
      <w:r>
        <w:rPr>
          <w:rFonts w:ascii="Times New Roman" w:hAnsi="Times New Roman" w:eastAsia="宋体"/>
          <w:color w:val="000000" w:themeColor="text1"/>
          <w14:textFill>
            <w14:solidFill>
              <w14:schemeClr w14:val="tx1"/>
            </w14:solidFill>
          </w14:textFill>
        </w:rPr>
        <w:t>一、建设项目基本情况</w:t>
      </w:r>
    </w:p>
    <w:tbl>
      <w:tblPr>
        <w:tblStyle w:val="3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7"/>
        <w:gridCol w:w="2785"/>
        <w:gridCol w:w="1590"/>
        <w:gridCol w:w="2827"/>
      </w:tblGrid>
      <w:tr w14:paraId="4EF9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4F112E3E">
            <w:pPr>
              <w:pStyle w:val="129"/>
              <w:snapToGrid w:val="0"/>
              <w:jc w:val="center"/>
              <w:rPr>
                <w:rFonts w:eastAsiaTheme="minorEastAsia"/>
                <w:color w:val="auto"/>
                <w:sz w:val="24"/>
                <w:szCs w:val="24"/>
              </w:rPr>
            </w:pPr>
            <w:r>
              <w:rPr>
                <w:rFonts w:eastAsiaTheme="minorEastAsia"/>
                <w:color w:val="auto"/>
                <w:sz w:val="24"/>
                <w:szCs w:val="24"/>
              </w:rPr>
              <w:t>建设项目名称</w:t>
            </w:r>
          </w:p>
        </w:tc>
        <w:tc>
          <w:tcPr>
            <w:tcW w:w="7211" w:type="dxa"/>
            <w:gridSpan w:val="3"/>
            <w:tcBorders>
              <w:tl2br w:val="nil"/>
              <w:tr2bl w:val="nil"/>
            </w:tcBorders>
            <w:shd w:val="clear" w:color="auto" w:fill="auto"/>
            <w:vAlign w:val="center"/>
          </w:tcPr>
          <w:p w14:paraId="6127CD40">
            <w:pPr>
              <w:pStyle w:val="129"/>
              <w:snapToGrid w:val="0"/>
              <w:jc w:val="center"/>
              <w:rPr>
                <w:rFonts w:eastAsiaTheme="minorEastAsia"/>
                <w:color w:val="auto"/>
                <w:sz w:val="24"/>
                <w:szCs w:val="24"/>
              </w:rPr>
            </w:pPr>
            <w:r>
              <w:rPr>
                <w:rFonts w:eastAsiaTheme="minorEastAsia"/>
                <w:color w:val="auto"/>
                <w:sz w:val="24"/>
                <w:szCs w:val="24"/>
              </w:rPr>
              <w:t>朝阳县佳云奇金属材料有限公司固体废物加工再利用项目</w:t>
            </w:r>
          </w:p>
        </w:tc>
      </w:tr>
      <w:tr w14:paraId="24E5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64964607">
            <w:pPr>
              <w:pStyle w:val="129"/>
              <w:snapToGrid w:val="0"/>
              <w:jc w:val="center"/>
              <w:rPr>
                <w:rFonts w:eastAsiaTheme="minorEastAsia"/>
                <w:color w:val="auto"/>
                <w:sz w:val="24"/>
                <w:szCs w:val="24"/>
              </w:rPr>
            </w:pPr>
            <w:r>
              <w:rPr>
                <w:rFonts w:eastAsiaTheme="minorEastAsia"/>
                <w:color w:val="auto"/>
                <w:sz w:val="24"/>
                <w:szCs w:val="24"/>
              </w:rPr>
              <w:t>项目代码</w:t>
            </w:r>
          </w:p>
        </w:tc>
        <w:tc>
          <w:tcPr>
            <w:tcW w:w="7211" w:type="dxa"/>
            <w:gridSpan w:val="3"/>
            <w:tcBorders>
              <w:tl2br w:val="nil"/>
              <w:tr2bl w:val="nil"/>
            </w:tcBorders>
            <w:shd w:val="clear" w:color="auto" w:fill="auto"/>
            <w:vAlign w:val="center"/>
          </w:tcPr>
          <w:p w14:paraId="740953EE">
            <w:pPr>
              <w:pStyle w:val="129"/>
              <w:snapToGrid w:val="0"/>
              <w:jc w:val="center"/>
              <w:rPr>
                <w:rFonts w:eastAsiaTheme="minorEastAsia"/>
                <w:color w:val="auto"/>
                <w:sz w:val="24"/>
                <w:szCs w:val="24"/>
              </w:rPr>
            </w:pPr>
            <w:r>
              <w:rPr>
                <w:rFonts w:eastAsiaTheme="minorEastAsia"/>
                <w:color w:val="auto"/>
                <w:sz w:val="24"/>
                <w:szCs w:val="24"/>
              </w:rPr>
              <w:t>2510-211321-04-988214</w:t>
            </w:r>
          </w:p>
        </w:tc>
      </w:tr>
      <w:tr w14:paraId="21BC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1DEBAC7A">
            <w:pPr>
              <w:pStyle w:val="129"/>
              <w:snapToGrid w:val="0"/>
              <w:jc w:val="center"/>
              <w:rPr>
                <w:rFonts w:eastAsiaTheme="minorEastAsia"/>
                <w:color w:val="auto"/>
                <w:sz w:val="24"/>
                <w:szCs w:val="24"/>
              </w:rPr>
            </w:pPr>
            <w:r>
              <w:rPr>
                <w:rFonts w:eastAsiaTheme="minorEastAsia"/>
                <w:color w:val="auto"/>
                <w:sz w:val="24"/>
                <w:szCs w:val="24"/>
              </w:rPr>
              <w:t>建设单位联系人</w:t>
            </w:r>
          </w:p>
        </w:tc>
        <w:tc>
          <w:tcPr>
            <w:tcW w:w="2788" w:type="dxa"/>
            <w:tcBorders>
              <w:tl2br w:val="nil"/>
              <w:tr2bl w:val="nil"/>
            </w:tcBorders>
            <w:shd w:val="clear" w:color="auto" w:fill="auto"/>
            <w:vAlign w:val="center"/>
          </w:tcPr>
          <w:p w14:paraId="7544904B">
            <w:pPr>
              <w:pStyle w:val="129"/>
              <w:snapToGrid w:val="0"/>
              <w:jc w:val="center"/>
              <w:rPr>
                <w:rFonts w:eastAsiaTheme="minorEastAsia"/>
                <w:color w:val="auto"/>
                <w:sz w:val="24"/>
                <w:szCs w:val="24"/>
              </w:rPr>
            </w:pPr>
            <w:r>
              <w:rPr>
                <w:rFonts w:eastAsiaTheme="minorEastAsia"/>
                <w:color w:val="auto"/>
                <w:sz w:val="24"/>
                <w:szCs w:val="24"/>
              </w:rPr>
              <w:t>张玉敏</w:t>
            </w:r>
          </w:p>
        </w:tc>
        <w:tc>
          <w:tcPr>
            <w:tcW w:w="1592" w:type="dxa"/>
            <w:tcBorders>
              <w:tl2br w:val="nil"/>
              <w:tr2bl w:val="nil"/>
            </w:tcBorders>
            <w:shd w:val="clear" w:color="auto" w:fill="auto"/>
            <w:vAlign w:val="center"/>
          </w:tcPr>
          <w:p w14:paraId="6260947D">
            <w:pPr>
              <w:pStyle w:val="129"/>
              <w:snapToGrid w:val="0"/>
              <w:jc w:val="center"/>
              <w:rPr>
                <w:rFonts w:eastAsiaTheme="minorEastAsia"/>
                <w:color w:val="auto"/>
                <w:sz w:val="24"/>
                <w:szCs w:val="24"/>
              </w:rPr>
            </w:pPr>
            <w:r>
              <w:rPr>
                <w:rFonts w:eastAsiaTheme="minorEastAsia"/>
                <w:color w:val="auto"/>
                <w:sz w:val="24"/>
                <w:szCs w:val="24"/>
              </w:rPr>
              <w:t>联系方式</w:t>
            </w:r>
          </w:p>
        </w:tc>
        <w:tc>
          <w:tcPr>
            <w:tcW w:w="2831" w:type="dxa"/>
            <w:tcBorders>
              <w:tl2br w:val="nil"/>
              <w:tr2bl w:val="nil"/>
            </w:tcBorders>
            <w:shd w:val="clear" w:color="auto" w:fill="auto"/>
            <w:vAlign w:val="center"/>
          </w:tcPr>
          <w:p w14:paraId="2E2D7A5E">
            <w:pPr>
              <w:pStyle w:val="129"/>
              <w:snapToGrid w:val="0"/>
              <w:jc w:val="center"/>
              <w:rPr>
                <w:rFonts w:eastAsiaTheme="minorEastAsia"/>
                <w:color w:val="auto"/>
                <w:sz w:val="24"/>
                <w:szCs w:val="24"/>
              </w:rPr>
            </w:pPr>
            <w:r>
              <w:rPr>
                <w:rFonts w:eastAsiaTheme="minorEastAsia"/>
                <w:color w:val="auto"/>
                <w:sz w:val="24"/>
                <w:szCs w:val="24"/>
              </w:rPr>
              <w:t>13904214466</w:t>
            </w:r>
          </w:p>
        </w:tc>
      </w:tr>
      <w:tr w14:paraId="54F2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4EA6B3CC">
            <w:pPr>
              <w:pStyle w:val="129"/>
              <w:snapToGrid w:val="0"/>
              <w:jc w:val="center"/>
              <w:rPr>
                <w:rFonts w:eastAsiaTheme="minorEastAsia"/>
                <w:color w:val="auto"/>
                <w:sz w:val="24"/>
                <w:szCs w:val="24"/>
              </w:rPr>
            </w:pPr>
            <w:r>
              <w:rPr>
                <w:rFonts w:eastAsiaTheme="minorEastAsia"/>
                <w:color w:val="auto"/>
                <w:sz w:val="24"/>
                <w:szCs w:val="24"/>
              </w:rPr>
              <w:t>建设地点</w:t>
            </w:r>
          </w:p>
        </w:tc>
        <w:tc>
          <w:tcPr>
            <w:tcW w:w="7211" w:type="dxa"/>
            <w:gridSpan w:val="3"/>
            <w:tcBorders>
              <w:tl2br w:val="nil"/>
              <w:tr2bl w:val="nil"/>
            </w:tcBorders>
            <w:shd w:val="clear" w:color="auto" w:fill="auto"/>
            <w:vAlign w:val="center"/>
          </w:tcPr>
          <w:p w14:paraId="6C4C7378">
            <w:pPr>
              <w:pStyle w:val="129"/>
              <w:snapToGrid w:val="0"/>
              <w:jc w:val="center"/>
              <w:rPr>
                <w:rFonts w:eastAsiaTheme="minorEastAsia"/>
                <w:color w:val="auto"/>
                <w:sz w:val="24"/>
                <w:szCs w:val="24"/>
              </w:rPr>
            </w:pPr>
            <w:r>
              <w:rPr>
                <w:rFonts w:eastAsiaTheme="minorEastAsia"/>
                <w:color w:val="auto"/>
                <w:sz w:val="24"/>
                <w:szCs w:val="24"/>
              </w:rPr>
              <w:t>辽宁省朝阳市朝阳县瓦房子镇上三家子村</w:t>
            </w:r>
          </w:p>
          <w:p w14:paraId="4BF6C50B">
            <w:pPr>
              <w:pStyle w:val="129"/>
              <w:snapToGrid w:val="0"/>
              <w:jc w:val="center"/>
              <w:rPr>
                <w:rFonts w:eastAsiaTheme="minorEastAsia"/>
                <w:color w:val="auto"/>
                <w:sz w:val="24"/>
                <w:szCs w:val="24"/>
              </w:rPr>
            </w:pPr>
            <w:r>
              <w:rPr>
                <w:rFonts w:eastAsiaTheme="minorEastAsia"/>
                <w:color w:val="auto"/>
                <w:sz w:val="24"/>
                <w:szCs w:val="24"/>
              </w:rPr>
              <w:t>（朝阳县瓦房子镇工业园区朝阳县瓦房子镇宏兴锰矿厂区内）</w:t>
            </w:r>
          </w:p>
        </w:tc>
      </w:tr>
      <w:tr w14:paraId="16CE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66DB63A2">
            <w:pPr>
              <w:pStyle w:val="129"/>
              <w:snapToGrid w:val="0"/>
              <w:jc w:val="center"/>
              <w:rPr>
                <w:rFonts w:eastAsiaTheme="minorEastAsia"/>
                <w:color w:val="auto"/>
                <w:sz w:val="24"/>
                <w:szCs w:val="24"/>
              </w:rPr>
            </w:pPr>
            <w:r>
              <w:rPr>
                <w:rFonts w:eastAsiaTheme="minorEastAsia"/>
                <w:color w:val="auto"/>
                <w:sz w:val="24"/>
                <w:szCs w:val="24"/>
              </w:rPr>
              <w:t>地理坐标</w:t>
            </w:r>
          </w:p>
        </w:tc>
        <w:tc>
          <w:tcPr>
            <w:tcW w:w="7211" w:type="dxa"/>
            <w:gridSpan w:val="3"/>
            <w:tcBorders>
              <w:tl2br w:val="nil"/>
              <w:tr2bl w:val="nil"/>
            </w:tcBorders>
            <w:shd w:val="clear" w:color="auto" w:fill="auto"/>
            <w:vAlign w:val="center"/>
          </w:tcPr>
          <w:p w14:paraId="098A3990">
            <w:pPr>
              <w:pStyle w:val="129"/>
              <w:snapToGrid w:val="0"/>
              <w:jc w:val="center"/>
              <w:rPr>
                <w:rFonts w:eastAsiaTheme="minorEastAsia"/>
                <w:color w:val="auto"/>
                <w:sz w:val="24"/>
                <w:szCs w:val="24"/>
              </w:rPr>
            </w:pPr>
            <w:r>
              <w:rPr>
                <w:rFonts w:eastAsiaTheme="minorEastAsia"/>
                <w:color w:val="auto"/>
                <w:sz w:val="24"/>
                <w:szCs w:val="24"/>
              </w:rPr>
              <w:t>（东经：</w:t>
            </w:r>
            <w:r>
              <w:rPr>
                <w:rFonts w:eastAsiaTheme="minorEastAsia"/>
                <w:color w:val="auto"/>
                <w:sz w:val="24"/>
                <w:szCs w:val="24"/>
                <w:u w:val="single"/>
              </w:rPr>
              <w:t>120</w:t>
            </w:r>
            <w:r>
              <w:rPr>
                <w:rFonts w:eastAsiaTheme="minorEastAsia"/>
                <w:color w:val="auto"/>
                <w:sz w:val="24"/>
                <w:szCs w:val="24"/>
              </w:rPr>
              <w:t>度</w:t>
            </w:r>
            <w:r>
              <w:rPr>
                <w:rFonts w:eastAsiaTheme="minorEastAsia"/>
                <w:color w:val="auto"/>
                <w:sz w:val="24"/>
                <w:szCs w:val="24"/>
                <w:u w:val="single"/>
              </w:rPr>
              <w:t>8</w:t>
            </w:r>
            <w:r>
              <w:rPr>
                <w:rFonts w:eastAsiaTheme="minorEastAsia"/>
                <w:color w:val="auto"/>
                <w:sz w:val="24"/>
                <w:szCs w:val="24"/>
              </w:rPr>
              <w:t>分</w:t>
            </w:r>
            <w:r>
              <w:rPr>
                <w:rFonts w:eastAsiaTheme="minorEastAsia"/>
                <w:color w:val="auto"/>
                <w:sz w:val="24"/>
                <w:szCs w:val="24"/>
                <w:u w:val="single"/>
              </w:rPr>
              <w:t>48.593</w:t>
            </w:r>
            <w:r>
              <w:rPr>
                <w:rFonts w:eastAsiaTheme="minorEastAsia"/>
                <w:color w:val="auto"/>
                <w:sz w:val="24"/>
                <w:szCs w:val="24"/>
              </w:rPr>
              <w:t>秒，北纬：</w:t>
            </w:r>
            <w:r>
              <w:rPr>
                <w:rFonts w:eastAsiaTheme="minorEastAsia"/>
                <w:color w:val="auto"/>
                <w:sz w:val="24"/>
                <w:szCs w:val="24"/>
                <w:u w:val="single"/>
              </w:rPr>
              <w:t>41</w:t>
            </w:r>
            <w:r>
              <w:rPr>
                <w:rFonts w:eastAsiaTheme="minorEastAsia"/>
                <w:color w:val="auto"/>
                <w:sz w:val="24"/>
                <w:szCs w:val="24"/>
              </w:rPr>
              <w:t>度</w:t>
            </w:r>
            <w:r>
              <w:rPr>
                <w:rFonts w:eastAsiaTheme="minorEastAsia"/>
                <w:color w:val="auto"/>
                <w:sz w:val="24"/>
                <w:szCs w:val="24"/>
                <w:u w:val="single"/>
              </w:rPr>
              <w:t>5</w:t>
            </w:r>
            <w:r>
              <w:rPr>
                <w:rFonts w:eastAsiaTheme="minorEastAsia"/>
                <w:color w:val="auto"/>
                <w:sz w:val="24"/>
                <w:szCs w:val="24"/>
              </w:rPr>
              <w:t>分</w:t>
            </w:r>
            <w:r>
              <w:rPr>
                <w:rFonts w:eastAsiaTheme="minorEastAsia"/>
                <w:color w:val="auto"/>
                <w:sz w:val="24"/>
                <w:szCs w:val="24"/>
                <w:u w:val="single"/>
              </w:rPr>
              <w:t>23.65</w:t>
            </w:r>
            <w:r>
              <w:rPr>
                <w:rFonts w:eastAsiaTheme="minorEastAsia"/>
                <w:color w:val="auto"/>
                <w:sz w:val="24"/>
                <w:szCs w:val="24"/>
              </w:rPr>
              <w:t>秒）</w:t>
            </w:r>
          </w:p>
        </w:tc>
      </w:tr>
      <w:tr w14:paraId="2172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3" w:hRule="atLeast"/>
        </w:trPr>
        <w:tc>
          <w:tcPr>
            <w:tcW w:w="1088" w:type="dxa"/>
            <w:tcBorders>
              <w:tl2br w:val="nil"/>
              <w:tr2bl w:val="nil"/>
            </w:tcBorders>
            <w:shd w:val="clear" w:color="auto" w:fill="auto"/>
            <w:tcMar>
              <w:top w:w="16" w:type="dxa"/>
              <w:left w:w="16" w:type="dxa"/>
              <w:bottom w:w="0" w:type="dxa"/>
              <w:right w:w="16" w:type="dxa"/>
            </w:tcMar>
            <w:vAlign w:val="center"/>
          </w:tcPr>
          <w:p w14:paraId="1D20CA6E">
            <w:pPr>
              <w:pStyle w:val="129"/>
              <w:snapToGrid w:val="0"/>
              <w:jc w:val="center"/>
              <w:rPr>
                <w:rFonts w:eastAsiaTheme="minorEastAsia"/>
                <w:color w:val="auto"/>
                <w:sz w:val="24"/>
                <w:szCs w:val="24"/>
              </w:rPr>
            </w:pPr>
            <w:r>
              <w:rPr>
                <w:rFonts w:eastAsiaTheme="minorEastAsia"/>
                <w:color w:val="auto"/>
                <w:sz w:val="24"/>
                <w:szCs w:val="24"/>
              </w:rPr>
              <w:t>国民经济</w:t>
            </w:r>
          </w:p>
          <w:p w14:paraId="0E0295B6">
            <w:pPr>
              <w:pStyle w:val="129"/>
              <w:snapToGrid w:val="0"/>
              <w:jc w:val="center"/>
              <w:rPr>
                <w:rFonts w:eastAsiaTheme="minorEastAsia"/>
                <w:color w:val="auto"/>
                <w:sz w:val="24"/>
                <w:szCs w:val="24"/>
              </w:rPr>
            </w:pPr>
            <w:r>
              <w:rPr>
                <w:rFonts w:eastAsiaTheme="minorEastAsia"/>
                <w:color w:val="auto"/>
                <w:sz w:val="24"/>
                <w:szCs w:val="24"/>
              </w:rPr>
              <w:t>行业类别</w:t>
            </w:r>
          </w:p>
        </w:tc>
        <w:tc>
          <w:tcPr>
            <w:tcW w:w="2788" w:type="dxa"/>
            <w:tcBorders>
              <w:tl2br w:val="nil"/>
              <w:tr2bl w:val="nil"/>
            </w:tcBorders>
            <w:shd w:val="clear" w:color="auto" w:fill="auto"/>
            <w:vAlign w:val="center"/>
          </w:tcPr>
          <w:p w14:paraId="14361FFE">
            <w:pPr>
              <w:pStyle w:val="129"/>
              <w:snapToGrid w:val="0"/>
              <w:jc w:val="center"/>
              <w:rPr>
                <w:rFonts w:eastAsiaTheme="minorEastAsia"/>
                <w:color w:val="auto"/>
                <w:sz w:val="24"/>
                <w:szCs w:val="24"/>
              </w:rPr>
            </w:pPr>
            <w:r>
              <w:rPr>
                <w:rFonts w:eastAsiaTheme="minorEastAsia"/>
                <w:color w:val="auto"/>
                <w:sz w:val="24"/>
                <w:szCs w:val="24"/>
              </w:rPr>
              <w:t>B4210金属废料和碎屑加工处理</w:t>
            </w:r>
          </w:p>
        </w:tc>
        <w:tc>
          <w:tcPr>
            <w:tcW w:w="1592" w:type="dxa"/>
            <w:tcBorders>
              <w:tl2br w:val="nil"/>
              <w:tr2bl w:val="nil"/>
            </w:tcBorders>
            <w:shd w:val="clear" w:color="auto" w:fill="auto"/>
            <w:vAlign w:val="center"/>
          </w:tcPr>
          <w:p w14:paraId="7B760193">
            <w:pPr>
              <w:pStyle w:val="129"/>
              <w:snapToGrid w:val="0"/>
              <w:jc w:val="center"/>
              <w:rPr>
                <w:rFonts w:eastAsiaTheme="minorEastAsia"/>
                <w:color w:val="auto"/>
                <w:sz w:val="24"/>
                <w:szCs w:val="24"/>
              </w:rPr>
            </w:pPr>
            <w:bookmarkStart w:id="0" w:name="_Hlk49843745"/>
            <w:r>
              <w:rPr>
                <w:rFonts w:eastAsiaTheme="minorEastAsia"/>
                <w:color w:val="auto"/>
                <w:sz w:val="24"/>
                <w:szCs w:val="24"/>
              </w:rPr>
              <w:t>建设项目</w:t>
            </w:r>
            <w:bookmarkEnd w:id="0"/>
          </w:p>
          <w:p w14:paraId="79276E58">
            <w:pPr>
              <w:pStyle w:val="129"/>
              <w:snapToGrid w:val="0"/>
              <w:jc w:val="center"/>
              <w:rPr>
                <w:rFonts w:eastAsiaTheme="minorEastAsia"/>
                <w:color w:val="auto"/>
                <w:sz w:val="24"/>
                <w:szCs w:val="24"/>
              </w:rPr>
            </w:pPr>
            <w:r>
              <w:rPr>
                <w:rFonts w:eastAsiaTheme="minorEastAsia"/>
                <w:color w:val="auto"/>
                <w:sz w:val="24"/>
                <w:szCs w:val="24"/>
              </w:rPr>
              <w:t>行业类别</w:t>
            </w:r>
          </w:p>
        </w:tc>
        <w:tc>
          <w:tcPr>
            <w:tcW w:w="2831" w:type="dxa"/>
            <w:tcBorders>
              <w:tl2br w:val="nil"/>
              <w:tr2bl w:val="nil"/>
            </w:tcBorders>
            <w:shd w:val="clear" w:color="auto" w:fill="auto"/>
            <w:vAlign w:val="center"/>
          </w:tcPr>
          <w:p w14:paraId="78C10F3D">
            <w:pPr>
              <w:pStyle w:val="129"/>
              <w:snapToGrid w:val="0"/>
              <w:jc w:val="center"/>
              <w:rPr>
                <w:rFonts w:eastAsiaTheme="minorEastAsia"/>
                <w:color w:val="auto"/>
                <w:sz w:val="24"/>
                <w:szCs w:val="24"/>
              </w:rPr>
            </w:pPr>
            <w:r>
              <w:rPr>
                <w:rFonts w:eastAsiaTheme="minorEastAsia"/>
                <w:color w:val="auto"/>
                <w:sz w:val="24"/>
                <w:szCs w:val="24"/>
              </w:rPr>
              <w:t>三十、废旧资源（含生物质）加工、再生利用</w:t>
            </w:r>
          </w:p>
        </w:tc>
      </w:tr>
      <w:tr w14:paraId="35FA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trPr>
        <w:tc>
          <w:tcPr>
            <w:tcW w:w="1088" w:type="dxa"/>
            <w:tcBorders>
              <w:tl2br w:val="nil"/>
              <w:tr2bl w:val="nil"/>
            </w:tcBorders>
            <w:shd w:val="clear" w:color="auto" w:fill="auto"/>
            <w:tcMar>
              <w:top w:w="16" w:type="dxa"/>
              <w:left w:w="16" w:type="dxa"/>
              <w:bottom w:w="0" w:type="dxa"/>
              <w:right w:w="16" w:type="dxa"/>
            </w:tcMar>
            <w:vAlign w:val="center"/>
          </w:tcPr>
          <w:p w14:paraId="45564ED3">
            <w:pPr>
              <w:pStyle w:val="129"/>
              <w:snapToGrid w:val="0"/>
              <w:jc w:val="center"/>
              <w:rPr>
                <w:rFonts w:eastAsiaTheme="minorEastAsia"/>
                <w:color w:val="auto"/>
                <w:sz w:val="24"/>
                <w:szCs w:val="24"/>
              </w:rPr>
            </w:pPr>
            <w:r>
              <w:rPr>
                <w:rFonts w:eastAsiaTheme="minorEastAsia"/>
                <w:color w:val="auto"/>
                <w:sz w:val="24"/>
                <w:szCs w:val="24"/>
              </w:rPr>
              <w:t>建设性质</w:t>
            </w:r>
          </w:p>
        </w:tc>
        <w:tc>
          <w:tcPr>
            <w:tcW w:w="2788" w:type="dxa"/>
            <w:tcBorders>
              <w:tl2br w:val="nil"/>
              <w:tr2bl w:val="nil"/>
            </w:tcBorders>
            <w:shd w:val="clear" w:color="auto" w:fill="auto"/>
            <w:vAlign w:val="center"/>
          </w:tcPr>
          <w:p w14:paraId="1B1AC62D">
            <w:pPr>
              <w:pStyle w:val="129"/>
              <w:snapToGrid w:val="0"/>
              <w:ind w:left="105" w:leftChars="50" w:right="105" w:rightChars="50"/>
              <w:rPr>
                <w:rFonts w:eastAsiaTheme="minorEastAsia"/>
                <w:color w:val="auto"/>
                <w:sz w:val="24"/>
                <w:szCs w:val="24"/>
              </w:rPr>
            </w:pPr>
            <w:r>
              <w:rPr>
                <w:rFonts w:ascii="Segoe UI Emoji" w:hAnsi="Segoe UI Emoji" w:cs="Segoe UI Emoji" w:eastAsiaTheme="minorEastAsia"/>
                <w:color w:val="auto"/>
                <w:sz w:val="24"/>
                <w:szCs w:val="24"/>
              </w:rPr>
              <w:t>☑</w:t>
            </w:r>
            <w:r>
              <w:rPr>
                <w:rFonts w:eastAsiaTheme="minorEastAsia"/>
                <w:color w:val="auto"/>
                <w:sz w:val="24"/>
                <w:szCs w:val="24"/>
              </w:rPr>
              <w:t>新建（迁建）</w:t>
            </w:r>
          </w:p>
          <w:p w14:paraId="6D3177CC">
            <w:pPr>
              <w:pStyle w:val="129"/>
              <w:snapToGrid w:val="0"/>
              <w:ind w:left="105" w:leftChars="50" w:right="105" w:rightChars="50"/>
              <w:rPr>
                <w:rFonts w:eastAsiaTheme="minorEastAsia"/>
                <w:color w:val="auto"/>
                <w:sz w:val="24"/>
                <w:szCs w:val="24"/>
              </w:rPr>
            </w:pPr>
            <w:r>
              <w:rPr>
                <w:rFonts w:eastAsiaTheme="minorEastAsia"/>
                <w:color w:val="auto"/>
                <w:sz w:val="24"/>
                <w:szCs w:val="24"/>
              </w:rPr>
              <w:t>□改建</w:t>
            </w:r>
          </w:p>
          <w:p w14:paraId="1DCDC9F1">
            <w:pPr>
              <w:pStyle w:val="129"/>
              <w:snapToGrid w:val="0"/>
              <w:ind w:left="105" w:leftChars="50" w:right="105" w:rightChars="50"/>
              <w:rPr>
                <w:rFonts w:eastAsiaTheme="minorEastAsia"/>
                <w:color w:val="auto"/>
                <w:sz w:val="24"/>
                <w:szCs w:val="24"/>
              </w:rPr>
            </w:pPr>
            <w:r>
              <w:rPr>
                <w:rFonts w:eastAsiaTheme="minorEastAsia"/>
                <w:color w:val="auto"/>
                <w:sz w:val="24"/>
                <w:szCs w:val="24"/>
              </w:rPr>
              <w:t>□扩建</w:t>
            </w:r>
          </w:p>
          <w:p w14:paraId="7AC8EDB3">
            <w:pPr>
              <w:pStyle w:val="129"/>
              <w:snapToGrid w:val="0"/>
              <w:ind w:left="105" w:leftChars="50" w:right="105" w:rightChars="50"/>
              <w:rPr>
                <w:rFonts w:eastAsiaTheme="minorEastAsia"/>
                <w:color w:val="auto"/>
                <w:sz w:val="24"/>
                <w:szCs w:val="24"/>
              </w:rPr>
            </w:pPr>
            <w:r>
              <w:rPr>
                <w:rFonts w:eastAsiaTheme="minorEastAsia"/>
                <w:color w:val="auto"/>
                <w:sz w:val="24"/>
                <w:szCs w:val="24"/>
              </w:rPr>
              <w:t>□技术改造</w:t>
            </w:r>
          </w:p>
        </w:tc>
        <w:tc>
          <w:tcPr>
            <w:tcW w:w="1592" w:type="dxa"/>
            <w:tcBorders>
              <w:tl2br w:val="nil"/>
              <w:tr2bl w:val="nil"/>
            </w:tcBorders>
            <w:shd w:val="clear" w:color="auto" w:fill="auto"/>
            <w:vAlign w:val="center"/>
          </w:tcPr>
          <w:p w14:paraId="0953F35A">
            <w:pPr>
              <w:pStyle w:val="129"/>
              <w:snapToGrid w:val="0"/>
              <w:jc w:val="center"/>
              <w:rPr>
                <w:rFonts w:eastAsiaTheme="minorEastAsia"/>
                <w:color w:val="auto"/>
                <w:sz w:val="24"/>
                <w:szCs w:val="24"/>
              </w:rPr>
            </w:pPr>
            <w:r>
              <w:rPr>
                <w:rFonts w:eastAsiaTheme="minorEastAsia"/>
                <w:color w:val="auto"/>
                <w:sz w:val="24"/>
                <w:szCs w:val="24"/>
              </w:rPr>
              <w:t>建设项目</w:t>
            </w:r>
          </w:p>
          <w:p w14:paraId="74AB78F7">
            <w:pPr>
              <w:pStyle w:val="129"/>
              <w:snapToGrid w:val="0"/>
              <w:jc w:val="center"/>
              <w:rPr>
                <w:rFonts w:eastAsiaTheme="minorEastAsia"/>
                <w:color w:val="auto"/>
                <w:sz w:val="24"/>
                <w:szCs w:val="24"/>
              </w:rPr>
            </w:pPr>
            <w:r>
              <w:rPr>
                <w:rFonts w:eastAsiaTheme="minorEastAsia"/>
                <w:color w:val="auto"/>
                <w:sz w:val="24"/>
                <w:szCs w:val="24"/>
              </w:rPr>
              <w:t>申报情形</w:t>
            </w:r>
          </w:p>
        </w:tc>
        <w:tc>
          <w:tcPr>
            <w:tcW w:w="2831" w:type="dxa"/>
            <w:tcBorders>
              <w:tl2br w:val="nil"/>
              <w:tr2bl w:val="nil"/>
            </w:tcBorders>
            <w:shd w:val="clear" w:color="auto" w:fill="auto"/>
            <w:vAlign w:val="center"/>
          </w:tcPr>
          <w:p w14:paraId="714CA18D">
            <w:pPr>
              <w:pStyle w:val="129"/>
              <w:snapToGrid w:val="0"/>
              <w:ind w:left="105" w:leftChars="50" w:right="105" w:rightChars="50"/>
              <w:rPr>
                <w:rFonts w:eastAsiaTheme="minorEastAsia"/>
                <w:color w:val="auto"/>
                <w:sz w:val="24"/>
                <w:szCs w:val="24"/>
              </w:rPr>
            </w:pPr>
            <w:r>
              <w:rPr>
                <w:rFonts w:ascii="Segoe UI Emoji" w:hAnsi="Segoe UI Emoji" w:cs="Segoe UI Emoji" w:eastAsiaTheme="minorEastAsia"/>
                <w:color w:val="auto"/>
                <w:sz w:val="24"/>
                <w:szCs w:val="24"/>
              </w:rPr>
              <w:t>☑</w:t>
            </w:r>
            <w:r>
              <w:rPr>
                <w:rFonts w:eastAsiaTheme="minorEastAsia"/>
                <w:color w:val="auto"/>
                <w:sz w:val="24"/>
                <w:szCs w:val="24"/>
              </w:rPr>
              <w:t>首次申报项目</w:t>
            </w:r>
          </w:p>
          <w:p w14:paraId="23DE87F3">
            <w:pPr>
              <w:pStyle w:val="129"/>
              <w:snapToGrid w:val="0"/>
              <w:ind w:left="105" w:leftChars="50" w:right="105" w:rightChars="50"/>
              <w:rPr>
                <w:rFonts w:eastAsiaTheme="minorEastAsia"/>
                <w:color w:val="auto"/>
                <w:sz w:val="24"/>
                <w:szCs w:val="24"/>
              </w:rPr>
            </w:pPr>
            <w:r>
              <w:rPr>
                <w:rFonts w:eastAsiaTheme="minorEastAsia"/>
                <w:color w:val="auto"/>
                <w:sz w:val="24"/>
                <w:szCs w:val="24"/>
              </w:rPr>
              <w:t>□不予批准后再次申报项目</w:t>
            </w:r>
          </w:p>
          <w:p w14:paraId="2B123425">
            <w:pPr>
              <w:pStyle w:val="129"/>
              <w:snapToGrid w:val="0"/>
              <w:ind w:left="105" w:leftChars="50" w:right="105" w:rightChars="50"/>
              <w:rPr>
                <w:rFonts w:eastAsiaTheme="minorEastAsia"/>
                <w:color w:val="auto"/>
                <w:sz w:val="24"/>
                <w:szCs w:val="24"/>
              </w:rPr>
            </w:pPr>
            <w:r>
              <w:rPr>
                <w:rFonts w:eastAsiaTheme="minorEastAsia"/>
                <w:color w:val="auto"/>
                <w:sz w:val="24"/>
                <w:szCs w:val="24"/>
              </w:rPr>
              <w:t>□超五年重新审核项目</w:t>
            </w:r>
          </w:p>
          <w:p w14:paraId="74673220">
            <w:pPr>
              <w:pStyle w:val="129"/>
              <w:snapToGrid w:val="0"/>
              <w:ind w:left="105" w:leftChars="50" w:right="105" w:rightChars="50"/>
              <w:rPr>
                <w:rFonts w:eastAsiaTheme="minorEastAsia"/>
                <w:color w:val="auto"/>
                <w:sz w:val="24"/>
                <w:szCs w:val="24"/>
              </w:rPr>
            </w:pPr>
            <w:r>
              <w:rPr>
                <w:rFonts w:eastAsiaTheme="minorEastAsia"/>
                <w:color w:val="auto"/>
                <w:sz w:val="24"/>
                <w:szCs w:val="24"/>
              </w:rPr>
              <w:t>□重大变动重新报批项目</w:t>
            </w:r>
          </w:p>
        </w:tc>
      </w:tr>
      <w:tr w14:paraId="5E70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1088" w:type="dxa"/>
            <w:tcBorders>
              <w:tl2br w:val="nil"/>
              <w:tr2bl w:val="nil"/>
            </w:tcBorders>
            <w:shd w:val="clear" w:color="auto" w:fill="auto"/>
            <w:tcMar>
              <w:top w:w="16" w:type="dxa"/>
              <w:left w:w="16" w:type="dxa"/>
              <w:bottom w:w="0" w:type="dxa"/>
              <w:right w:w="16" w:type="dxa"/>
            </w:tcMar>
            <w:vAlign w:val="center"/>
          </w:tcPr>
          <w:p w14:paraId="75C16E43">
            <w:pPr>
              <w:pStyle w:val="129"/>
              <w:snapToGrid w:val="0"/>
              <w:jc w:val="center"/>
              <w:rPr>
                <w:rFonts w:eastAsiaTheme="minorEastAsia"/>
                <w:color w:val="auto"/>
                <w:sz w:val="24"/>
                <w:szCs w:val="24"/>
              </w:rPr>
            </w:pPr>
            <w:r>
              <w:rPr>
                <w:rFonts w:eastAsiaTheme="minorEastAsia"/>
                <w:color w:val="auto"/>
                <w:sz w:val="24"/>
                <w:szCs w:val="24"/>
              </w:rPr>
              <w:t>项目审批（核准/备案）部门</w:t>
            </w:r>
          </w:p>
        </w:tc>
        <w:tc>
          <w:tcPr>
            <w:tcW w:w="2788" w:type="dxa"/>
            <w:tcBorders>
              <w:tl2br w:val="nil"/>
              <w:tr2bl w:val="nil"/>
            </w:tcBorders>
            <w:shd w:val="clear" w:color="auto" w:fill="auto"/>
            <w:vAlign w:val="center"/>
          </w:tcPr>
          <w:p w14:paraId="18AFFB3A">
            <w:pPr>
              <w:pStyle w:val="129"/>
              <w:snapToGrid w:val="0"/>
              <w:jc w:val="center"/>
              <w:rPr>
                <w:rFonts w:eastAsiaTheme="minorEastAsia"/>
                <w:color w:val="auto"/>
                <w:sz w:val="24"/>
                <w:szCs w:val="24"/>
              </w:rPr>
            </w:pPr>
            <w:r>
              <w:rPr>
                <w:rFonts w:eastAsiaTheme="minorEastAsia"/>
                <w:color w:val="auto"/>
                <w:sz w:val="24"/>
                <w:szCs w:val="24"/>
              </w:rPr>
              <w:t>朝阳县发改局</w:t>
            </w:r>
          </w:p>
        </w:tc>
        <w:tc>
          <w:tcPr>
            <w:tcW w:w="1592" w:type="dxa"/>
            <w:tcBorders>
              <w:tl2br w:val="nil"/>
              <w:tr2bl w:val="nil"/>
            </w:tcBorders>
            <w:shd w:val="clear" w:color="auto" w:fill="auto"/>
            <w:vAlign w:val="center"/>
          </w:tcPr>
          <w:p w14:paraId="32458F5A">
            <w:pPr>
              <w:pStyle w:val="129"/>
              <w:snapToGrid w:val="0"/>
              <w:jc w:val="center"/>
              <w:rPr>
                <w:rFonts w:eastAsiaTheme="minorEastAsia"/>
                <w:color w:val="auto"/>
                <w:sz w:val="24"/>
                <w:szCs w:val="24"/>
              </w:rPr>
            </w:pPr>
            <w:r>
              <w:rPr>
                <w:rFonts w:eastAsiaTheme="minorEastAsia"/>
                <w:color w:val="auto"/>
                <w:sz w:val="24"/>
                <w:szCs w:val="24"/>
              </w:rPr>
              <w:t>项目审批（核准/备案）文号（选填）</w:t>
            </w:r>
          </w:p>
        </w:tc>
        <w:tc>
          <w:tcPr>
            <w:tcW w:w="2831" w:type="dxa"/>
            <w:tcBorders>
              <w:tl2br w:val="nil"/>
              <w:tr2bl w:val="nil"/>
            </w:tcBorders>
            <w:shd w:val="clear" w:color="auto" w:fill="auto"/>
            <w:vAlign w:val="center"/>
          </w:tcPr>
          <w:p w14:paraId="31993AC6">
            <w:pPr>
              <w:pStyle w:val="129"/>
              <w:snapToGrid w:val="0"/>
              <w:jc w:val="center"/>
              <w:rPr>
                <w:rFonts w:eastAsiaTheme="minorEastAsia"/>
                <w:color w:val="auto"/>
                <w:sz w:val="24"/>
                <w:szCs w:val="24"/>
              </w:rPr>
            </w:pPr>
            <w:r>
              <w:rPr>
                <w:rFonts w:eastAsiaTheme="minorEastAsia"/>
                <w:color w:val="auto"/>
                <w:sz w:val="24"/>
                <w:szCs w:val="24"/>
              </w:rPr>
              <w:t>朝发改备字〔2025〕160</w:t>
            </w:r>
          </w:p>
        </w:tc>
      </w:tr>
      <w:tr w14:paraId="2BA7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2080F1FB">
            <w:pPr>
              <w:pStyle w:val="129"/>
              <w:snapToGrid w:val="0"/>
              <w:jc w:val="center"/>
              <w:rPr>
                <w:rFonts w:eastAsiaTheme="minorEastAsia"/>
                <w:color w:val="auto"/>
                <w:sz w:val="24"/>
                <w:szCs w:val="24"/>
              </w:rPr>
            </w:pPr>
            <w:r>
              <w:rPr>
                <w:rFonts w:eastAsiaTheme="minorEastAsia"/>
                <w:color w:val="auto"/>
                <w:sz w:val="24"/>
                <w:szCs w:val="24"/>
              </w:rPr>
              <w:t>总投资</w:t>
            </w:r>
          </w:p>
          <w:p w14:paraId="0DCFFB56">
            <w:pPr>
              <w:pStyle w:val="129"/>
              <w:snapToGrid w:val="0"/>
              <w:jc w:val="center"/>
              <w:rPr>
                <w:rFonts w:eastAsiaTheme="minorEastAsia"/>
                <w:color w:val="auto"/>
                <w:sz w:val="24"/>
                <w:szCs w:val="24"/>
              </w:rPr>
            </w:pPr>
            <w:r>
              <w:rPr>
                <w:rFonts w:eastAsiaTheme="minorEastAsia"/>
                <w:color w:val="auto"/>
                <w:sz w:val="24"/>
                <w:szCs w:val="24"/>
              </w:rPr>
              <w:t>（万元）</w:t>
            </w:r>
          </w:p>
        </w:tc>
        <w:tc>
          <w:tcPr>
            <w:tcW w:w="2788" w:type="dxa"/>
            <w:tcBorders>
              <w:tl2br w:val="nil"/>
              <w:tr2bl w:val="nil"/>
            </w:tcBorders>
            <w:shd w:val="clear" w:color="auto" w:fill="auto"/>
            <w:vAlign w:val="center"/>
          </w:tcPr>
          <w:p w14:paraId="7EE9BADA">
            <w:pPr>
              <w:pStyle w:val="129"/>
              <w:snapToGrid w:val="0"/>
              <w:jc w:val="center"/>
              <w:rPr>
                <w:rFonts w:eastAsiaTheme="minorEastAsia"/>
                <w:color w:val="auto"/>
                <w:sz w:val="24"/>
                <w:szCs w:val="24"/>
              </w:rPr>
            </w:pPr>
            <w:r>
              <w:rPr>
                <w:rFonts w:eastAsiaTheme="minorEastAsia"/>
                <w:color w:val="auto"/>
                <w:sz w:val="24"/>
                <w:szCs w:val="24"/>
              </w:rPr>
              <w:t>600</w:t>
            </w:r>
          </w:p>
        </w:tc>
        <w:tc>
          <w:tcPr>
            <w:tcW w:w="1592" w:type="dxa"/>
            <w:tcBorders>
              <w:tl2br w:val="nil"/>
              <w:tr2bl w:val="nil"/>
            </w:tcBorders>
            <w:shd w:val="clear" w:color="auto" w:fill="auto"/>
            <w:tcMar>
              <w:top w:w="16" w:type="dxa"/>
              <w:left w:w="16" w:type="dxa"/>
              <w:bottom w:w="0" w:type="dxa"/>
              <w:right w:w="16" w:type="dxa"/>
            </w:tcMar>
            <w:vAlign w:val="center"/>
          </w:tcPr>
          <w:p w14:paraId="67B22844">
            <w:pPr>
              <w:pStyle w:val="129"/>
              <w:snapToGrid w:val="0"/>
              <w:jc w:val="center"/>
              <w:rPr>
                <w:rFonts w:eastAsiaTheme="minorEastAsia"/>
                <w:color w:val="auto"/>
                <w:sz w:val="24"/>
                <w:szCs w:val="24"/>
              </w:rPr>
            </w:pPr>
            <w:r>
              <w:rPr>
                <w:rFonts w:eastAsiaTheme="minorEastAsia"/>
                <w:color w:val="auto"/>
                <w:sz w:val="24"/>
                <w:szCs w:val="24"/>
              </w:rPr>
              <w:t>环保投资（万元）</w:t>
            </w:r>
          </w:p>
        </w:tc>
        <w:tc>
          <w:tcPr>
            <w:tcW w:w="2831" w:type="dxa"/>
            <w:tcBorders>
              <w:tl2br w:val="nil"/>
              <w:tr2bl w:val="nil"/>
            </w:tcBorders>
            <w:shd w:val="clear" w:color="auto" w:fill="auto"/>
            <w:vAlign w:val="center"/>
          </w:tcPr>
          <w:p w14:paraId="38BFA846">
            <w:pPr>
              <w:pStyle w:val="129"/>
              <w:snapToGrid w:val="0"/>
              <w:jc w:val="center"/>
              <w:rPr>
                <w:rFonts w:eastAsiaTheme="minorEastAsia"/>
                <w:color w:val="auto"/>
                <w:sz w:val="24"/>
                <w:szCs w:val="24"/>
              </w:rPr>
            </w:pPr>
            <w:r>
              <w:rPr>
                <w:rFonts w:eastAsiaTheme="minorEastAsia"/>
                <w:color w:val="auto"/>
                <w:sz w:val="24"/>
                <w:szCs w:val="24"/>
              </w:rPr>
              <w:t>28.4</w:t>
            </w:r>
          </w:p>
        </w:tc>
      </w:tr>
      <w:tr w14:paraId="3151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4BE82F4D">
            <w:pPr>
              <w:pStyle w:val="129"/>
              <w:snapToGrid w:val="0"/>
              <w:jc w:val="center"/>
              <w:rPr>
                <w:rFonts w:eastAsiaTheme="minorEastAsia"/>
                <w:color w:val="auto"/>
                <w:sz w:val="24"/>
                <w:szCs w:val="24"/>
              </w:rPr>
            </w:pPr>
            <w:r>
              <w:rPr>
                <w:rFonts w:eastAsiaTheme="minorEastAsia"/>
                <w:color w:val="auto"/>
                <w:sz w:val="24"/>
                <w:szCs w:val="24"/>
              </w:rPr>
              <w:t>环保投资占比（%）</w:t>
            </w:r>
          </w:p>
        </w:tc>
        <w:tc>
          <w:tcPr>
            <w:tcW w:w="2788" w:type="dxa"/>
            <w:tcBorders>
              <w:tl2br w:val="nil"/>
              <w:tr2bl w:val="nil"/>
            </w:tcBorders>
            <w:shd w:val="clear" w:color="auto" w:fill="auto"/>
            <w:vAlign w:val="center"/>
          </w:tcPr>
          <w:p w14:paraId="256B8B1F">
            <w:pPr>
              <w:pStyle w:val="129"/>
              <w:snapToGrid w:val="0"/>
              <w:jc w:val="center"/>
              <w:rPr>
                <w:rFonts w:eastAsiaTheme="minorEastAsia"/>
                <w:color w:val="auto"/>
                <w:sz w:val="24"/>
                <w:szCs w:val="24"/>
              </w:rPr>
            </w:pPr>
            <w:r>
              <w:rPr>
                <w:rFonts w:eastAsiaTheme="minorEastAsia"/>
                <w:color w:val="auto"/>
                <w:sz w:val="24"/>
                <w:szCs w:val="24"/>
              </w:rPr>
              <w:t>4.7</w:t>
            </w:r>
          </w:p>
        </w:tc>
        <w:tc>
          <w:tcPr>
            <w:tcW w:w="1592" w:type="dxa"/>
            <w:tcBorders>
              <w:tl2br w:val="nil"/>
              <w:tr2bl w:val="nil"/>
            </w:tcBorders>
            <w:shd w:val="clear" w:color="auto" w:fill="auto"/>
            <w:tcMar>
              <w:top w:w="16" w:type="dxa"/>
              <w:left w:w="16" w:type="dxa"/>
              <w:bottom w:w="0" w:type="dxa"/>
              <w:right w:w="16" w:type="dxa"/>
            </w:tcMar>
            <w:vAlign w:val="center"/>
          </w:tcPr>
          <w:p w14:paraId="29C4D830">
            <w:pPr>
              <w:pStyle w:val="129"/>
              <w:snapToGrid w:val="0"/>
              <w:jc w:val="center"/>
              <w:rPr>
                <w:rFonts w:eastAsiaTheme="minorEastAsia"/>
                <w:color w:val="auto"/>
                <w:sz w:val="24"/>
                <w:szCs w:val="24"/>
              </w:rPr>
            </w:pPr>
            <w:r>
              <w:rPr>
                <w:rFonts w:eastAsiaTheme="minorEastAsia"/>
                <w:color w:val="auto"/>
                <w:sz w:val="24"/>
                <w:szCs w:val="24"/>
              </w:rPr>
              <w:t>施工工期</w:t>
            </w:r>
          </w:p>
        </w:tc>
        <w:tc>
          <w:tcPr>
            <w:tcW w:w="2831" w:type="dxa"/>
            <w:tcBorders>
              <w:tl2br w:val="nil"/>
              <w:tr2bl w:val="nil"/>
            </w:tcBorders>
            <w:shd w:val="clear" w:color="auto" w:fill="auto"/>
            <w:vAlign w:val="center"/>
          </w:tcPr>
          <w:p w14:paraId="7FA67E8D">
            <w:pPr>
              <w:pStyle w:val="129"/>
              <w:snapToGrid w:val="0"/>
              <w:jc w:val="center"/>
              <w:rPr>
                <w:rFonts w:eastAsiaTheme="minorEastAsia"/>
                <w:color w:val="auto"/>
                <w:sz w:val="24"/>
                <w:szCs w:val="24"/>
              </w:rPr>
            </w:pPr>
            <w:r>
              <w:rPr>
                <w:rFonts w:eastAsiaTheme="minorEastAsia"/>
                <w:color w:val="auto"/>
                <w:sz w:val="24"/>
                <w:szCs w:val="24"/>
              </w:rPr>
              <w:t>3个月</w:t>
            </w:r>
          </w:p>
        </w:tc>
      </w:tr>
      <w:tr w14:paraId="0726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088" w:type="dxa"/>
            <w:tcBorders>
              <w:tl2br w:val="nil"/>
              <w:tr2bl w:val="nil"/>
            </w:tcBorders>
            <w:shd w:val="clear" w:color="auto" w:fill="auto"/>
            <w:tcMar>
              <w:top w:w="16" w:type="dxa"/>
              <w:left w:w="16" w:type="dxa"/>
              <w:bottom w:w="0" w:type="dxa"/>
              <w:right w:w="16" w:type="dxa"/>
            </w:tcMar>
            <w:vAlign w:val="center"/>
          </w:tcPr>
          <w:p w14:paraId="3021FB96">
            <w:pPr>
              <w:pStyle w:val="129"/>
              <w:snapToGrid w:val="0"/>
              <w:jc w:val="center"/>
              <w:rPr>
                <w:rFonts w:eastAsiaTheme="minorEastAsia"/>
                <w:color w:val="auto"/>
                <w:sz w:val="24"/>
                <w:szCs w:val="24"/>
              </w:rPr>
            </w:pPr>
            <w:r>
              <w:rPr>
                <w:rFonts w:eastAsiaTheme="minorEastAsia"/>
                <w:color w:val="auto"/>
                <w:sz w:val="24"/>
                <w:szCs w:val="24"/>
              </w:rPr>
              <w:t>是否开工建设</w:t>
            </w:r>
          </w:p>
        </w:tc>
        <w:tc>
          <w:tcPr>
            <w:tcW w:w="2788" w:type="dxa"/>
            <w:tcBorders>
              <w:tl2br w:val="nil"/>
              <w:tr2bl w:val="nil"/>
            </w:tcBorders>
            <w:shd w:val="clear" w:color="auto" w:fill="auto"/>
            <w:vAlign w:val="center"/>
          </w:tcPr>
          <w:p w14:paraId="22BD6716">
            <w:pPr>
              <w:pStyle w:val="129"/>
              <w:snapToGrid w:val="0"/>
              <w:ind w:left="105" w:leftChars="50" w:right="105" w:rightChars="50"/>
              <w:rPr>
                <w:rFonts w:eastAsiaTheme="minorEastAsia"/>
                <w:color w:val="auto"/>
                <w:sz w:val="24"/>
                <w:szCs w:val="24"/>
              </w:rPr>
            </w:pPr>
            <w:r>
              <w:rPr>
                <w:rFonts w:ascii="Segoe UI Emoji" w:hAnsi="Segoe UI Emoji" w:cs="Segoe UI Emoji" w:eastAsiaTheme="minorEastAsia"/>
                <w:color w:val="auto"/>
                <w:sz w:val="24"/>
                <w:szCs w:val="24"/>
              </w:rPr>
              <w:t>☑</w:t>
            </w:r>
            <w:r>
              <w:rPr>
                <w:rFonts w:eastAsiaTheme="minorEastAsia"/>
                <w:color w:val="auto"/>
                <w:sz w:val="24"/>
                <w:szCs w:val="24"/>
              </w:rPr>
              <w:t>否</w:t>
            </w:r>
          </w:p>
          <w:p w14:paraId="5728764E">
            <w:pPr>
              <w:pStyle w:val="129"/>
              <w:snapToGrid w:val="0"/>
              <w:ind w:left="105" w:leftChars="50" w:right="105" w:rightChars="50"/>
              <w:rPr>
                <w:rFonts w:eastAsiaTheme="minorEastAsia"/>
                <w:color w:val="auto"/>
                <w:sz w:val="24"/>
                <w:szCs w:val="24"/>
              </w:rPr>
            </w:pPr>
            <w:r>
              <w:rPr>
                <w:rFonts w:eastAsiaTheme="minorEastAsia"/>
                <w:color w:val="auto"/>
                <w:sz w:val="24"/>
                <w:szCs w:val="24"/>
              </w:rPr>
              <w:t>□是</w:t>
            </w:r>
          </w:p>
        </w:tc>
        <w:tc>
          <w:tcPr>
            <w:tcW w:w="1592" w:type="dxa"/>
            <w:tcBorders>
              <w:tl2br w:val="nil"/>
              <w:tr2bl w:val="nil"/>
            </w:tcBorders>
            <w:shd w:val="clear" w:color="auto" w:fill="auto"/>
            <w:tcMar>
              <w:top w:w="16" w:type="dxa"/>
              <w:left w:w="16" w:type="dxa"/>
              <w:bottom w:w="0" w:type="dxa"/>
              <w:right w:w="16" w:type="dxa"/>
            </w:tcMar>
            <w:vAlign w:val="center"/>
          </w:tcPr>
          <w:p w14:paraId="464F7AD5">
            <w:pPr>
              <w:pStyle w:val="129"/>
              <w:snapToGrid w:val="0"/>
              <w:jc w:val="center"/>
              <w:rPr>
                <w:rFonts w:eastAsiaTheme="minorEastAsia"/>
                <w:color w:val="auto"/>
                <w:sz w:val="24"/>
                <w:szCs w:val="24"/>
              </w:rPr>
            </w:pPr>
            <w:r>
              <w:rPr>
                <w:rFonts w:eastAsiaTheme="minorEastAsia"/>
                <w:color w:val="auto"/>
                <w:spacing w:val="-6"/>
                <w:sz w:val="24"/>
                <w:szCs w:val="24"/>
              </w:rPr>
              <w:t>用地面积（m</w:t>
            </w:r>
            <w:r>
              <w:rPr>
                <w:rFonts w:eastAsiaTheme="minorEastAsia"/>
                <w:color w:val="auto"/>
                <w:spacing w:val="-6"/>
                <w:sz w:val="24"/>
                <w:szCs w:val="24"/>
                <w:vertAlign w:val="superscript"/>
              </w:rPr>
              <w:t>2</w:t>
            </w:r>
            <w:r>
              <w:rPr>
                <w:rFonts w:eastAsiaTheme="minorEastAsia"/>
                <w:color w:val="auto"/>
                <w:spacing w:val="-6"/>
                <w:sz w:val="24"/>
                <w:szCs w:val="24"/>
              </w:rPr>
              <w:t>）</w:t>
            </w:r>
          </w:p>
        </w:tc>
        <w:tc>
          <w:tcPr>
            <w:tcW w:w="2831" w:type="dxa"/>
            <w:tcBorders>
              <w:tl2br w:val="nil"/>
              <w:tr2bl w:val="nil"/>
            </w:tcBorders>
            <w:shd w:val="clear" w:color="auto" w:fill="auto"/>
            <w:vAlign w:val="center"/>
          </w:tcPr>
          <w:p w14:paraId="722817D1">
            <w:pPr>
              <w:pStyle w:val="129"/>
              <w:snapToGrid w:val="0"/>
              <w:jc w:val="center"/>
              <w:rPr>
                <w:rFonts w:eastAsiaTheme="minorEastAsia"/>
                <w:color w:val="auto"/>
                <w:sz w:val="24"/>
                <w:szCs w:val="24"/>
              </w:rPr>
            </w:pPr>
            <w:r>
              <w:rPr>
                <w:rFonts w:eastAsiaTheme="minorEastAsia"/>
                <w:color w:val="auto"/>
                <w:sz w:val="24"/>
                <w:szCs w:val="24"/>
              </w:rPr>
              <w:t>1000（全部为租用）</w:t>
            </w:r>
          </w:p>
        </w:tc>
      </w:tr>
      <w:tr w14:paraId="073A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1" w:hRule="atLeast"/>
        </w:trPr>
        <w:tc>
          <w:tcPr>
            <w:tcW w:w="1088" w:type="dxa"/>
            <w:tcBorders>
              <w:tl2br w:val="nil"/>
              <w:tr2bl w:val="nil"/>
            </w:tcBorders>
            <w:shd w:val="clear" w:color="auto" w:fill="auto"/>
            <w:tcMar>
              <w:top w:w="0" w:type="dxa"/>
              <w:left w:w="108" w:type="dxa"/>
              <w:bottom w:w="0" w:type="dxa"/>
              <w:right w:w="108" w:type="dxa"/>
            </w:tcMar>
            <w:vAlign w:val="center"/>
          </w:tcPr>
          <w:p w14:paraId="6D6E6F1E">
            <w:pPr>
              <w:pStyle w:val="129"/>
              <w:ind w:left="210"/>
              <w:jc w:val="center"/>
              <w:rPr>
                <w:rFonts w:eastAsiaTheme="minorEastAsia"/>
                <w:color w:val="auto"/>
                <w:sz w:val="24"/>
                <w:szCs w:val="24"/>
              </w:rPr>
            </w:pPr>
            <w:r>
              <w:rPr>
                <w:rFonts w:eastAsiaTheme="minorEastAsia"/>
                <w:color w:val="auto"/>
                <w:sz w:val="24"/>
                <w:szCs w:val="24"/>
              </w:rPr>
              <w:t>专项评价设置情况</w:t>
            </w:r>
          </w:p>
        </w:tc>
        <w:tc>
          <w:tcPr>
            <w:tcW w:w="7211" w:type="dxa"/>
            <w:gridSpan w:val="3"/>
            <w:tcBorders>
              <w:tl2br w:val="nil"/>
              <w:tr2bl w:val="nil"/>
            </w:tcBorders>
            <w:shd w:val="clear" w:color="auto" w:fill="auto"/>
            <w:tcMar>
              <w:top w:w="0" w:type="dxa"/>
              <w:left w:w="108" w:type="dxa"/>
              <w:bottom w:w="0" w:type="dxa"/>
              <w:right w:w="108" w:type="dxa"/>
            </w:tcMar>
            <w:vAlign w:val="center"/>
          </w:tcPr>
          <w:p w14:paraId="40A9B10F">
            <w:pPr>
              <w:pStyle w:val="92"/>
              <w:rPr>
                <w:rFonts w:eastAsiaTheme="minorEastAsia"/>
                <w:color w:val="auto"/>
              </w:rPr>
            </w:pPr>
            <w:r>
              <w:rPr>
                <w:rFonts w:eastAsiaTheme="minorEastAsia"/>
                <w:color w:val="auto"/>
              </w:rPr>
              <w:t>表1-1专项评价设置原则表</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632"/>
              <w:gridCol w:w="2872"/>
              <w:gridCol w:w="664"/>
            </w:tblGrid>
            <w:tr w14:paraId="2DA2FC1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top w:val="double" w:color="auto" w:sz="2" w:space="0"/>
                    <w:left w:val="nil"/>
                    <w:bottom w:val="single" w:color="auto" w:sz="4" w:space="0"/>
                    <w:right w:val="single" w:color="auto" w:sz="4" w:space="0"/>
                  </w:tcBorders>
                  <w:vAlign w:val="center"/>
                </w:tcPr>
                <w:p w14:paraId="48FA5A4D">
                  <w:pPr>
                    <w:pStyle w:val="48"/>
                    <w:rPr>
                      <w:color w:val="auto"/>
                    </w:rPr>
                  </w:pPr>
                  <w:r>
                    <w:rPr>
                      <w:color w:val="auto"/>
                    </w:rPr>
                    <w:t>专项评价类别</w:t>
                  </w:r>
                </w:p>
              </w:tc>
              <w:tc>
                <w:tcPr>
                  <w:tcW w:w="2631" w:type="dxa"/>
                  <w:tcBorders>
                    <w:top w:val="double" w:color="auto" w:sz="2" w:space="0"/>
                    <w:left w:val="single" w:color="auto" w:sz="4" w:space="0"/>
                    <w:bottom w:val="single" w:color="auto" w:sz="4" w:space="0"/>
                    <w:right w:val="single" w:color="auto" w:sz="4" w:space="0"/>
                  </w:tcBorders>
                  <w:vAlign w:val="center"/>
                </w:tcPr>
                <w:p w14:paraId="47670B3F">
                  <w:pPr>
                    <w:pStyle w:val="48"/>
                    <w:rPr>
                      <w:color w:val="auto"/>
                    </w:rPr>
                  </w:pPr>
                  <w:r>
                    <w:rPr>
                      <w:color w:val="auto"/>
                    </w:rPr>
                    <w:t>设置原则</w:t>
                  </w:r>
                </w:p>
              </w:tc>
              <w:tc>
                <w:tcPr>
                  <w:tcW w:w="2871" w:type="dxa"/>
                  <w:tcBorders>
                    <w:top w:val="double" w:color="auto" w:sz="2" w:space="0"/>
                    <w:left w:val="single" w:color="auto" w:sz="4" w:space="0"/>
                    <w:bottom w:val="single" w:color="auto" w:sz="4" w:space="0"/>
                    <w:right w:val="single" w:color="auto" w:sz="4" w:space="0"/>
                  </w:tcBorders>
                  <w:vAlign w:val="center"/>
                </w:tcPr>
                <w:p w14:paraId="57275078">
                  <w:pPr>
                    <w:pStyle w:val="48"/>
                    <w:rPr>
                      <w:color w:val="auto"/>
                    </w:rPr>
                  </w:pPr>
                  <w:r>
                    <w:rPr>
                      <w:color w:val="auto"/>
                    </w:rPr>
                    <w:t>项目情况</w:t>
                  </w:r>
                </w:p>
              </w:tc>
              <w:tc>
                <w:tcPr>
                  <w:tcW w:w="664" w:type="dxa"/>
                  <w:tcBorders>
                    <w:top w:val="double" w:color="auto" w:sz="2" w:space="0"/>
                    <w:left w:val="single" w:color="auto" w:sz="4" w:space="0"/>
                    <w:bottom w:val="single" w:color="auto" w:sz="4" w:space="0"/>
                    <w:right w:val="nil"/>
                  </w:tcBorders>
                  <w:vAlign w:val="center"/>
                </w:tcPr>
                <w:p w14:paraId="1A46EA9B">
                  <w:pPr>
                    <w:pStyle w:val="48"/>
                    <w:rPr>
                      <w:color w:val="auto"/>
                    </w:rPr>
                  </w:pPr>
                  <w:r>
                    <w:rPr>
                      <w:color w:val="auto"/>
                    </w:rPr>
                    <w:t>是否设置</w:t>
                  </w:r>
                </w:p>
              </w:tc>
            </w:tr>
            <w:tr w14:paraId="2A6C6AB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top w:val="single" w:color="auto" w:sz="4" w:space="0"/>
                    <w:left w:val="nil"/>
                    <w:bottom w:val="single" w:color="auto" w:sz="4" w:space="0"/>
                    <w:right w:val="single" w:color="auto" w:sz="4" w:space="0"/>
                  </w:tcBorders>
                  <w:vAlign w:val="center"/>
                </w:tcPr>
                <w:p w14:paraId="60AD2E7B">
                  <w:pPr>
                    <w:pStyle w:val="48"/>
                    <w:rPr>
                      <w:color w:val="auto"/>
                    </w:rPr>
                  </w:pPr>
                  <w:r>
                    <w:rPr>
                      <w:color w:val="auto"/>
                    </w:rPr>
                    <w:t>大气</w:t>
                  </w:r>
                </w:p>
              </w:tc>
              <w:tc>
                <w:tcPr>
                  <w:tcW w:w="2631" w:type="dxa"/>
                  <w:tcBorders>
                    <w:top w:val="single" w:color="auto" w:sz="4" w:space="0"/>
                    <w:left w:val="single" w:color="auto" w:sz="4" w:space="0"/>
                    <w:bottom w:val="single" w:color="auto" w:sz="4" w:space="0"/>
                    <w:right w:val="single" w:color="auto" w:sz="4" w:space="0"/>
                  </w:tcBorders>
                  <w:vAlign w:val="center"/>
                </w:tcPr>
                <w:p w14:paraId="6EDD0CC2">
                  <w:pPr>
                    <w:pStyle w:val="48"/>
                    <w:jc w:val="both"/>
                    <w:rPr>
                      <w:color w:val="auto"/>
                    </w:rPr>
                  </w:pPr>
                  <w:r>
                    <w:rPr>
                      <w:color w:val="auto"/>
                    </w:rPr>
                    <w:t>排放废气含有毒有害物质、二噁英、苯并[a]芘、氰化物氯气且厂界外500米范围内有环境空气保护目标的建设项目</w:t>
                  </w:r>
                </w:p>
              </w:tc>
              <w:tc>
                <w:tcPr>
                  <w:tcW w:w="2871" w:type="dxa"/>
                  <w:tcBorders>
                    <w:top w:val="single" w:color="auto" w:sz="4" w:space="0"/>
                    <w:left w:val="single" w:color="auto" w:sz="4" w:space="0"/>
                    <w:bottom w:val="single" w:color="auto" w:sz="4" w:space="0"/>
                    <w:right w:val="single" w:color="auto" w:sz="4" w:space="0"/>
                  </w:tcBorders>
                  <w:vAlign w:val="center"/>
                </w:tcPr>
                <w:p w14:paraId="313F53C8">
                  <w:pPr>
                    <w:pStyle w:val="48"/>
                    <w:jc w:val="both"/>
                    <w:rPr>
                      <w:color w:val="auto"/>
                    </w:rPr>
                  </w:pPr>
                  <w:r>
                    <w:rPr>
                      <w:color w:val="auto"/>
                    </w:rPr>
                    <w:t>本项目主要排放的废气污染物为颗粒物、二氧化硫、氮氧化物，不属于《有毒有害大气污染物名录》中的有毒有害物质，也不属于二噁英、苯并[a]芘、氰化物、氯气等污染物。</w:t>
                  </w:r>
                </w:p>
              </w:tc>
              <w:tc>
                <w:tcPr>
                  <w:tcW w:w="664" w:type="dxa"/>
                  <w:tcBorders>
                    <w:top w:val="single" w:color="auto" w:sz="4" w:space="0"/>
                    <w:left w:val="single" w:color="auto" w:sz="4" w:space="0"/>
                    <w:bottom w:val="single" w:color="auto" w:sz="4" w:space="0"/>
                    <w:right w:val="nil"/>
                  </w:tcBorders>
                  <w:vAlign w:val="center"/>
                </w:tcPr>
                <w:p w14:paraId="657DE94F">
                  <w:pPr>
                    <w:pStyle w:val="48"/>
                    <w:rPr>
                      <w:color w:val="auto"/>
                    </w:rPr>
                  </w:pPr>
                  <w:r>
                    <w:rPr>
                      <w:color w:val="auto"/>
                    </w:rPr>
                    <w:t>否</w:t>
                  </w:r>
                </w:p>
              </w:tc>
            </w:tr>
            <w:tr w14:paraId="6950746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818" w:type="dxa"/>
                  <w:tcBorders>
                    <w:top w:val="single" w:color="auto" w:sz="4" w:space="0"/>
                    <w:left w:val="nil"/>
                    <w:bottom w:val="single" w:color="auto" w:sz="4" w:space="0"/>
                    <w:right w:val="single" w:color="auto" w:sz="4" w:space="0"/>
                  </w:tcBorders>
                  <w:vAlign w:val="center"/>
                </w:tcPr>
                <w:p w14:paraId="1C47DC35">
                  <w:pPr>
                    <w:pStyle w:val="48"/>
                    <w:rPr>
                      <w:color w:val="auto"/>
                    </w:rPr>
                  </w:pPr>
                  <w:r>
                    <w:rPr>
                      <w:color w:val="auto"/>
                    </w:rPr>
                    <w:t>地表水</w:t>
                  </w:r>
                </w:p>
              </w:tc>
              <w:tc>
                <w:tcPr>
                  <w:tcW w:w="2631" w:type="dxa"/>
                  <w:tcBorders>
                    <w:top w:val="single" w:color="auto" w:sz="4" w:space="0"/>
                    <w:left w:val="single" w:color="auto" w:sz="4" w:space="0"/>
                    <w:bottom w:val="single" w:color="auto" w:sz="4" w:space="0"/>
                    <w:right w:val="single" w:color="auto" w:sz="4" w:space="0"/>
                  </w:tcBorders>
                  <w:vAlign w:val="center"/>
                </w:tcPr>
                <w:p w14:paraId="0BD7A749">
                  <w:pPr>
                    <w:pStyle w:val="48"/>
                    <w:jc w:val="both"/>
                    <w:rPr>
                      <w:color w:val="auto"/>
                    </w:rPr>
                  </w:pPr>
                  <w:r>
                    <w:rPr>
                      <w:color w:val="auto"/>
                    </w:rPr>
                    <w:t>新增工业废水直排建设项目（槽罐车外送污水处理厂的除外）；新增废水直排的污水集中处理厂</w:t>
                  </w:r>
                </w:p>
              </w:tc>
              <w:tc>
                <w:tcPr>
                  <w:tcW w:w="2871" w:type="dxa"/>
                  <w:tcBorders>
                    <w:top w:val="single" w:color="auto" w:sz="4" w:space="0"/>
                    <w:left w:val="single" w:color="auto" w:sz="4" w:space="0"/>
                    <w:bottom w:val="single" w:color="auto" w:sz="4" w:space="0"/>
                    <w:right w:val="single" w:color="auto" w:sz="4" w:space="0"/>
                  </w:tcBorders>
                  <w:vAlign w:val="center"/>
                </w:tcPr>
                <w:p w14:paraId="6B3960AD">
                  <w:pPr>
                    <w:pStyle w:val="48"/>
                    <w:jc w:val="both"/>
                    <w:rPr>
                      <w:color w:val="auto"/>
                    </w:rPr>
                  </w:pPr>
                  <w:r>
                    <w:rPr>
                      <w:color w:val="auto"/>
                    </w:rPr>
                    <w:t>本项目降尘用水全部蒸发损耗；生活污水依托朝阳县瓦房子镇宏兴锰矿化粪池，定期清掏堆肥，不外排；脱硫废水沉淀后全部回用，不外排。</w:t>
                  </w:r>
                </w:p>
              </w:tc>
              <w:tc>
                <w:tcPr>
                  <w:tcW w:w="664" w:type="dxa"/>
                  <w:tcBorders>
                    <w:top w:val="single" w:color="auto" w:sz="4" w:space="0"/>
                    <w:left w:val="single" w:color="auto" w:sz="4" w:space="0"/>
                    <w:bottom w:val="single" w:color="auto" w:sz="4" w:space="0"/>
                    <w:right w:val="nil"/>
                  </w:tcBorders>
                  <w:vAlign w:val="center"/>
                </w:tcPr>
                <w:p w14:paraId="133EBFCA">
                  <w:pPr>
                    <w:pStyle w:val="48"/>
                    <w:rPr>
                      <w:color w:val="auto"/>
                    </w:rPr>
                  </w:pPr>
                  <w:r>
                    <w:rPr>
                      <w:color w:val="auto"/>
                    </w:rPr>
                    <w:t>否</w:t>
                  </w:r>
                </w:p>
              </w:tc>
            </w:tr>
            <w:tr w14:paraId="7B33D35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818" w:type="dxa"/>
                  <w:tcBorders>
                    <w:top w:val="single" w:color="auto" w:sz="4" w:space="0"/>
                    <w:left w:val="nil"/>
                    <w:bottom w:val="single" w:color="auto" w:sz="4" w:space="0"/>
                    <w:right w:val="single" w:color="auto" w:sz="4" w:space="0"/>
                  </w:tcBorders>
                  <w:vAlign w:val="center"/>
                </w:tcPr>
                <w:p w14:paraId="4E8FAE2D">
                  <w:pPr>
                    <w:pStyle w:val="48"/>
                    <w:rPr>
                      <w:color w:val="auto"/>
                    </w:rPr>
                  </w:pPr>
                  <w:r>
                    <w:rPr>
                      <w:color w:val="auto"/>
                    </w:rPr>
                    <w:t>环境</w:t>
                  </w:r>
                </w:p>
                <w:p w14:paraId="7919C4BE">
                  <w:pPr>
                    <w:pStyle w:val="48"/>
                    <w:rPr>
                      <w:color w:val="auto"/>
                    </w:rPr>
                  </w:pPr>
                  <w:r>
                    <w:rPr>
                      <w:color w:val="auto"/>
                    </w:rPr>
                    <w:t>风险</w:t>
                  </w:r>
                </w:p>
              </w:tc>
              <w:tc>
                <w:tcPr>
                  <w:tcW w:w="2631" w:type="dxa"/>
                  <w:tcBorders>
                    <w:top w:val="single" w:color="auto" w:sz="4" w:space="0"/>
                    <w:left w:val="single" w:color="auto" w:sz="4" w:space="0"/>
                    <w:bottom w:val="single" w:color="auto" w:sz="4" w:space="0"/>
                    <w:right w:val="single" w:color="auto" w:sz="4" w:space="0"/>
                  </w:tcBorders>
                  <w:vAlign w:val="center"/>
                </w:tcPr>
                <w:p w14:paraId="6C9DA967">
                  <w:pPr>
                    <w:pStyle w:val="48"/>
                    <w:jc w:val="both"/>
                    <w:rPr>
                      <w:color w:val="auto"/>
                    </w:rPr>
                  </w:pPr>
                  <w:r>
                    <w:rPr>
                      <w:color w:val="auto"/>
                    </w:rPr>
                    <w:t>有毒有害和易燃易爆危险物质存储量超过临界量的建设项目</w:t>
                  </w:r>
                </w:p>
              </w:tc>
              <w:tc>
                <w:tcPr>
                  <w:tcW w:w="2871" w:type="dxa"/>
                  <w:tcBorders>
                    <w:top w:val="single" w:color="auto" w:sz="4" w:space="0"/>
                    <w:left w:val="single" w:color="auto" w:sz="4" w:space="0"/>
                    <w:bottom w:val="single" w:color="auto" w:sz="4" w:space="0"/>
                    <w:right w:val="single" w:color="auto" w:sz="4" w:space="0"/>
                  </w:tcBorders>
                  <w:vAlign w:val="center"/>
                </w:tcPr>
                <w:p w14:paraId="7778C256">
                  <w:pPr>
                    <w:pStyle w:val="48"/>
                    <w:jc w:val="both"/>
                    <w:rPr>
                      <w:color w:val="auto"/>
                    </w:rPr>
                  </w:pPr>
                  <w:r>
                    <w:rPr>
                      <w:color w:val="auto"/>
                    </w:rPr>
                    <w:t>本项目涉及的环境风险物质为废机油和管线内的少量高炉煤气，废机油最大存在量为0.2t，管线内高炉煤气总量约0.011t（其中CO约0.0033t），均未超过临界量，合计Q值为0.00041。</w:t>
                  </w:r>
                </w:p>
              </w:tc>
              <w:tc>
                <w:tcPr>
                  <w:tcW w:w="664" w:type="dxa"/>
                  <w:tcBorders>
                    <w:top w:val="single" w:color="auto" w:sz="4" w:space="0"/>
                    <w:left w:val="single" w:color="auto" w:sz="4" w:space="0"/>
                    <w:bottom w:val="single" w:color="auto" w:sz="4" w:space="0"/>
                    <w:right w:val="nil"/>
                  </w:tcBorders>
                  <w:vAlign w:val="center"/>
                </w:tcPr>
                <w:p w14:paraId="6EC44910">
                  <w:pPr>
                    <w:pStyle w:val="48"/>
                    <w:rPr>
                      <w:color w:val="auto"/>
                    </w:rPr>
                  </w:pPr>
                  <w:r>
                    <w:rPr>
                      <w:color w:val="auto"/>
                    </w:rPr>
                    <w:t>否</w:t>
                  </w:r>
                </w:p>
              </w:tc>
            </w:tr>
            <w:tr w14:paraId="796E08D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top w:val="single" w:color="auto" w:sz="4" w:space="0"/>
                    <w:left w:val="nil"/>
                    <w:bottom w:val="single" w:color="auto" w:sz="4" w:space="0"/>
                    <w:right w:val="single" w:color="auto" w:sz="4" w:space="0"/>
                  </w:tcBorders>
                  <w:vAlign w:val="center"/>
                </w:tcPr>
                <w:p w14:paraId="0E3F7312">
                  <w:pPr>
                    <w:pStyle w:val="48"/>
                    <w:rPr>
                      <w:color w:val="auto"/>
                    </w:rPr>
                  </w:pPr>
                  <w:r>
                    <w:rPr>
                      <w:color w:val="auto"/>
                    </w:rPr>
                    <w:t>生态</w:t>
                  </w:r>
                </w:p>
              </w:tc>
              <w:tc>
                <w:tcPr>
                  <w:tcW w:w="2631" w:type="dxa"/>
                  <w:tcBorders>
                    <w:top w:val="single" w:color="auto" w:sz="4" w:space="0"/>
                    <w:left w:val="single" w:color="auto" w:sz="4" w:space="0"/>
                    <w:bottom w:val="single" w:color="auto" w:sz="4" w:space="0"/>
                    <w:right w:val="single" w:color="auto" w:sz="4" w:space="0"/>
                  </w:tcBorders>
                  <w:vAlign w:val="center"/>
                </w:tcPr>
                <w:p w14:paraId="332E3183">
                  <w:pPr>
                    <w:pStyle w:val="48"/>
                    <w:jc w:val="both"/>
                    <w:rPr>
                      <w:color w:val="auto"/>
                    </w:rPr>
                  </w:pPr>
                  <w:r>
                    <w:rPr>
                      <w:color w:val="auto"/>
                    </w:rPr>
                    <w:t>取水口下游500米范围内有重要水生生物的自然产卵场、索饵场、越冬场和洄游通道的新增河道取水的污染类建设项目</w:t>
                  </w:r>
                </w:p>
              </w:tc>
              <w:tc>
                <w:tcPr>
                  <w:tcW w:w="2871" w:type="dxa"/>
                  <w:tcBorders>
                    <w:top w:val="single" w:color="auto" w:sz="4" w:space="0"/>
                    <w:left w:val="single" w:color="auto" w:sz="4" w:space="0"/>
                    <w:bottom w:val="single" w:color="auto" w:sz="4" w:space="0"/>
                    <w:right w:val="single" w:color="auto" w:sz="4" w:space="0"/>
                  </w:tcBorders>
                  <w:vAlign w:val="center"/>
                </w:tcPr>
                <w:p w14:paraId="0E2E3C5E">
                  <w:pPr>
                    <w:pStyle w:val="48"/>
                    <w:jc w:val="both"/>
                    <w:rPr>
                      <w:color w:val="auto"/>
                    </w:rPr>
                  </w:pPr>
                  <w:r>
                    <w:rPr>
                      <w:color w:val="auto"/>
                    </w:rPr>
                    <w:t>本项目位于辽宁省朝阳市朝阳县瓦房子镇上三家子村（朝阳县瓦房子镇工业园区朝阳县瓦房子镇宏兴锰矿厂区内），用水来自于朝阳县瓦房子镇宏兴锰矿供水，不新增河道取水口。</w:t>
                  </w:r>
                </w:p>
              </w:tc>
              <w:tc>
                <w:tcPr>
                  <w:tcW w:w="664" w:type="dxa"/>
                  <w:tcBorders>
                    <w:top w:val="single" w:color="auto" w:sz="4" w:space="0"/>
                    <w:left w:val="single" w:color="auto" w:sz="4" w:space="0"/>
                    <w:bottom w:val="single" w:color="auto" w:sz="4" w:space="0"/>
                    <w:right w:val="nil"/>
                  </w:tcBorders>
                  <w:vAlign w:val="center"/>
                </w:tcPr>
                <w:p w14:paraId="1ECEAA75">
                  <w:pPr>
                    <w:pStyle w:val="48"/>
                    <w:rPr>
                      <w:color w:val="auto"/>
                    </w:rPr>
                  </w:pPr>
                  <w:r>
                    <w:rPr>
                      <w:color w:val="auto"/>
                    </w:rPr>
                    <w:t>否</w:t>
                  </w:r>
                </w:p>
              </w:tc>
            </w:tr>
            <w:tr w14:paraId="6F86A00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top w:val="single" w:color="auto" w:sz="4" w:space="0"/>
                    <w:left w:val="nil"/>
                    <w:bottom w:val="single" w:color="auto" w:sz="4" w:space="0"/>
                    <w:right w:val="single" w:color="auto" w:sz="4" w:space="0"/>
                  </w:tcBorders>
                  <w:vAlign w:val="center"/>
                </w:tcPr>
                <w:p w14:paraId="0D56251B">
                  <w:pPr>
                    <w:pStyle w:val="48"/>
                    <w:rPr>
                      <w:color w:val="auto"/>
                    </w:rPr>
                  </w:pPr>
                  <w:r>
                    <w:rPr>
                      <w:color w:val="auto"/>
                    </w:rPr>
                    <w:t>海洋</w:t>
                  </w:r>
                </w:p>
              </w:tc>
              <w:tc>
                <w:tcPr>
                  <w:tcW w:w="2631" w:type="dxa"/>
                  <w:tcBorders>
                    <w:top w:val="single" w:color="auto" w:sz="4" w:space="0"/>
                    <w:left w:val="single" w:color="auto" w:sz="4" w:space="0"/>
                    <w:bottom w:val="single" w:color="auto" w:sz="4" w:space="0"/>
                    <w:right w:val="single" w:color="auto" w:sz="4" w:space="0"/>
                  </w:tcBorders>
                  <w:vAlign w:val="center"/>
                </w:tcPr>
                <w:p w14:paraId="3CDA402B">
                  <w:pPr>
                    <w:pStyle w:val="48"/>
                    <w:jc w:val="both"/>
                    <w:rPr>
                      <w:color w:val="auto"/>
                    </w:rPr>
                  </w:pPr>
                  <w:r>
                    <w:rPr>
                      <w:color w:val="auto"/>
                    </w:rPr>
                    <w:t>直接向海排放污染物的海洋工程建设项目</w:t>
                  </w:r>
                </w:p>
              </w:tc>
              <w:tc>
                <w:tcPr>
                  <w:tcW w:w="2871" w:type="dxa"/>
                  <w:tcBorders>
                    <w:top w:val="single" w:color="auto" w:sz="4" w:space="0"/>
                    <w:left w:val="single" w:color="auto" w:sz="4" w:space="0"/>
                    <w:bottom w:val="single" w:color="auto" w:sz="4" w:space="0"/>
                    <w:right w:val="single" w:color="auto" w:sz="4" w:space="0"/>
                  </w:tcBorders>
                  <w:vAlign w:val="center"/>
                </w:tcPr>
                <w:p w14:paraId="1BDC96C7">
                  <w:pPr>
                    <w:pStyle w:val="48"/>
                    <w:jc w:val="both"/>
                    <w:rPr>
                      <w:color w:val="auto"/>
                    </w:rPr>
                  </w:pPr>
                  <w:r>
                    <w:rPr>
                      <w:color w:val="auto"/>
                    </w:rPr>
                    <w:t>本项目不属于海洋工程项目</w:t>
                  </w:r>
                </w:p>
              </w:tc>
              <w:tc>
                <w:tcPr>
                  <w:tcW w:w="664" w:type="dxa"/>
                  <w:tcBorders>
                    <w:top w:val="single" w:color="auto" w:sz="4" w:space="0"/>
                    <w:left w:val="single" w:color="auto" w:sz="4" w:space="0"/>
                    <w:bottom w:val="single" w:color="auto" w:sz="4" w:space="0"/>
                    <w:right w:val="nil"/>
                  </w:tcBorders>
                  <w:vAlign w:val="center"/>
                </w:tcPr>
                <w:p w14:paraId="78910C02">
                  <w:pPr>
                    <w:pStyle w:val="48"/>
                    <w:rPr>
                      <w:color w:val="auto"/>
                    </w:rPr>
                  </w:pPr>
                  <w:r>
                    <w:rPr>
                      <w:color w:val="auto"/>
                    </w:rPr>
                    <w:t>否</w:t>
                  </w:r>
                </w:p>
              </w:tc>
            </w:tr>
            <w:tr w14:paraId="1C9C57A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top w:val="single" w:color="auto" w:sz="4" w:space="0"/>
                    <w:left w:val="nil"/>
                    <w:bottom w:val="double" w:color="auto" w:sz="2" w:space="0"/>
                    <w:right w:val="single" w:color="auto" w:sz="4" w:space="0"/>
                  </w:tcBorders>
                  <w:vAlign w:val="center"/>
                </w:tcPr>
                <w:p w14:paraId="1AB57386">
                  <w:pPr>
                    <w:pStyle w:val="48"/>
                    <w:rPr>
                      <w:color w:val="auto"/>
                    </w:rPr>
                  </w:pPr>
                  <w:r>
                    <w:rPr>
                      <w:color w:val="auto"/>
                    </w:rPr>
                    <w:t>地下水</w:t>
                  </w:r>
                </w:p>
              </w:tc>
              <w:tc>
                <w:tcPr>
                  <w:tcW w:w="2631" w:type="dxa"/>
                  <w:tcBorders>
                    <w:top w:val="single" w:color="auto" w:sz="4" w:space="0"/>
                    <w:left w:val="single" w:color="auto" w:sz="4" w:space="0"/>
                    <w:bottom w:val="double" w:color="auto" w:sz="2" w:space="0"/>
                    <w:right w:val="single" w:color="auto" w:sz="4" w:space="0"/>
                  </w:tcBorders>
                  <w:vAlign w:val="center"/>
                </w:tcPr>
                <w:p w14:paraId="3E1DACD4">
                  <w:pPr>
                    <w:pStyle w:val="48"/>
                    <w:jc w:val="both"/>
                    <w:rPr>
                      <w:color w:val="auto"/>
                    </w:rPr>
                  </w:pPr>
                  <w:r>
                    <w:rPr>
                      <w:color w:val="auto"/>
                    </w:rPr>
                    <w:t>原则上不开展专项评价，涉及集中式饮用水水源和热水、矿泉水、温泉等特殊地下水资源保护区的开展地下水专项评价工作</w:t>
                  </w:r>
                </w:p>
              </w:tc>
              <w:tc>
                <w:tcPr>
                  <w:tcW w:w="2871" w:type="dxa"/>
                  <w:tcBorders>
                    <w:top w:val="single" w:color="auto" w:sz="4" w:space="0"/>
                    <w:left w:val="single" w:color="auto" w:sz="4" w:space="0"/>
                    <w:bottom w:val="double" w:color="auto" w:sz="2" w:space="0"/>
                    <w:right w:val="single" w:color="auto" w:sz="4" w:space="0"/>
                  </w:tcBorders>
                  <w:vAlign w:val="center"/>
                </w:tcPr>
                <w:p w14:paraId="137C0FFE">
                  <w:pPr>
                    <w:pStyle w:val="48"/>
                    <w:jc w:val="both"/>
                    <w:rPr>
                      <w:color w:val="auto"/>
                    </w:rPr>
                  </w:pPr>
                  <w:r>
                    <w:rPr>
                      <w:color w:val="auto"/>
                    </w:rPr>
                    <w:t>本项目位于辽宁省朝阳市朝阳县瓦房子镇上三家子村，不涉及集中式饮用水水源和热水、矿泉水、温泉等特殊地下水资源保护区</w:t>
                  </w:r>
                </w:p>
              </w:tc>
              <w:tc>
                <w:tcPr>
                  <w:tcW w:w="664" w:type="dxa"/>
                  <w:tcBorders>
                    <w:top w:val="single" w:color="auto" w:sz="4" w:space="0"/>
                    <w:left w:val="single" w:color="auto" w:sz="4" w:space="0"/>
                    <w:bottom w:val="double" w:color="auto" w:sz="2" w:space="0"/>
                    <w:right w:val="nil"/>
                  </w:tcBorders>
                  <w:vAlign w:val="center"/>
                </w:tcPr>
                <w:p w14:paraId="197E47FC">
                  <w:pPr>
                    <w:pStyle w:val="48"/>
                    <w:rPr>
                      <w:color w:val="auto"/>
                    </w:rPr>
                  </w:pPr>
                  <w:r>
                    <w:rPr>
                      <w:color w:val="auto"/>
                    </w:rPr>
                    <w:t>否</w:t>
                  </w:r>
                </w:p>
              </w:tc>
            </w:tr>
          </w:tbl>
          <w:p w14:paraId="34DC6C7A">
            <w:pPr>
              <w:autoSpaceDE w:val="0"/>
              <w:autoSpaceDN w:val="0"/>
              <w:adjustRightInd w:val="0"/>
              <w:snapToGrid w:val="0"/>
              <w:ind w:firstLine="480"/>
              <w:rPr>
                <w:rFonts w:eastAsiaTheme="minorEastAsia"/>
                <w:color w:val="auto"/>
                <w:kern w:val="0"/>
                <w:sz w:val="24"/>
              </w:rPr>
            </w:pPr>
          </w:p>
        </w:tc>
      </w:tr>
      <w:tr w14:paraId="1C6F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1" w:hRule="atLeast"/>
        </w:trPr>
        <w:tc>
          <w:tcPr>
            <w:tcW w:w="1088" w:type="dxa"/>
            <w:tcBorders>
              <w:tl2br w:val="nil"/>
              <w:tr2bl w:val="nil"/>
            </w:tcBorders>
            <w:shd w:val="clear" w:color="auto" w:fill="auto"/>
            <w:tcMar>
              <w:top w:w="0" w:type="dxa"/>
              <w:left w:w="108" w:type="dxa"/>
              <w:bottom w:w="0" w:type="dxa"/>
              <w:right w:w="108" w:type="dxa"/>
            </w:tcMar>
            <w:vAlign w:val="center"/>
          </w:tcPr>
          <w:p w14:paraId="64E7C051">
            <w:pPr>
              <w:pStyle w:val="129"/>
              <w:jc w:val="center"/>
              <w:rPr>
                <w:rFonts w:eastAsiaTheme="minorEastAsia"/>
                <w:color w:val="auto"/>
                <w:sz w:val="24"/>
                <w:szCs w:val="24"/>
              </w:rPr>
            </w:pPr>
            <w:r>
              <w:rPr>
                <w:rFonts w:eastAsiaTheme="minorEastAsia"/>
                <w:color w:val="auto"/>
                <w:sz w:val="24"/>
                <w:szCs w:val="24"/>
              </w:rPr>
              <w:t>规划</w:t>
            </w:r>
          </w:p>
          <w:p w14:paraId="29C9C13D">
            <w:pPr>
              <w:pStyle w:val="129"/>
              <w:jc w:val="center"/>
              <w:rPr>
                <w:rFonts w:eastAsiaTheme="minorEastAsia"/>
                <w:color w:val="auto"/>
                <w:sz w:val="24"/>
                <w:szCs w:val="24"/>
              </w:rPr>
            </w:pPr>
            <w:r>
              <w:rPr>
                <w:rFonts w:eastAsiaTheme="minorEastAsia"/>
                <w:color w:val="auto"/>
                <w:sz w:val="24"/>
                <w:szCs w:val="24"/>
              </w:rPr>
              <w:t>情况</w:t>
            </w:r>
          </w:p>
        </w:tc>
        <w:tc>
          <w:tcPr>
            <w:tcW w:w="7211" w:type="dxa"/>
            <w:gridSpan w:val="3"/>
            <w:tcBorders>
              <w:tl2br w:val="nil"/>
              <w:tr2bl w:val="nil"/>
            </w:tcBorders>
            <w:shd w:val="clear" w:color="auto" w:fill="auto"/>
            <w:tcMar>
              <w:top w:w="0" w:type="dxa"/>
              <w:left w:w="108" w:type="dxa"/>
              <w:bottom w:w="0" w:type="dxa"/>
              <w:right w:w="108" w:type="dxa"/>
            </w:tcMar>
            <w:vAlign w:val="center"/>
          </w:tcPr>
          <w:p w14:paraId="3C070485">
            <w:pPr>
              <w:pStyle w:val="43"/>
              <w:ind w:firstLine="480"/>
              <w:rPr>
                <w:rFonts w:cs="Times New Roman" w:eastAsiaTheme="minorEastAsia"/>
                <w:color w:val="auto"/>
              </w:rPr>
            </w:pPr>
            <w:r>
              <w:rPr>
                <w:rFonts w:cs="Times New Roman" w:eastAsiaTheme="minorEastAsia"/>
                <w:color w:val="auto"/>
              </w:rPr>
              <w:t>规划名称：朝阳县瓦房子镇工业园区总体规划（2019-2035）</w:t>
            </w:r>
          </w:p>
          <w:p w14:paraId="74454777">
            <w:pPr>
              <w:pStyle w:val="43"/>
              <w:ind w:firstLine="480"/>
              <w:rPr>
                <w:rFonts w:cs="Times New Roman" w:eastAsiaTheme="minorEastAsia"/>
                <w:color w:val="auto"/>
              </w:rPr>
            </w:pPr>
            <w:r>
              <w:rPr>
                <w:rFonts w:cs="Times New Roman" w:eastAsiaTheme="minorEastAsia"/>
                <w:color w:val="auto"/>
              </w:rPr>
              <w:t>审批机关：朝阳县人民政府；</w:t>
            </w:r>
          </w:p>
          <w:p w14:paraId="20D3A8AD">
            <w:pPr>
              <w:pStyle w:val="43"/>
              <w:ind w:firstLine="480"/>
              <w:rPr>
                <w:rFonts w:cs="Times New Roman" w:eastAsiaTheme="minorEastAsia"/>
                <w:color w:val="auto"/>
              </w:rPr>
            </w:pPr>
            <w:r>
              <w:rPr>
                <w:rFonts w:cs="Times New Roman" w:eastAsiaTheme="minorEastAsia"/>
                <w:color w:val="auto"/>
              </w:rPr>
              <w:t>审批文件名称及文号：《朝阳县人民政府关于同意设立瓦房子工业园区的批复》，朝县政[2023]74号。</w:t>
            </w:r>
          </w:p>
          <w:p w14:paraId="72FAC5D8">
            <w:pPr>
              <w:pStyle w:val="43"/>
              <w:ind w:firstLine="480"/>
              <w:rPr>
                <w:rFonts w:cs="Times New Roman" w:eastAsiaTheme="minorEastAsia"/>
                <w:color w:val="auto"/>
              </w:rPr>
            </w:pPr>
            <w:r>
              <w:rPr>
                <w:rFonts w:cs="Times New Roman" w:eastAsiaTheme="minorEastAsia"/>
                <w:color w:val="auto"/>
              </w:rPr>
              <w:t>规划名称：《朝阳县国土空间总体规划（2021-2035年）》</w:t>
            </w:r>
          </w:p>
          <w:p w14:paraId="1984D6DF">
            <w:pPr>
              <w:pStyle w:val="43"/>
              <w:ind w:firstLine="480"/>
              <w:rPr>
                <w:rFonts w:cs="Times New Roman" w:eastAsiaTheme="minorEastAsia"/>
                <w:color w:val="auto"/>
              </w:rPr>
            </w:pPr>
            <w:r>
              <w:rPr>
                <w:rFonts w:cs="Times New Roman" w:eastAsiaTheme="minorEastAsia"/>
                <w:color w:val="auto"/>
              </w:rPr>
              <w:t>审批机关：辽宁省人民政府；</w:t>
            </w:r>
          </w:p>
          <w:p w14:paraId="1833F5F7">
            <w:pPr>
              <w:pStyle w:val="43"/>
              <w:ind w:firstLine="480"/>
              <w:rPr>
                <w:rFonts w:cs="Times New Roman" w:eastAsiaTheme="minorEastAsia"/>
                <w:color w:val="auto"/>
              </w:rPr>
            </w:pPr>
            <w:r>
              <w:rPr>
                <w:rFonts w:cs="Times New Roman" w:eastAsiaTheme="minorEastAsia"/>
                <w:color w:val="auto"/>
              </w:rPr>
              <w:t>审批文件名称及文号：《辽宁省人民政府关于北票市、凌源市、朝阳县、建平县、喀喇沁左翼蒙古族自治县国土空间总体规划（2021—2035年）的批复》，辽政[2024]77号</w:t>
            </w:r>
          </w:p>
        </w:tc>
      </w:tr>
      <w:tr w14:paraId="1D11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1" w:hRule="atLeast"/>
        </w:trPr>
        <w:tc>
          <w:tcPr>
            <w:tcW w:w="1088" w:type="dxa"/>
            <w:tcBorders>
              <w:tl2br w:val="nil"/>
              <w:tr2bl w:val="nil"/>
            </w:tcBorders>
            <w:shd w:val="clear" w:color="auto" w:fill="auto"/>
            <w:tcMar>
              <w:top w:w="0" w:type="dxa"/>
              <w:left w:w="108" w:type="dxa"/>
              <w:bottom w:w="0" w:type="dxa"/>
              <w:right w:w="108" w:type="dxa"/>
            </w:tcMar>
            <w:vAlign w:val="center"/>
          </w:tcPr>
          <w:p w14:paraId="081C96D9">
            <w:pPr>
              <w:pStyle w:val="129"/>
              <w:jc w:val="center"/>
              <w:rPr>
                <w:rFonts w:eastAsiaTheme="minorEastAsia"/>
                <w:color w:val="auto"/>
                <w:sz w:val="24"/>
                <w:szCs w:val="24"/>
              </w:rPr>
            </w:pPr>
            <w:r>
              <w:rPr>
                <w:rFonts w:eastAsiaTheme="minorEastAsia"/>
                <w:color w:val="auto"/>
                <w:sz w:val="24"/>
                <w:szCs w:val="24"/>
              </w:rPr>
              <w:t>规划环境影响评价情况</w:t>
            </w:r>
          </w:p>
        </w:tc>
        <w:tc>
          <w:tcPr>
            <w:tcW w:w="7211" w:type="dxa"/>
            <w:gridSpan w:val="3"/>
            <w:tcBorders>
              <w:tl2br w:val="nil"/>
              <w:tr2bl w:val="nil"/>
            </w:tcBorders>
            <w:shd w:val="clear" w:color="auto" w:fill="auto"/>
            <w:tcMar>
              <w:top w:w="0" w:type="dxa"/>
              <w:left w:w="108" w:type="dxa"/>
              <w:bottom w:w="0" w:type="dxa"/>
              <w:right w:w="108" w:type="dxa"/>
            </w:tcMar>
            <w:vAlign w:val="center"/>
          </w:tcPr>
          <w:p w14:paraId="4BD3B6FB">
            <w:pPr>
              <w:autoSpaceDE w:val="0"/>
              <w:autoSpaceDN w:val="0"/>
              <w:adjustRightInd w:val="0"/>
              <w:snapToGrid w:val="0"/>
              <w:spacing w:line="360" w:lineRule="auto"/>
              <w:rPr>
                <w:rFonts w:eastAsiaTheme="minorEastAsia"/>
                <w:color w:val="auto"/>
                <w:sz w:val="24"/>
              </w:rPr>
            </w:pPr>
            <w:r>
              <w:rPr>
                <w:rFonts w:eastAsiaTheme="minorEastAsia"/>
                <w:color w:val="auto"/>
                <w:sz w:val="24"/>
              </w:rPr>
              <w:t>规划环评文件：朝阳县瓦房子镇工业园区总体规划（2019-2035）环境影响报告书</w:t>
            </w:r>
          </w:p>
          <w:p w14:paraId="141FA536">
            <w:pPr>
              <w:autoSpaceDE w:val="0"/>
              <w:autoSpaceDN w:val="0"/>
              <w:adjustRightInd w:val="0"/>
              <w:snapToGrid w:val="0"/>
              <w:spacing w:line="360" w:lineRule="auto"/>
              <w:rPr>
                <w:rFonts w:eastAsiaTheme="minorEastAsia"/>
                <w:color w:val="auto"/>
                <w:sz w:val="24"/>
              </w:rPr>
            </w:pPr>
            <w:r>
              <w:rPr>
                <w:rFonts w:eastAsiaTheme="minorEastAsia"/>
                <w:color w:val="auto"/>
                <w:sz w:val="24"/>
              </w:rPr>
              <w:t>规划环评审查文件：关于朝阳县瓦房子镇工业园区总体规划（2019-2035）环境影响报告书的审查意见，朝县环发[2021]第55号</w:t>
            </w:r>
          </w:p>
        </w:tc>
      </w:tr>
      <w:tr w14:paraId="7306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trPr>
        <w:tc>
          <w:tcPr>
            <w:tcW w:w="1088" w:type="dxa"/>
            <w:tcBorders>
              <w:tl2br w:val="nil"/>
              <w:tr2bl w:val="nil"/>
            </w:tcBorders>
            <w:shd w:val="clear" w:color="auto" w:fill="auto"/>
            <w:tcMar>
              <w:top w:w="0" w:type="dxa"/>
              <w:left w:w="108" w:type="dxa"/>
              <w:bottom w:w="0" w:type="dxa"/>
              <w:right w:w="108" w:type="dxa"/>
            </w:tcMar>
            <w:vAlign w:val="center"/>
          </w:tcPr>
          <w:p w14:paraId="4C8954F8">
            <w:pPr>
              <w:pStyle w:val="129"/>
              <w:jc w:val="center"/>
              <w:rPr>
                <w:rFonts w:eastAsiaTheme="minorEastAsia"/>
                <w:color w:val="auto"/>
                <w:sz w:val="24"/>
                <w:szCs w:val="24"/>
              </w:rPr>
            </w:pPr>
            <w:r>
              <w:rPr>
                <w:rFonts w:eastAsiaTheme="minorEastAsia"/>
                <w:color w:val="auto"/>
                <w:sz w:val="24"/>
                <w:szCs w:val="24"/>
              </w:rPr>
              <w:t>规划及规划环境影响评价符合性分析</w:t>
            </w:r>
          </w:p>
        </w:tc>
        <w:tc>
          <w:tcPr>
            <w:tcW w:w="7211" w:type="dxa"/>
            <w:gridSpan w:val="3"/>
            <w:tcBorders>
              <w:tl2br w:val="nil"/>
              <w:tr2bl w:val="nil"/>
            </w:tcBorders>
            <w:shd w:val="clear" w:color="auto" w:fill="auto"/>
            <w:tcMar>
              <w:top w:w="0" w:type="dxa"/>
              <w:left w:w="108" w:type="dxa"/>
              <w:bottom w:w="0" w:type="dxa"/>
              <w:right w:w="108" w:type="dxa"/>
            </w:tcMar>
            <w:vAlign w:val="center"/>
          </w:tcPr>
          <w:p w14:paraId="4B8D8084">
            <w:pPr>
              <w:pStyle w:val="65"/>
              <w:ind w:firstLine="482"/>
              <w:rPr>
                <w:rFonts w:eastAsiaTheme="minorEastAsia"/>
                <w:b/>
                <w:bCs/>
                <w:color w:val="auto"/>
              </w:rPr>
            </w:pPr>
            <w:r>
              <w:rPr>
                <w:rFonts w:eastAsiaTheme="minorEastAsia"/>
                <w:b/>
                <w:bCs/>
                <w:color w:val="auto"/>
              </w:rPr>
              <w:t>1.与《朝阳县国土空间总体规划（2021-2035）》符合性分析</w:t>
            </w:r>
          </w:p>
          <w:p w14:paraId="0E881A4D">
            <w:pPr>
              <w:pStyle w:val="65"/>
              <w:ind w:firstLine="480"/>
              <w:rPr>
                <w:rFonts w:eastAsiaTheme="minorEastAsia"/>
                <w:color w:val="auto"/>
              </w:rPr>
            </w:pPr>
            <w:r>
              <w:rPr>
                <w:rFonts w:eastAsiaTheme="minorEastAsia"/>
                <w:color w:val="auto"/>
              </w:rPr>
              <w:t>（1）规划情况</w:t>
            </w:r>
          </w:p>
          <w:p w14:paraId="1665C75A">
            <w:pPr>
              <w:pStyle w:val="65"/>
              <w:ind w:firstLine="480"/>
              <w:rPr>
                <w:rFonts w:eastAsiaTheme="minorEastAsia"/>
                <w:color w:val="auto"/>
              </w:rPr>
            </w:pPr>
            <w:r>
              <w:rPr>
                <w:rFonts w:eastAsiaTheme="minorEastAsia"/>
                <w:color w:val="auto"/>
              </w:rPr>
              <w:t>《规划》中提出：规划重点落实新发展理念、实施高效能空间治理、促进高质量发展和营造高品质生活，是指导县域国土空间保护、开发、利用、修复和指导各类建设的行动纲领；是对省市上位国土空间总体规划相关要求的细化落实，是制定空间发展政策、开展国土空间资源保护利用修复和实施国土空间规划管理的蓝图，是编制县域相关专项规划和详细规划的依据，是实施国土空间用途管制的基本依据。</w:t>
            </w:r>
          </w:p>
          <w:p w14:paraId="599D9731">
            <w:pPr>
              <w:pStyle w:val="65"/>
              <w:ind w:firstLine="480"/>
              <w:rPr>
                <w:rFonts w:eastAsiaTheme="minorEastAsia"/>
                <w:color w:val="auto"/>
              </w:rPr>
            </w:pPr>
            <w:r>
              <w:rPr>
                <w:rFonts w:eastAsiaTheme="minorEastAsia"/>
                <w:color w:val="auto"/>
              </w:rPr>
              <w:t>《规划》中提出：</w:t>
            </w:r>
            <w:r>
              <w:rPr>
                <w:rFonts w:hint="eastAsia" w:eastAsiaTheme="minorEastAsia"/>
                <w:color w:val="auto"/>
              </w:rPr>
              <w:t>“</w:t>
            </w:r>
            <w:r>
              <w:rPr>
                <w:rFonts w:eastAsiaTheme="minorEastAsia"/>
                <w:color w:val="auto"/>
              </w:rPr>
              <w:t>第二章现状基础、存在问题和风险挑战第三节主要问题第20条矿产开发亟待转型朝阳县矿山企业多、开采历史长、采矿用地利用粗放、地质环境问题突出，矿山恢复治理和提升矿产资源开发利用整体管理水平的任务艰巨。亟需转变矿产资源开发利用方式，在资源节约集约和高效利用、节能减排、环境保护等方面不断实现高质量发展。</w:t>
            </w:r>
            <w:r>
              <w:rPr>
                <w:rFonts w:hint="eastAsia" w:eastAsiaTheme="minorEastAsia"/>
                <w:color w:val="auto"/>
              </w:rPr>
              <w:t>”</w:t>
            </w:r>
          </w:p>
          <w:p w14:paraId="0DBE284B">
            <w:pPr>
              <w:pStyle w:val="65"/>
              <w:ind w:firstLine="480"/>
              <w:rPr>
                <w:rFonts w:eastAsiaTheme="minorEastAsia"/>
                <w:color w:val="auto"/>
              </w:rPr>
            </w:pPr>
            <w:r>
              <w:rPr>
                <w:rFonts w:eastAsiaTheme="minorEastAsia"/>
                <w:color w:val="auto"/>
              </w:rPr>
              <w:t>《规划》中提出到2035年，朝阳县耕地保有量不低于156.92万亩，其中永久基本农田保护面积不低于137.75万亩。规划要求落实永久基本农田约束性指标。</w:t>
            </w:r>
          </w:p>
          <w:p w14:paraId="531C7187">
            <w:pPr>
              <w:pStyle w:val="65"/>
              <w:ind w:firstLine="480"/>
              <w:rPr>
                <w:rFonts w:eastAsiaTheme="minorEastAsia"/>
                <w:color w:val="auto"/>
              </w:rPr>
            </w:pPr>
            <w:r>
              <w:rPr>
                <w:rFonts w:eastAsiaTheme="minorEastAsia"/>
                <w:color w:val="auto"/>
              </w:rPr>
              <w:t>（2）符合性分析</w:t>
            </w:r>
          </w:p>
          <w:p w14:paraId="053C2F4C">
            <w:pPr>
              <w:pStyle w:val="65"/>
              <w:ind w:firstLine="480"/>
              <w:rPr>
                <w:rFonts w:eastAsiaTheme="minorEastAsia"/>
                <w:color w:val="auto"/>
              </w:rPr>
            </w:pPr>
            <w:r>
              <w:rPr>
                <w:rFonts w:eastAsiaTheme="minorEastAsia"/>
                <w:color w:val="auto"/>
              </w:rPr>
              <w:t>本项目为固体废物加工再利用项目，对园区内锰合金冶炼企业产生的部分一般固体废物进行综合利用。</w:t>
            </w:r>
          </w:p>
          <w:p w14:paraId="70EF359F">
            <w:pPr>
              <w:pStyle w:val="65"/>
              <w:ind w:firstLine="480"/>
              <w:rPr>
                <w:rFonts w:eastAsiaTheme="minorEastAsia"/>
                <w:color w:val="auto"/>
              </w:rPr>
            </w:pPr>
            <w:r>
              <w:rPr>
                <w:rFonts w:eastAsiaTheme="minorEastAsia"/>
                <w:color w:val="auto"/>
              </w:rPr>
              <w:t>本项目租用朝阳县瓦房子镇宏兴锰矿场地，占地属于工业园区中工业用地。</w:t>
            </w:r>
          </w:p>
          <w:p w14:paraId="23E90BC0">
            <w:pPr>
              <w:pStyle w:val="65"/>
              <w:ind w:firstLine="482"/>
              <w:rPr>
                <w:rFonts w:eastAsiaTheme="minorEastAsia"/>
                <w:b/>
                <w:bCs/>
                <w:color w:val="auto"/>
              </w:rPr>
            </w:pPr>
            <w:r>
              <w:rPr>
                <w:rFonts w:eastAsiaTheme="minorEastAsia"/>
                <w:b/>
                <w:bCs/>
                <w:color w:val="auto"/>
              </w:rPr>
              <w:t>2.与《朝阳县瓦房子镇工业园区总体规划（2019-2035）》符合性分析</w:t>
            </w:r>
          </w:p>
          <w:p w14:paraId="3E74894F">
            <w:pPr>
              <w:pStyle w:val="65"/>
              <w:ind w:firstLine="480"/>
              <w:rPr>
                <w:rFonts w:eastAsiaTheme="minorEastAsia"/>
                <w:color w:val="auto"/>
              </w:rPr>
            </w:pPr>
            <w:r>
              <w:rPr>
                <w:rFonts w:eastAsiaTheme="minorEastAsia"/>
                <w:color w:val="auto"/>
              </w:rPr>
              <w:t>（1）规划情况</w:t>
            </w:r>
          </w:p>
          <w:p w14:paraId="17C47D42">
            <w:pPr>
              <w:pStyle w:val="65"/>
              <w:ind w:firstLine="480"/>
              <w:rPr>
                <w:rFonts w:eastAsiaTheme="minorEastAsia"/>
                <w:color w:val="auto"/>
              </w:rPr>
            </w:pPr>
            <w:r>
              <w:rPr>
                <w:rFonts w:eastAsiaTheme="minorEastAsia"/>
                <w:color w:val="auto"/>
              </w:rPr>
              <w:t>《朝阳县瓦房子镇工业园区总体规划（2019-2035）》中规划园区位于朝阳县瓦房子镇，规划范围总用地面积约152.9公顷。</w:t>
            </w:r>
          </w:p>
          <w:p w14:paraId="6806137B">
            <w:pPr>
              <w:pStyle w:val="65"/>
              <w:ind w:firstLine="480"/>
              <w:rPr>
                <w:rFonts w:eastAsiaTheme="minorEastAsia"/>
                <w:color w:val="auto"/>
              </w:rPr>
            </w:pPr>
            <w:r>
              <w:rPr>
                <w:rFonts w:eastAsiaTheme="minorEastAsia"/>
                <w:color w:val="auto"/>
              </w:rPr>
              <w:t>规划工业园区建设用地为152.9公顷。其中总建设用地面积为 145.15 公顷（含园区建设用地面积140.75公顷，区域交通设施用地面积为4.4公顷），非建设用地面积为7.75公顷。</w:t>
            </w:r>
          </w:p>
          <w:p w14:paraId="4C2652F7">
            <w:pPr>
              <w:pStyle w:val="65"/>
              <w:ind w:firstLine="480"/>
              <w:rPr>
                <w:rFonts w:eastAsiaTheme="minorEastAsia"/>
                <w:color w:val="auto"/>
              </w:rPr>
            </w:pPr>
            <w:r>
              <w:rPr>
                <w:rFonts w:eastAsiaTheme="minorEastAsia"/>
                <w:color w:val="auto"/>
              </w:rPr>
              <w:t>规划定位是以锰合金冶炼、精深加工及设备制造为主，锰合金新材料的研发为辅的工业园区。</w:t>
            </w:r>
          </w:p>
          <w:p w14:paraId="75499C2D">
            <w:pPr>
              <w:pStyle w:val="65"/>
              <w:ind w:firstLine="480"/>
              <w:rPr>
                <w:rFonts w:eastAsiaTheme="minorEastAsia"/>
                <w:color w:val="auto"/>
              </w:rPr>
            </w:pPr>
            <w:r>
              <w:rPr>
                <w:rFonts w:eastAsiaTheme="minorEastAsia"/>
                <w:color w:val="auto"/>
              </w:rPr>
              <w:t>规划审批机关：朝阳县人民政府；审批文件名称及文号：《朝阳县人民政府关于同意设立瓦房子工业园区的批复》，朝县政[2023]74号。</w:t>
            </w:r>
          </w:p>
          <w:p w14:paraId="23F9715F">
            <w:pPr>
              <w:pStyle w:val="65"/>
              <w:ind w:firstLine="480"/>
              <w:rPr>
                <w:rFonts w:eastAsiaTheme="minorEastAsia"/>
                <w:color w:val="auto"/>
              </w:rPr>
            </w:pPr>
            <w:r>
              <w:rPr>
                <w:rFonts w:eastAsiaTheme="minorEastAsia"/>
                <w:color w:val="auto"/>
              </w:rPr>
              <w:t>（2）规划园区基础设施情况</w:t>
            </w:r>
          </w:p>
          <w:p w14:paraId="337F0947">
            <w:pPr>
              <w:pStyle w:val="65"/>
              <w:ind w:firstLine="480"/>
              <w:rPr>
                <w:rFonts w:eastAsiaTheme="minorEastAsia"/>
                <w:color w:val="auto"/>
              </w:rPr>
            </w:pPr>
            <w:r>
              <w:rPr>
                <w:rFonts w:hint="eastAsia" w:ascii="宋体" w:hAnsi="宋体" w:cs="宋体"/>
                <w:color w:val="auto"/>
              </w:rPr>
              <w:t>①</w:t>
            </w:r>
            <w:r>
              <w:rPr>
                <w:rFonts w:eastAsiaTheme="minorEastAsia"/>
                <w:color w:val="auto"/>
              </w:rPr>
              <w:t>给水工程</w:t>
            </w:r>
          </w:p>
          <w:p w14:paraId="2B93B260">
            <w:pPr>
              <w:pStyle w:val="65"/>
              <w:ind w:firstLine="480"/>
              <w:rPr>
                <w:rFonts w:eastAsiaTheme="minorEastAsia"/>
                <w:color w:val="auto"/>
              </w:rPr>
            </w:pPr>
            <w:r>
              <w:rPr>
                <w:rFonts w:eastAsiaTheme="minorEastAsia"/>
                <w:color w:val="auto"/>
              </w:rPr>
              <w:t>由镇区水厂统一供水。给水管网采用枝状管网与环状管网相结合的方式布置。给水管道沿规划道路下敷设。</w:t>
            </w:r>
          </w:p>
          <w:p w14:paraId="5C2ECE96">
            <w:pPr>
              <w:pStyle w:val="65"/>
              <w:ind w:firstLine="480"/>
              <w:rPr>
                <w:rFonts w:eastAsiaTheme="minorEastAsia"/>
                <w:color w:val="auto"/>
              </w:rPr>
            </w:pPr>
            <w:r>
              <w:rPr>
                <w:rFonts w:hint="eastAsia" w:ascii="宋体" w:hAnsi="宋体" w:cs="宋体"/>
                <w:color w:val="auto"/>
              </w:rPr>
              <w:t>②</w:t>
            </w:r>
            <w:r>
              <w:rPr>
                <w:rFonts w:eastAsiaTheme="minorEastAsia"/>
                <w:color w:val="auto"/>
              </w:rPr>
              <w:t>污水工程</w:t>
            </w:r>
          </w:p>
          <w:p w14:paraId="0AB835CC">
            <w:pPr>
              <w:pStyle w:val="65"/>
              <w:ind w:firstLine="480"/>
              <w:rPr>
                <w:rFonts w:eastAsiaTheme="minorEastAsia"/>
                <w:color w:val="auto"/>
              </w:rPr>
            </w:pPr>
            <w:r>
              <w:rPr>
                <w:rFonts w:eastAsiaTheme="minorEastAsia"/>
                <w:color w:val="auto"/>
              </w:rPr>
              <w:t>规划生活污水经化粪池处理后进入园区污水管网排入污水处理厂处理；规划工业园区内工业废水须在企业内部处理达标后，由污水管网收集排入污水处理厂统一处理，污水经深度达标处理后排入水体。目前园区集中污水处理厂及配套管网未完成建设，本项目生活污水依托朝阳县瓦房子镇宏兴锰矿化粪池处理，定期清掏，脱硫废水循环使用，无生产废水外排。</w:t>
            </w:r>
          </w:p>
          <w:p w14:paraId="57F49CC3">
            <w:pPr>
              <w:pStyle w:val="65"/>
              <w:ind w:firstLine="480"/>
              <w:rPr>
                <w:rFonts w:eastAsiaTheme="minorEastAsia"/>
                <w:color w:val="auto"/>
              </w:rPr>
            </w:pPr>
            <w:r>
              <w:rPr>
                <w:rFonts w:hint="eastAsia" w:ascii="宋体" w:hAnsi="宋体" w:cs="宋体"/>
                <w:color w:val="auto"/>
              </w:rPr>
              <w:t>③</w:t>
            </w:r>
            <w:r>
              <w:rPr>
                <w:rFonts w:eastAsiaTheme="minorEastAsia"/>
                <w:color w:val="auto"/>
              </w:rPr>
              <w:t>雨水系统</w:t>
            </w:r>
          </w:p>
          <w:p w14:paraId="5E2ED3E2">
            <w:pPr>
              <w:pStyle w:val="65"/>
              <w:ind w:firstLine="480"/>
              <w:rPr>
                <w:rFonts w:eastAsiaTheme="minorEastAsia"/>
                <w:color w:val="auto"/>
              </w:rPr>
            </w:pPr>
            <w:r>
              <w:rPr>
                <w:rFonts w:eastAsiaTheme="minorEastAsia"/>
                <w:color w:val="auto"/>
              </w:rPr>
              <w:t>雨水采用道路边沟排出，边沟根据地形地势及道路竖向设计，结合规划道路布置，根据实际情况做单侧边沟或双侧边沟。</w:t>
            </w:r>
          </w:p>
          <w:p w14:paraId="45836649">
            <w:pPr>
              <w:pStyle w:val="65"/>
              <w:ind w:firstLine="480"/>
              <w:rPr>
                <w:rFonts w:eastAsiaTheme="minorEastAsia"/>
                <w:color w:val="auto"/>
              </w:rPr>
            </w:pPr>
            <w:r>
              <w:rPr>
                <w:rFonts w:hint="eastAsia" w:ascii="宋体" w:hAnsi="宋体" w:cs="宋体"/>
                <w:color w:val="auto"/>
              </w:rPr>
              <w:t>④</w:t>
            </w:r>
            <w:r>
              <w:rPr>
                <w:rFonts w:eastAsiaTheme="minorEastAsia"/>
                <w:color w:val="auto"/>
              </w:rPr>
              <w:t>供电工程</w:t>
            </w:r>
          </w:p>
          <w:p w14:paraId="5CF7C88C">
            <w:pPr>
              <w:pStyle w:val="65"/>
              <w:ind w:firstLine="480"/>
              <w:rPr>
                <w:rFonts w:eastAsiaTheme="minorEastAsia"/>
                <w:color w:val="auto"/>
              </w:rPr>
            </w:pPr>
            <w:r>
              <w:rPr>
                <w:rFonts w:eastAsiaTheme="minorEastAsia"/>
                <w:color w:val="auto"/>
              </w:rPr>
              <w:t>园区电源引自镇区内66kV变电所。园区10kV配电网采用多路10kV电缆进线方式。工业园区内供电电网呈环状，开环运行。</w:t>
            </w:r>
          </w:p>
          <w:p w14:paraId="28D58E62">
            <w:pPr>
              <w:pStyle w:val="65"/>
              <w:ind w:firstLine="480"/>
              <w:rPr>
                <w:rFonts w:eastAsiaTheme="minorEastAsia"/>
                <w:color w:val="auto"/>
              </w:rPr>
            </w:pPr>
            <w:r>
              <w:rPr>
                <w:rFonts w:hint="eastAsia" w:ascii="宋体" w:hAnsi="宋体" w:cs="宋体"/>
                <w:color w:val="auto"/>
              </w:rPr>
              <w:t>⑤</w:t>
            </w:r>
            <w:r>
              <w:rPr>
                <w:rFonts w:eastAsiaTheme="minorEastAsia"/>
                <w:color w:val="auto"/>
              </w:rPr>
              <w:t>通信工程</w:t>
            </w:r>
          </w:p>
          <w:p w14:paraId="23C4122E">
            <w:pPr>
              <w:pStyle w:val="65"/>
              <w:ind w:firstLine="480"/>
              <w:rPr>
                <w:rFonts w:eastAsiaTheme="minorEastAsia"/>
                <w:color w:val="auto"/>
              </w:rPr>
            </w:pPr>
            <w:r>
              <w:rPr>
                <w:rFonts w:eastAsiaTheme="minorEastAsia"/>
                <w:color w:val="auto"/>
              </w:rPr>
              <w:t>工业园区电信接入瓦房子镇区电信系统。根据工业园区的需求，调整邮路范围，缩小服务半径，延伸投递深度，增加服务种类。</w:t>
            </w:r>
          </w:p>
          <w:p w14:paraId="33FA3A9D">
            <w:pPr>
              <w:pStyle w:val="65"/>
              <w:ind w:firstLine="480"/>
              <w:rPr>
                <w:rFonts w:eastAsiaTheme="minorEastAsia"/>
                <w:color w:val="auto"/>
              </w:rPr>
            </w:pPr>
            <w:r>
              <w:rPr>
                <w:rFonts w:hint="eastAsia" w:ascii="宋体" w:hAnsi="宋体" w:cs="宋体"/>
                <w:color w:val="auto"/>
              </w:rPr>
              <w:t>⑥</w:t>
            </w:r>
            <w:r>
              <w:rPr>
                <w:rFonts w:eastAsiaTheme="minorEastAsia"/>
                <w:color w:val="auto"/>
              </w:rPr>
              <w:t>热源及供热</w:t>
            </w:r>
          </w:p>
          <w:p w14:paraId="21A772F4">
            <w:pPr>
              <w:pStyle w:val="65"/>
              <w:ind w:firstLine="480"/>
              <w:rPr>
                <w:rFonts w:eastAsiaTheme="minorEastAsia"/>
                <w:color w:val="auto"/>
              </w:rPr>
            </w:pPr>
            <w:r>
              <w:rPr>
                <w:rFonts w:eastAsiaTheme="minorEastAsia"/>
                <w:color w:val="auto"/>
              </w:rPr>
              <w:t>规划集中供热率为90%，规划热源近期园区企业内部自身解决（鼓励企业利用工业余热进行供暖），远期供热接入瓦房子镇集中供热系统。瓦房子镇集中供暖系统规划建设70MW锅炉一台，镇居民供暖需要10MW，剩余60MW能够满足本园区热源。</w:t>
            </w:r>
          </w:p>
          <w:p w14:paraId="2FF1ACEB">
            <w:pPr>
              <w:pStyle w:val="65"/>
              <w:ind w:firstLine="480"/>
              <w:rPr>
                <w:rFonts w:eastAsiaTheme="minorEastAsia"/>
                <w:color w:val="auto"/>
              </w:rPr>
            </w:pPr>
            <w:r>
              <w:rPr>
                <w:rFonts w:hint="eastAsia" w:ascii="宋体" w:hAnsi="宋体" w:cs="宋体"/>
                <w:color w:val="auto"/>
              </w:rPr>
              <w:t>⑦</w:t>
            </w:r>
            <w:r>
              <w:rPr>
                <w:rFonts w:eastAsiaTheme="minorEastAsia"/>
                <w:color w:val="auto"/>
              </w:rPr>
              <w:t>燃气工程</w:t>
            </w:r>
          </w:p>
          <w:p w14:paraId="658388A3">
            <w:pPr>
              <w:pStyle w:val="65"/>
              <w:ind w:firstLine="480"/>
              <w:rPr>
                <w:rFonts w:eastAsiaTheme="minorEastAsia"/>
                <w:color w:val="auto"/>
              </w:rPr>
            </w:pPr>
            <w:r>
              <w:rPr>
                <w:rFonts w:eastAsiaTheme="minorEastAsia"/>
                <w:color w:val="auto"/>
              </w:rPr>
              <w:t>以天然气为主，液化石油气为辅。天然气气源主要来自现状液化石油气储配站供应。工业园区远期燃气接入瓦房子镇区燃气系统。</w:t>
            </w:r>
          </w:p>
          <w:p w14:paraId="021DCA2F">
            <w:pPr>
              <w:pStyle w:val="65"/>
              <w:ind w:firstLine="480"/>
              <w:rPr>
                <w:rFonts w:eastAsiaTheme="minorEastAsia"/>
                <w:color w:val="auto"/>
              </w:rPr>
            </w:pPr>
            <w:r>
              <w:rPr>
                <w:rFonts w:hint="eastAsia" w:ascii="宋体" w:hAnsi="宋体" w:cs="宋体"/>
                <w:color w:val="auto"/>
              </w:rPr>
              <w:t>⑧</w:t>
            </w:r>
            <w:r>
              <w:rPr>
                <w:rFonts w:eastAsiaTheme="minorEastAsia"/>
                <w:color w:val="auto"/>
              </w:rPr>
              <w:t>生活垃圾</w:t>
            </w:r>
          </w:p>
          <w:p w14:paraId="4BE20EF1">
            <w:pPr>
              <w:pStyle w:val="65"/>
              <w:ind w:firstLine="480"/>
              <w:rPr>
                <w:rFonts w:eastAsiaTheme="minorEastAsia"/>
                <w:color w:val="auto"/>
              </w:rPr>
            </w:pPr>
            <w:r>
              <w:rPr>
                <w:rFonts w:eastAsiaTheme="minorEastAsia"/>
                <w:color w:val="auto"/>
              </w:rPr>
              <w:t>规划生活垃圾采用分类、定时、定点收集，综合利用、无害化处理的模式。目前园区已建立生活垃圾收集转运体系，由环卫部门统一清运处置。</w:t>
            </w:r>
          </w:p>
          <w:p w14:paraId="3A64114A">
            <w:pPr>
              <w:pStyle w:val="65"/>
              <w:ind w:firstLine="480"/>
              <w:rPr>
                <w:rFonts w:eastAsiaTheme="minorEastAsia"/>
                <w:color w:val="auto"/>
              </w:rPr>
            </w:pPr>
            <w:r>
              <w:rPr>
                <w:rFonts w:hint="eastAsia" w:ascii="宋体" w:hAnsi="宋体" w:cs="宋体"/>
                <w:color w:val="auto"/>
              </w:rPr>
              <w:t>⑨</w:t>
            </w:r>
            <w:r>
              <w:rPr>
                <w:rFonts w:eastAsiaTheme="minorEastAsia"/>
                <w:color w:val="auto"/>
              </w:rPr>
              <w:t>固体废物</w:t>
            </w:r>
          </w:p>
          <w:p w14:paraId="2BF81748">
            <w:pPr>
              <w:pStyle w:val="65"/>
              <w:ind w:firstLine="480"/>
              <w:rPr>
                <w:rFonts w:eastAsiaTheme="minorEastAsia"/>
                <w:color w:val="auto"/>
              </w:rPr>
            </w:pPr>
            <w:r>
              <w:rPr>
                <w:rFonts w:eastAsiaTheme="minorEastAsia"/>
                <w:color w:val="auto"/>
              </w:rPr>
              <w:t>园区应建立工业固体废物申报登记制度。对固废的产出、贮存、处置等各个环节，切实有效地实行全过程控制。园区鼓励企业开展固体废物资源化利用，推动一般工业固体废物在园区内消纳和综合利用。</w:t>
            </w:r>
          </w:p>
          <w:p w14:paraId="67A1DF00">
            <w:pPr>
              <w:pStyle w:val="65"/>
              <w:ind w:firstLine="480"/>
              <w:rPr>
                <w:rFonts w:eastAsiaTheme="minorEastAsia"/>
                <w:color w:val="auto"/>
              </w:rPr>
            </w:pPr>
            <w:r>
              <w:rPr>
                <w:rFonts w:eastAsiaTheme="minorEastAsia"/>
                <w:color w:val="auto"/>
              </w:rPr>
              <w:t>（3）本项目依托园区基础设施情况</w:t>
            </w:r>
          </w:p>
          <w:p w14:paraId="47F4E588">
            <w:pPr>
              <w:pStyle w:val="65"/>
              <w:ind w:firstLine="480"/>
              <w:rPr>
                <w:rFonts w:eastAsiaTheme="minorEastAsia"/>
                <w:color w:val="auto"/>
              </w:rPr>
            </w:pPr>
            <w:r>
              <w:rPr>
                <w:rFonts w:eastAsiaTheme="minorEastAsia"/>
                <w:color w:val="auto"/>
              </w:rPr>
              <w:t>本项目给水及供电直接由朝阳县瓦房子镇宏兴锰矿（本项目租用其部分场地）接入，来源为园区。雨水通过朝阳县瓦房子镇宏兴锰矿按照园区规划由道路边沟排出。</w:t>
            </w:r>
          </w:p>
          <w:p w14:paraId="191666C7">
            <w:pPr>
              <w:pStyle w:val="65"/>
              <w:ind w:firstLine="480"/>
              <w:rPr>
                <w:rFonts w:eastAsiaTheme="minorEastAsia"/>
                <w:color w:val="auto"/>
              </w:rPr>
            </w:pPr>
            <w:r>
              <w:rPr>
                <w:rFonts w:eastAsiaTheme="minorEastAsia"/>
                <w:color w:val="auto"/>
              </w:rPr>
              <w:t>本项目烘干炉燃气采用朝阳县瓦房子镇宏兴锰矿高炉煤气，增加了资源的利用，未使用园区提供气源。</w:t>
            </w:r>
          </w:p>
          <w:p w14:paraId="0B71A801">
            <w:pPr>
              <w:pStyle w:val="65"/>
              <w:ind w:firstLine="480"/>
              <w:rPr>
                <w:rFonts w:eastAsiaTheme="minorEastAsia"/>
                <w:color w:val="auto"/>
              </w:rPr>
            </w:pPr>
            <w:r>
              <w:rPr>
                <w:rFonts w:eastAsiaTheme="minorEastAsia"/>
                <w:color w:val="auto"/>
              </w:rPr>
              <w:t>本项目生活垃圾集中收集，定期交由环卫部门按照规划要求处理。产生的一般固体废物沉降灰、除尘灰、沉淀池沉淀（主要为CaSO</w:t>
            </w:r>
            <w:r>
              <w:rPr>
                <w:rFonts w:eastAsiaTheme="minorEastAsia"/>
                <w:color w:val="auto"/>
                <w:vertAlign w:val="subscript"/>
              </w:rPr>
              <w:t>3</w:t>
            </w:r>
            <w:r>
              <w:rPr>
                <w:rFonts w:eastAsiaTheme="minorEastAsia"/>
                <w:color w:val="auto"/>
              </w:rPr>
              <w:t>），危险废物废机油、废机油桶均妥善处理。</w:t>
            </w:r>
          </w:p>
          <w:p w14:paraId="2246DB53">
            <w:pPr>
              <w:pStyle w:val="65"/>
              <w:ind w:firstLine="480"/>
              <w:rPr>
                <w:rFonts w:eastAsiaTheme="minorEastAsia"/>
                <w:color w:val="auto"/>
              </w:rPr>
            </w:pPr>
            <w:r>
              <w:rPr>
                <w:rFonts w:eastAsiaTheme="minorEastAsia"/>
                <w:color w:val="auto"/>
              </w:rPr>
              <w:t>即本项目给水、雨水、供电、生活污水、生活垃圾依托园区设施，无工业废水排放，固体废物按照规划要求管理。</w:t>
            </w:r>
          </w:p>
          <w:p w14:paraId="1358B208">
            <w:pPr>
              <w:pStyle w:val="65"/>
              <w:ind w:firstLine="480"/>
              <w:rPr>
                <w:rFonts w:eastAsiaTheme="minorEastAsia"/>
                <w:color w:val="auto"/>
              </w:rPr>
            </w:pPr>
            <w:r>
              <w:rPr>
                <w:rFonts w:eastAsiaTheme="minorEastAsia"/>
                <w:color w:val="auto"/>
              </w:rPr>
              <w:t>（4）符合性分析</w:t>
            </w:r>
          </w:p>
          <w:p w14:paraId="4CB29D32">
            <w:pPr>
              <w:pStyle w:val="65"/>
              <w:ind w:firstLine="480"/>
              <w:rPr>
                <w:rFonts w:eastAsiaTheme="minorEastAsia"/>
                <w:color w:val="auto"/>
              </w:rPr>
            </w:pPr>
            <w:r>
              <w:rPr>
                <w:rFonts w:eastAsiaTheme="minorEastAsia"/>
                <w:color w:val="auto"/>
              </w:rPr>
              <w:t>根据《朝阳县瓦房子镇工业园区总体规划（2019-2035）》，园区产业定位以锰矿采选、锰合金冶炼及关联产业为主导，依托区域锰矿资源优势，鼓励发展固体废物综合利用等循环经济产业，推动产业链延伸。本项目对锰合金冶炼企业产生的固体废物进行物理混合、烘干加工，产品作为锰合金冶炼原料回用，属于园区规划产业定位中的关联产业和循环经济产业，符合园区的产业发展方向和产业布局要求。</w:t>
            </w:r>
          </w:p>
          <w:p w14:paraId="7B455B28">
            <w:pPr>
              <w:pStyle w:val="65"/>
              <w:ind w:firstLine="480"/>
              <w:rPr>
                <w:rFonts w:eastAsiaTheme="minorEastAsia"/>
                <w:b/>
                <w:color w:val="auto"/>
              </w:rPr>
            </w:pPr>
            <w:r>
              <w:rPr>
                <w:rFonts w:eastAsiaTheme="minorEastAsia"/>
                <w:color w:val="auto"/>
              </w:rPr>
              <w:t>本项目为固体废物加工再利用项目，利用规划定位中锰合金冶炼企业产生的部分固体废物（锰矿石破碎筛分产生的粒径不合格原料）进行物理混合后烘干，产品作为锰合金冶炼企业原料回用。原料来源企业的环保手续分别见附件八、附件九和附件十。</w:t>
            </w:r>
          </w:p>
          <w:p w14:paraId="2EC6FF20">
            <w:pPr>
              <w:pStyle w:val="65"/>
              <w:ind w:firstLine="480"/>
              <w:rPr>
                <w:rFonts w:eastAsiaTheme="minorEastAsia"/>
                <w:color w:val="auto"/>
                <w:sz w:val="21"/>
              </w:rPr>
            </w:pPr>
            <w:r>
              <w:rPr>
                <w:rFonts w:eastAsiaTheme="minorEastAsia"/>
                <w:color w:val="auto"/>
              </w:rPr>
              <w:t>本项目属于规划中的三类工业用地，本项目在规划园区的位置见附图七。</w:t>
            </w:r>
          </w:p>
          <w:p w14:paraId="23363030">
            <w:pPr>
              <w:pStyle w:val="65"/>
              <w:ind w:firstLine="480"/>
              <w:rPr>
                <w:rFonts w:eastAsiaTheme="minorEastAsia"/>
                <w:color w:val="auto"/>
              </w:rPr>
            </w:pPr>
            <w:r>
              <w:rPr>
                <w:rFonts w:eastAsiaTheme="minorEastAsia"/>
                <w:color w:val="auto"/>
              </w:rPr>
              <w:t>综上所述，本项目符合《朝阳县瓦房子镇工业园区总体规划（2019-2035）》。</w:t>
            </w:r>
          </w:p>
          <w:p w14:paraId="70E378CD">
            <w:pPr>
              <w:pStyle w:val="92"/>
              <w:jc w:val="both"/>
              <w:rPr>
                <w:rFonts w:eastAsiaTheme="minorEastAsia"/>
                <w:color w:val="auto"/>
              </w:rPr>
            </w:pPr>
            <w:r>
              <w:rPr>
                <w:rFonts w:eastAsiaTheme="minorEastAsia"/>
                <w:color w:val="auto"/>
              </w:rPr>
              <w:t>表1-2 与《朝阳县瓦房子镇工业园区总体规划（2019-2035）》符合性分析表</w:t>
            </w:r>
          </w:p>
          <w:tbl>
            <w:tblPr>
              <w:tblStyle w:val="35"/>
              <w:tblW w:w="4950" w:type="pct"/>
              <w:tblInd w:w="0" w:type="dxa"/>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15" w:type="dxa"/>
                <w:left w:w="15" w:type="dxa"/>
                <w:bottom w:w="15" w:type="dxa"/>
                <w:right w:w="15" w:type="dxa"/>
              </w:tblCellMar>
            </w:tblPr>
            <w:tblGrid>
              <w:gridCol w:w="641"/>
              <w:gridCol w:w="2416"/>
              <w:gridCol w:w="3268"/>
              <w:gridCol w:w="591"/>
            </w:tblGrid>
            <w:tr w14:paraId="6DDCEA0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rPr>
                <w:tblHeader/>
              </w:trPr>
              <w:tc>
                <w:tcPr>
                  <w:tcW w:w="640" w:type="dxa"/>
                  <w:shd w:val="clear" w:color="auto" w:fill="auto"/>
                  <w:tcMar>
                    <w:top w:w="30" w:type="dxa"/>
                    <w:left w:w="30" w:type="dxa"/>
                    <w:bottom w:w="30" w:type="dxa"/>
                    <w:right w:w="30" w:type="dxa"/>
                  </w:tcMar>
                  <w:vAlign w:val="center"/>
                </w:tcPr>
                <w:p w14:paraId="619E48BB">
                  <w:pPr>
                    <w:pStyle w:val="122"/>
                    <w:rPr>
                      <w:rFonts w:eastAsiaTheme="minorEastAsia"/>
                      <w:color w:val="auto"/>
                    </w:rPr>
                  </w:pPr>
                  <w:r>
                    <w:rPr>
                      <w:rFonts w:eastAsiaTheme="minorEastAsia"/>
                      <w:color w:val="auto"/>
                    </w:rPr>
                    <w:t>划内容</w:t>
                  </w:r>
                </w:p>
              </w:tc>
              <w:tc>
                <w:tcPr>
                  <w:tcW w:w="2410" w:type="dxa"/>
                  <w:shd w:val="clear" w:color="auto" w:fill="auto"/>
                  <w:tcMar>
                    <w:top w:w="30" w:type="dxa"/>
                    <w:left w:w="30" w:type="dxa"/>
                    <w:bottom w:w="30" w:type="dxa"/>
                    <w:right w:w="30" w:type="dxa"/>
                  </w:tcMar>
                  <w:vAlign w:val="center"/>
                </w:tcPr>
                <w:p w14:paraId="10591C4E">
                  <w:pPr>
                    <w:pStyle w:val="122"/>
                    <w:rPr>
                      <w:rFonts w:eastAsiaTheme="minorEastAsia"/>
                      <w:color w:val="auto"/>
                    </w:rPr>
                  </w:pPr>
                  <w:r>
                    <w:rPr>
                      <w:rFonts w:eastAsiaTheme="minorEastAsia"/>
                      <w:color w:val="auto"/>
                    </w:rPr>
                    <w:t>规划要求</w:t>
                  </w:r>
                </w:p>
              </w:tc>
              <w:tc>
                <w:tcPr>
                  <w:tcW w:w="3260" w:type="dxa"/>
                  <w:shd w:val="clear" w:color="auto" w:fill="auto"/>
                  <w:tcMar>
                    <w:top w:w="30" w:type="dxa"/>
                    <w:left w:w="30" w:type="dxa"/>
                    <w:bottom w:w="30" w:type="dxa"/>
                    <w:right w:w="30" w:type="dxa"/>
                  </w:tcMar>
                  <w:vAlign w:val="center"/>
                </w:tcPr>
                <w:p w14:paraId="459FA52B">
                  <w:pPr>
                    <w:pStyle w:val="122"/>
                    <w:rPr>
                      <w:rFonts w:eastAsiaTheme="minorEastAsia"/>
                      <w:color w:val="auto"/>
                    </w:rPr>
                  </w:pPr>
                  <w:r>
                    <w:rPr>
                      <w:rFonts w:eastAsiaTheme="minorEastAsia"/>
                      <w:color w:val="auto"/>
                    </w:rPr>
                    <w:t>本项目情况</w:t>
                  </w:r>
                </w:p>
              </w:tc>
              <w:tc>
                <w:tcPr>
                  <w:tcW w:w="590" w:type="dxa"/>
                  <w:shd w:val="clear" w:color="auto" w:fill="auto"/>
                  <w:tcMar>
                    <w:top w:w="30" w:type="dxa"/>
                    <w:left w:w="30" w:type="dxa"/>
                    <w:bottom w:w="30" w:type="dxa"/>
                    <w:right w:w="30" w:type="dxa"/>
                  </w:tcMar>
                  <w:vAlign w:val="center"/>
                </w:tcPr>
                <w:p w14:paraId="18902B61">
                  <w:pPr>
                    <w:pStyle w:val="122"/>
                    <w:rPr>
                      <w:rFonts w:eastAsiaTheme="minorEastAsia"/>
                      <w:color w:val="auto"/>
                    </w:rPr>
                  </w:pPr>
                  <w:r>
                    <w:rPr>
                      <w:rFonts w:eastAsiaTheme="minorEastAsia"/>
                      <w:color w:val="auto"/>
                    </w:rPr>
                    <w:t>符合性</w:t>
                  </w:r>
                </w:p>
              </w:tc>
            </w:tr>
            <w:tr w14:paraId="1927FCC2">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4F0AD473">
                  <w:pPr>
                    <w:pStyle w:val="122"/>
                    <w:rPr>
                      <w:rFonts w:eastAsiaTheme="minorEastAsia"/>
                      <w:color w:val="auto"/>
                    </w:rPr>
                  </w:pPr>
                  <w:r>
                    <w:rPr>
                      <w:rFonts w:eastAsiaTheme="minorEastAsia"/>
                      <w:color w:val="auto"/>
                    </w:rPr>
                    <w:t>产业定位</w:t>
                  </w:r>
                </w:p>
              </w:tc>
              <w:tc>
                <w:tcPr>
                  <w:tcW w:w="2410" w:type="dxa"/>
                  <w:shd w:val="clear" w:color="auto" w:fill="auto"/>
                  <w:tcMar>
                    <w:top w:w="30" w:type="dxa"/>
                    <w:left w:w="30" w:type="dxa"/>
                    <w:bottom w:w="30" w:type="dxa"/>
                    <w:right w:w="30" w:type="dxa"/>
                  </w:tcMar>
                  <w:vAlign w:val="center"/>
                </w:tcPr>
                <w:p w14:paraId="6D852BBF">
                  <w:pPr>
                    <w:pStyle w:val="122"/>
                    <w:rPr>
                      <w:rFonts w:eastAsiaTheme="minorEastAsia"/>
                      <w:color w:val="auto"/>
                    </w:rPr>
                  </w:pPr>
                  <w:r>
                    <w:rPr>
                      <w:rFonts w:eastAsiaTheme="minorEastAsia"/>
                      <w:color w:val="auto"/>
                    </w:rPr>
                    <w:t>锰合金冶炼、精深加工及设备制造为主</w:t>
                  </w:r>
                </w:p>
              </w:tc>
              <w:tc>
                <w:tcPr>
                  <w:tcW w:w="3260" w:type="dxa"/>
                  <w:shd w:val="clear" w:color="auto" w:fill="auto"/>
                  <w:tcMar>
                    <w:top w:w="30" w:type="dxa"/>
                    <w:left w:w="30" w:type="dxa"/>
                    <w:bottom w:w="30" w:type="dxa"/>
                    <w:right w:w="30" w:type="dxa"/>
                  </w:tcMar>
                  <w:vAlign w:val="center"/>
                </w:tcPr>
                <w:p w14:paraId="28EC34C6">
                  <w:pPr>
                    <w:pStyle w:val="122"/>
                    <w:rPr>
                      <w:rFonts w:eastAsiaTheme="minorEastAsia"/>
                      <w:color w:val="auto"/>
                    </w:rPr>
                  </w:pPr>
                  <w:r>
                    <w:rPr>
                      <w:rFonts w:eastAsiaTheme="minorEastAsia"/>
                      <w:color w:val="auto"/>
                    </w:rPr>
                    <w:t>本项目为锰合金冶炼企业固废加工再利用，产品回用于锰合金冶炼，属于产业配套项目</w:t>
                  </w:r>
                </w:p>
              </w:tc>
              <w:tc>
                <w:tcPr>
                  <w:tcW w:w="590" w:type="dxa"/>
                  <w:shd w:val="clear" w:color="auto" w:fill="auto"/>
                  <w:tcMar>
                    <w:top w:w="30" w:type="dxa"/>
                    <w:left w:w="30" w:type="dxa"/>
                    <w:bottom w:w="30" w:type="dxa"/>
                    <w:right w:w="30" w:type="dxa"/>
                  </w:tcMar>
                  <w:vAlign w:val="center"/>
                </w:tcPr>
                <w:p w14:paraId="08B16979">
                  <w:pPr>
                    <w:pStyle w:val="122"/>
                    <w:rPr>
                      <w:rFonts w:eastAsiaTheme="minorEastAsia"/>
                      <w:color w:val="auto"/>
                    </w:rPr>
                  </w:pPr>
                  <w:r>
                    <w:rPr>
                      <w:rFonts w:eastAsiaTheme="minorEastAsia"/>
                      <w:color w:val="auto"/>
                    </w:rPr>
                    <w:t>符合</w:t>
                  </w:r>
                </w:p>
              </w:tc>
            </w:tr>
            <w:tr w14:paraId="2E1F4BB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2E1861FD">
                  <w:pPr>
                    <w:pStyle w:val="122"/>
                    <w:rPr>
                      <w:rFonts w:eastAsiaTheme="minorEastAsia"/>
                      <w:color w:val="auto"/>
                    </w:rPr>
                  </w:pPr>
                  <w:r>
                    <w:rPr>
                      <w:rFonts w:eastAsiaTheme="minorEastAsia"/>
                      <w:color w:val="auto"/>
                    </w:rPr>
                    <w:t>用地规划</w:t>
                  </w:r>
                </w:p>
              </w:tc>
              <w:tc>
                <w:tcPr>
                  <w:tcW w:w="2410" w:type="dxa"/>
                  <w:shd w:val="clear" w:color="auto" w:fill="auto"/>
                  <w:tcMar>
                    <w:top w:w="30" w:type="dxa"/>
                    <w:left w:w="30" w:type="dxa"/>
                    <w:bottom w:w="30" w:type="dxa"/>
                    <w:right w:w="30" w:type="dxa"/>
                  </w:tcMar>
                  <w:vAlign w:val="center"/>
                </w:tcPr>
                <w:p w14:paraId="7873F3A2">
                  <w:pPr>
                    <w:pStyle w:val="122"/>
                    <w:rPr>
                      <w:rFonts w:eastAsiaTheme="minorEastAsia"/>
                      <w:color w:val="auto"/>
                    </w:rPr>
                  </w:pPr>
                  <w:r>
                    <w:rPr>
                      <w:rFonts w:eastAsiaTheme="minorEastAsia"/>
                      <w:color w:val="auto"/>
                    </w:rPr>
                    <w:t>三类工业用地</w:t>
                  </w:r>
                </w:p>
              </w:tc>
              <w:tc>
                <w:tcPr>
                  <w:tcW w:w="3260" w:type="dxa"/>
                  <w:shd w:val="clear" w:color="auto" w:fill="auto"/>
                  <w:tcMar>
                    <w:top w:w="30" w:type="dxa"/>
                    <w:left w:w="30" w:type="dxa"/>
                    <w:bottom w:w="30" w:type="dxa"/>
                    <w:right w:w="30" w:type="dxa"/>
                  </w:tcMar>
                  <w:vAlign w:val="center"/>
                </w:tcPr>
                <w:p w14:paraId="13568E0F">
                  <w:pPr>
                    <w:pStyle w:val="122"/>
                    <w:rPr>
                      <w:rFonts w:eastAsiaTheme="minorEastAsia"/>
                      <w:color w:val="auto"/>
                    </w:rPr>
                  </w:pPr>
                  <w:r>
                    <w:rPr>
                      <w:rFonts w:eastAsiaTheme="minorEastAsia"/>
                      <w:color w:val="auto"/>
                    </w:rPr>
                    <w:t>项目位于三类工业用地范围内</w:t>
                  </w:r>
                </w:p>
              </w:tc>
              <w:tc>
                <w:tcPr>
                  <w:tcW w:w="590" w:type="dxa"/>
                  <w:shd w:val="clear" w:color="auto" w:fill="auto"/>
                  <w:tcMar>
                    <w:top w:w="30" w:type="dxa"/>
                    <w:left w:w="30" w:type="dxa"/>
                    <w:bottom w:w="30" w:type="dxa"/>
                    <w:right w:w="30" w:type="dxa"/>
                  </w:tcMar>
                  <w:vAlign w:val="center"/>
                </w:tcPr>
                <w:p w14:paraId="7A9480D4">
                  <w:pPr>
                    <w:pStyle w:val="122"/>
                    <w:rPr>
                      <w:rFonts w:eastAsiaTheme="minorEastAsia"/>
                      <w:color w:val="auto"/>
                    </w:rPr>
                  </w:pPr>
                  <w:r>
                    <w:rPr>
                      <w:rFonts w:eastAsiaTheme="minorEastAsia"/>
                      <w:color w:val="auto"/>
                    </w:rPr>
                    <w:t>符合</w:t>
                  </w:r>
                </w:p>
              </w:tc>
            </w:tr>
            <w:tr w14:paraId="74EE61A8">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01A95BEB">
                  <w:pPr>
                    <w:pStyle w:val="122"/>
                    <w:rPr>
                      <w:rFonts w:eastAsiaTheme="minorEastAsia"/>
                      <w:color w:val="auto"/>
                    </w:rPr>
                  </w:pPr>
                  <w:r>
                    <w:rPr>
                      <w:rFonts w:eastAsiaTheme="minorEastAsia"/>
                      <w:color w:val="auto"/>
                    </w:rPr>
                    <w:t>给水</w:t>
                  </w:r>
                </w:p>
              </w:tc>
              <w:tc>
                <w:tcPr>
                  <w:tcW w:w="2410" w:type="dxa"/>
                  <w:shd w:val="clear" w:color="auto" w:fill="auto"/>
                  <w:tcMar>
                    <w:top w:w="30" w:type="dxa"/>
                    <w:left w:w="30" w:type="dxa"/>
                    <w:bottom w:w="30" w:type="dxa"/>
                    <w:right w:w="30" w:type="dxa"/>
                  </w:tcMar>
                  <w:vAlign w:val="center"/>
                </w:tcPr>
                <w:p w14:paraId="5937FA12">
                  <w:pPr>
                    <w:pStyle w:val="122"/>
                    <w:rPr>
                      <w:rFonts w:eastAsiaTheme="minorEastAsia"/>
                      <w:color w:val="auto"/>
                    </w:rPr>
                  </w:pPr>
                  <w:r>
                    <w:rPr>
                      <w:rFonts w:eastAsiaTheme="minorEastAsia"/>
                      <w:color w:val="auto"/>
                    </w:rPr>
                    <w:t>园区统一供水</w:t>
                  </w:r>
                </w:p>
              </w:tc>
              <w:tc>
                <w:tcPr>
                  <w:tcW w:w="3260" w:type="dxa"/>
                  <w:shd w:val="clear" w:color="auto" w:fill="auto"/>
                  <w:tcMar>
                    <w:top w:w="30" w:type="dxa"/>
                    <w:left w:w="30" w:type="dxa"/>
                    <w:bottom w:w="30" w:type="dxa"/>
                    <w:right w:w="30" w:type="dxa"/>
                  </w:tcMar>
                  <w:vAlign w:val="center"/>
                </w:tcPr>
                <w:p w14:paraId="53816B1E">
                  <w:pPr>
                    <w:pStyle w:val="122"/>
                    <w:rPr>
                      <w:rFonts w:eastAsiaTheme="minorEastAsia"/>
                      <w:color w:val="auto"/>
                    </w:rPr>
                  </w:pPr>
                  <w:r>
                    <w:rPr>
                      <w:rFonts w:eastAsiaTheme="minorEastAsia"/>
                      <w:color w:val="auto"/>
                    </w:rPr>
                    <w:t>依托宏兴锰矿接入园区供水管网</w:t>
                  </w:r>
                </w:p>
              </w:tc>
              <w:tc>
                <w:tcPr>
                  <w:tcW w:w="590" w:type="dxa"/>
                  <w:shd w:val="clear" w:color="auto" w:fill="auto"/>
                  <w:tcMar>
                    <w:top w:w="30" w:type="dxa"/>
                    <w:left w:w="30" w:type="dxa"/>
                    <w:bottom w:w="30" w:type="dxa"/>
                    <w:right w:w="30" w:type="dxa"/>
                  </w:tcMar>
                  <w:vAlign w:val="center"/>
                </w:tcPr>
                <w:p w14:paraId="26F73664">
                  <w:pPr>
                    <w:pStyle w:val="122"/>
                    <w:rPr>
                      <w:rFonts w:eastAsiaTheme="minorEastAsia"/>
                      <w:color w:val="auto"/>
                    </w:rPr>
                  </w:pPr>
                  <w:r>
                    <w:rPr>
                      <w:rFonts w:eastAsiaTheme="minorEastAsia"/>
                      <w:color w:val="auto"/>
                    </w:rPr>
                    <w:t>符合</w:t>
                  </w:r>
                </w:p>
              </w:tc>
            </w:tr>
            <w:tr w14:paraId="328F412B">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7825673C">
                  <w:pPr>
                    <w:pStyle w:val="122"/>
                    <w:rPr>
                      <w:rFonts w:eastAsiaTheme="minorEastAsia"/>
                      <w:color w:val="auto"/>
                    </w:rPr>
                  </w:pPr>
                  <w:r>
                    <w:rPr>
                      <w:rFonts w:eastAsiaTheme="minorEastAsia"/>
                      <w:color w:val="auto"/>
                    </w:rPr>
                    <w:t>排水</w:t>
                  </w:r>
                </w:p>
              </w:tc>
              <w:tc>
                <w:tcPr>
                  <w:tcW w:w="2410" w:type="dxa"/>
                  <w:shd w:val="clear" w:color="auto" w:fill="auto"/>
                  <w:tcMar>
                    <w:top w:w="30" w:type="dxa"/>
                    <w:left w:w="30" w:type="dxa"/>
                    <w:bottom w:w="30" w:type="dxa"/>
                    <w:right w:w="30" w:type="dxa"/>
                  </w:tcMar>
                  <w:vAlign w:val="center"/>
                </w:tcPr>
                <w:p w14:paraId="4DF656B7">
                  <w:pPr>
                    <w:pStyle w:val="122"/>
                    <w:rPr>
                      <w:rFonts w:eastAsiaTheme="minorEastAsia"/>
                      <w:color w:val="auto"/>
                    </w:rPr>
                  </w:pPr>
                  <w:r>
                    <w:rPr>
                      <w:rFonts w:eastAsiaTheme="minorEastAsia"/>
                      <w:color w:val="auto"/>
                    </w:rPr>
                    <w:t>工业废水企业预处理后纳管</w:t>
                  </w:r>
                </w:p>
              </w:tc>
              <w:tc>
                <w:tcPr>
                  <w:tcW w:w="3260" w:type="dxa"/>
                  <w:shd w:val="clear" w:color="auto" w:fill="auto"/>
                  <w:tcMar>
                    <w:top w:w="30" w:type="dxa"/>
                    <w:left w:w="30" w:type="dxa"/>
                    <w:bottom w:w="30" w:type="dxa"/>
                    <w:right w:w="30" w:type="dxa"/>
                  </w:tcMar>
                  <w:vAlign w:val="center"/>
                </w:tcPr>
                <w:p w14:paraId="7E69964C">
                  <w:pPr>
                    <w:pStyle w:val="122"/>
                    <w:rPr>
                      <w:rFonts w:eastAsiaTheme="minorEastAsia"/>
                      <w:color w:val="auto"/>
                    </w:rPr>
                  </w:pPr>
                  <w:r>
                    <w:rPr>
                      <w:rFonts w:eastAsiaTheme="minorEastAsia"/>
                      <w:color w:val="auto"/>
                    </w:rPr>
                    <w:t>本项目无工业废水排放，生活污水依托宏兴锰矿化粪池处理，定期清掏堆肥，不外排</w:t>
                  </w:r>
                </w:p>
              </w:tc>
              <w:tc>
                <w:tcPr>
                  <w:tcW w:w="590" w:type="dxa"/>
                  <w:shd w:val="clear" w:color="auto" w:fill="auto"/>
                  <w:tcMar>
                    <w:top w:w="30" w:type="dxa"/>
                    <w:left w:w="30" w:type="dxa"/>
                    <w:bottom w:w="30" w:type="dxa"/>
                    <w:right w:w="30" w:type="dxa"/>
                  </w:tcMar>
                  <w:vAlign w:val="center"/>
                </w:tcPr>
                <w:p w14:paraId="33B7F06C">
                  <w:pPr>
                    <w:pStyle w:val="122"/>
                    <w:rPr>
                      <w:rFonts w:eastAsiaTheme="minorEastAsia"/>
                      <w:color w:val="auto"/>
                    </w:rPr>
                  </w:pPr>
                  <w:r>
                    <w:rPr>
                      <w:rFonts w:eastAsiaTheme="minorEastAsia"/>
                      <w:color w:val="auto"/>
                    </w:rPr>
                    <w:t>符合</w:t>
                  </w:r>
                </w:p>
              </w:tc>
            </w:tr>
            <w:tr w14:paraId="02EBF97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3CC3D19C">
                  <w:pPr>
                    <w:pStyle w:val="122"/>
                    <w:rPr>
                      <w:rFonts w:eastAsiaTheme="minorEastAsia"/>
                      <w:color w:val="auto"/>
                    </w:rPr>
                  </w:pPr>
                  <w:r>
                    <w:rPr>
                      <w:rFonts w:eastAsiaTheme="minorEastAsia"/>
                      <w:color w:val="auto"/>
                    </w:rPr>
                    <w:t>供热</w:t>
                  </w:r>
                </w:p>
              </w:tc>
              <w:tc>
                <w:tcPr>
                  <w:tcW w:w="2410" w:type="dxa"/>
                  <w:shd w:val="clear" w:color="auto" w:fill="auto"/>
                  <w:tcMar>
                    <w:top w:w="30" w:type="dxa"/>
                    <w:left w:w="30" w:type="dxa"/>
                    <w:bottom w:w="30" w:type="dxa"/>
                    <w:right w:w="30" w:type="dxa"/>
                  </w:tcMar>
                  <w:vAlign w:val="center"/>
                </w:tcPr>
                <w:p w14:paraId="3F4D0FFC">
                  <w:pPr>
                    <w:pStyle w:val="122"/>
                    <w:rPr>
                      <w:rFonts w:eastAsiaTheme="minorEastAsia"/>
                      <w:color w:val="auto"/>
                    </w:rPr>
                  </w:pPr>
                  <w:r>
                    <w:rPr>
                      <w:rFonts w:eastAsiaTheme="minorEastAsia"/>
                      <w:color w:val="auto"/>
                    </w:rPr>
                    <w:t>近期企业自建/余热利用，远期集中供热</w:t>
                  </w:r>
                </w:p>
              </w:tc>
              <w:tc>
                <w:tcPr>
                  <w:tcW w:w="3260" w:type="dxa"/>
                  <w:shd w:val="clear" w:color="auto" w:fill="auto"/>
                  <w:tcMar>
                    <w:top w:w="30" w:type="dxa"/>
                    <w:left w:w="30" w:type="dxa"/>
                    <w:bottom w:w="30" w:type="dxa"/>
                    <w:right w:w="30" w:type="dxa"/>
                  </w:tcMar>
                  <w:vAlign w:val="center"/>
                </w:tcPr>
                <w:p w14:paraId="0A6B06E0">
                  <w:pPr>
                    <w:pStyle w:val="122"/>
                    <w:rPr>
                      <w:rFonts w:eastAsiaTheme="minorEastAsia"/>
                      <w:color w:val="auto"/>
                    </w:rPr>
                  </w:pPr>
                  <w:r>
                    <w:rPr>
                      <w:rFonts w:eastAsiaTheme="minorEastAsia"/>
                      <w:color w:val="auto"/>
                    </w:rPr>
                    <w:t>本项目无取暖</w:t>
                  </w:r>
                </w:p>
              </w:tc>
              <w:tc>
                <w:tcPr>
                  <w:tcW w:w="590" w:type="dxa"/>
                  <w:shd w:val="clear" w:color="auto" w:fill="auto"/>
                  <w:tcMar>
                    <w:top w:w="30" w:type="dxa"/>
                    <w:left w:w="30" w:type="dxa"/>
                    <w:bottom w:w="30" w:type="dxa"/>
                    <w:right w:w="30" w:type="dxa"/>
                  </w:tcMar>
                  <w:vAlign w:val="center"/>
                </w:tcPr>
                <w:p w14:paraId="46F36810">
                  <w:pPr>
                    <w:pStyle w:val="122"/>
                    <w:rPr>
                      <w:rFonts w:eastAsiaTheme="minorEastAsia"/>
                      <w:color w:val="auto"/>
                    </w:rPr>
                  </w:pPr>
                  <w:r>
                    <w:rPr>
                      <w:rFonts w:eastAsiaTheme="minorEastAsia"/>
                      <w:color w:val="auto"/>
                    </w:rPr>
                    <w:t>符合</w:t>
                  </w:r>
                </w:p>
              </w:tc>
            </w:tr>
            <w:tr w14:paraId="4CF7058B">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31CF1BC9">
                  <w:pPr>
                    <w:pStyle w:val="122"/>
                    <w:rPr>
                      <w:rFonts w:eastAsiaTheme="minorEastAsia"/>
                      <w:color w:val="auto"/>
                    </w:rPr>
                  </w:pPr>
                  <w:r>
                    <w:rPr>
                      <w:rFonts w:eastAsiaTheme="minorEastAsia"/>
                      <w:color w:val="auto"/>
                    </w:rPr>
                    <w:t>供气</w:t>
                  </w:r>
                </w:p>
              </w:tc>
              <w:tc>
                <w:tcPr>
                  <w:tcW w:w="2410" w:type="dxa"/>
                  <w:shd w:val="clear" w:color="auto" w:fill="auto"/>
                  <w:tcMar>
                    <w:top w:w="30" w:type="dxa"/>
                    <w:left w:w="30" w:type="dxa"/>
                    <w:bottom w:w="30" w:type="dxa"/>
                    <w:right w:w="30" w:type="dxa"/>
                  </w:tcMar>
                  <w:vAlign w:val="center"/>
                </w:tcPr>
                <w:p w14:paraId="7169ACA9">
                  <w:pPr>
                    <w:pStyle w:val="122"/>
                    <w:rPr>
                      <w:rFonts w:eastAsiaTheme="minorEastAsia"/>
                      <w:color w:val="auto"/>
                    </w:rPr>
                  </w:pPr>
                  <w:r>
                    <w:rPr>
                      <w:rFonts w:eastAsiaTheme="minorEastAsia"/>
                      <w:color w:val="auto"/>
                    </w:rPr>
                    <w:t>近期LPG，远期天然气</w:t>
                  </w:r>
                </w:p>
              </w:tc>
              <w:tc>
                <w:tcPr>
                  <w:tcW w:w="3260" w:type="dxa"/>
                  <w:shd w:val="clear" w:color="auto" w:fill="auto"/>
                  <w:tcMar>
                    <w:top w:w="30" w:type="dxa"/>
                    <w:left w:w="30" w:type="dxa"/>
                    <w:bottom w:w="30" w:type="dxa"/>
                    <w:right w:w="30" w:type="dxa"/>
                  </w:tcMar>
                  <w:vAlign w:val="center"/>
                </w:tcPr>
                <w:p w14:paraId="7E11BA8A">
                  <w:pPr>
                    <w:pStyle w:val="122"/>
                    <w:rPr>
                      <w:rFonts w:eastAsiaTheme="minorEastAsia"/>
                      <w:color w:val="auto"/>
                    </w:rPr>
                  </w:pPr>
                  <w:r>
                    <w:rPr>
                      <w:rFonts w:eastAsiaTheme="minorEastAsia"/>
                      <w:color w:val="auto"/>
                    </w:rPr>
                    <w:t>项目使用园区内宏兴锰矿高炉煤气，不依赖园区气源</w:t>
                  </w:r>
                </w:p>
              </w:tc>
              <w:tc>
                <w:tcPr>
                  <w:tcW w:w="590" w:type="dxa"/>
                  <w:shd w:val="clear" w:color="auto" w:fill="auto"/>
                  <w:tcMar>
                    <w:top w:w="30" w:type="dxa"/>
                    <w:left w:w="30" w:type="dxa"/>
                    <w:bottom w:w="30" w:type="dxa"/>
                    <w:right w:w="30" w:type="dxa"/>
                  </w:tcMar>
                  <w:vAlign w:val="center"/>
                </w:tcPr>
                <w:p w14:paraId="092E36BF">
                  <w:pPr>
                    <w:pStyle w:val="122"/>
                    <w:rPr>
                      <w:rFonts w:eastAsiaTheme="minorEastAsia"/>
                      <w:color w:val="auto"/>
                    </w:rPr>
                  </w:pPr>
                  <w:r>
                    <w:rPr>
                      <w:rFonts w:eastAsiaTheme="minorEastAsia"/>
                      <w:color w:val="auto"/>
                    </w:rPr>
                    <w:t>不冲突</w:t>
                  </w:r>
                </w:p>
              </w:tc>
            </w:tr>
            <w:tr w14:paraId="58515FC7">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640" w:type="dxa"/>
                  <w:shd w:val="clear" w:color="auto" w:fill="auto"/>
                  <w:tcMar>
                    <w:top w:w="30" w:type="dxa"/>
                    <w:left w:w="30" w:type="dxa"/>
                    <w:bottom w:w="30" w:type="dxa"/>
                    <w:right w:w="30" w:type="dxa"/>
                  </w:tcMar>
                  <w:vAlign w:val="center"/>
                </w:tcPr>
                <w:p w14:paraId="3B9C7C43">
                  <w:pPr>
                    <w:pStyle w:val="122"/>
                    <w:rPr>
                      <w:rFonts w:eastAsiaTheme="minorEastAsia"/>
                      <w:color w:val="auto"/>
                    </w:rPr>
                  </w:pPr>
                  <w:r>
                    <w:rPr>
                      <w:rFonts w:eastAsiaTheme="minorEastAsia"/>
                      <w:color w:val="auto"/>
                    </w:rPr>
                    <w:t>固废</w:t>
                  </w:r>
                </w:p>
              </w:tc>
              <w:tc>
                <w:tcPr>
                  <w:tcW w:w="2410" w:type="dxa"/>
                  <w:shd w:val="clear" w:color="auto" w:fill="auto"/>
                  <w:tcMar>
                    <w:top w:w="30" w:type="dxa"/>
                    <w:left w:w="30" w:type="dxa"/>
                    <w:bottom w:w="30" w:type="dxa"/>
                    <w:right w:w="30" w:type="dxa"/>
                  </w:tcMar>
                  <w:vAlign w:val="center"/>
                </w:tcPr>
                <w:p w14:paraId="7D57FD37">
                  <w:pPr>
                    <w:pStyle w:val="122"/>
                    <w:rPr>
                      <w:rFonts w:eastAsiaTheme="minorEastAsia"/>
                      <w:color w:val="auto"/>
                    </w:rPr>
                  </w:pPr>
                  <w:r>
                    <w:rPr>
                      <w:rFonts w:eastAsiaTheme="minorEastAsia"/>
                      <w:color w:val="auto"/>
                    </w:rPr>
                    <w:t>分类收集、全过程控制</w:t>
                  </w:r>
                </w:p>
              </w:tc>
              <w:tc>
                <w:tcPr>
                  <w:tcW w:w="3260" w:type="dxa"/>
                  <w:shd w:val="clear" w:color="auto" w:fill="auto"/>
                  <w:tcMar>
                    <w:top w:w="30" w:type="dxa"/>
                    <w:left w:w="30" w:type="dxa"/>
                    <w:bottom w:w="30" w:type="dxa"/>
                    <w:right w:w="30" w:type="dxa"/>
                  </w:tcMar>
                  <w:vAlign w:val="center"/>
                </w:tcPr>
                <w:p w14:paraId="339A0FE2">
                  <w:pPr>
                    <w:pStyle w:val="122"/>
                    <w:rPr>
                      <w:rFonts w:eastAsiaTheme="minorEastAsia"/>
                      <w:color w:val="auto"/>
                    </w:rPr>
                  </w:pPr>
                  <w:r>
                    <w:rPr>
                      <w:rFonts w:eastAsiaTheme="minorEastAsia"/>
                      <w:color w:val="auto"/>
                    </w:rPr>
                    <w:t>一般固废和危废均妥善处置</w:t>
                  </w:r>
                </w:p>
              </w:tc>
              <w:tc>
                <w:tcPr>
                  <w:tcW w:w="590" w:type="dxa"/>
                  <w:shd w:val="clear" w:color="auto" w:fill="auto"/>
                  <w:tcMar>
                    <w:top w:w="30" w:type="dxa"/>
                    <w:left w:w="30" w:type="dxa"/>
                    <w:bottom w:w="30" w:type="dxa"/>
                    <w:right w:w="30" w:type="dxa"/>
                  </w:tcMar>
                  <w:vAlign w:val="center"/>
                </w:tcPr>
                <w:p w14:paraId="38600FF8">
                  <w:pPr>
                    <w:pStyle w:val="122"/>
                    <w:rPr>
                      <w:rFonts w:eastAsiaTheme="minorEastAsia"/>
                      <w:color w:val="auto"/>
                    </w:rPr>
                  </w:pPr>
                  <w:r>
                    <w:rPr>
                      <w:rFonts w:eastAsiaTheme="minorEastAsia"/>
                      <w:color w:val="auto"/>
                    </w:rPr>
                    <w:t>符合</w:t>
                  </w:r>
                </w:p>
              </w:tc>
            </w:tr>
          </w:tbl>
          <w:p w14:paraId="44D44875">
            <w:pPr>
              <w:pStyle w:val="65"/>
              <w:ind w:firstLine="482"/>
              <w:rPr>
                <w:rFonts w:eastAsiaTheme="minorEastAsia"/>
                <w:b/>
                <w:bCs/>
                <w:color w:val="auto"/>
              </w:rPr>
            </w:pPr>
            <w:r>
              <w:rPr>
                <w:rFonts w:eastAsiaTheme="minorEastAsia"/>
                <w:b/>
                <w:bCs/>
                <w:color w:val="auto"/>
              </w:rPr>
              <w:t>3.与《朝阳县瓦房子镇工业园区总体规划（2019-2035）环境影响报告书》符合性分析</w:t>
            </w:r>
          </w:p>
          <w:p w14:paraId="1EEC9150">
            <w:pPr>
              <w:pStyle w:val="65"/>
              <w:ind w:firstLine="480"/>
              <w:rPr>
                <w:rFonts w:eastAsiaTheme="minorEastAsia"/>
                <w:color w:val="auto"/>
              </w:rPr>
            </w:pPr>
            <w:r>
              <w:rPr>
                <w:rFonts w:eastAsiaTheme="minorEastAsia"/>
                <w:color w:val="auto"/>
              </w:rPr>
              <w:t>（1）规划环评情况</w:t>
            </w:r>
          </w:p>
          <w:p w14:paraId="748F779C">
            <w:pPr>
              <w:pStyle w:val="65"/>
              <w:ind w:firstLine="480"/>
              <w:rPr>
                <w:rFonts w:eastAsiaTheme="minorEastAsia"/>
                <w:color w:val="auto"/>
              </w:rPr>
            </w:pPr>
            <w:r>
              <w:rPr>
                <w:rFonts w:eastAsiaTheme="minorEastAsia"/>
                <w:color w:val="auto"/>
              </w:rPr>
              <w:t>规划环评审查文件：《关于朝阳县瓦房子镇工业园区总体规划（2019-2035）环境影响报告书的审查意见》，朝县环发[2021]第55号。</w:t>
            </w:r>
          </w:p>
          <w:p w14:paraId="3EEC9BCD">
            <w:pPr>
              <w:pStyle w:val="65"/>
              <w:ind w:firstLine="480"/>
              <w:rPr>
                <w:rFonts w:eastAsiaTheme="minorEastAsia"/>
                <w:color w:val="auto"/>
              </w:rPr>
            </w:pPr>
            <w:r>
              <w:rPr>
                <w:rFonts w:eastAsiaTheme="minorEastAsia"/>
                <w:color w:val="auto"/>
              </w:rPr>
              <w:t>《朝阳县瓦房子镇工业园区总体规划（2019-2035）环境影响报告书》提出：</w:t>
            </w:r>
          </w:p>
          <w:p w14:paraId="1621D254">
            <w:pPr>
              <w:pStyle w:val="65"/>
              <w:ind w:firstLine="480"/>
              <w:rPr>
                <w:rFonts w:eastAsiaTheme="minorEastAsia"/>
                <w:color w:val="auto"/>
              </w:rPr>
            </w:pPr>
            <w:r>
              <w:rPr>
                <w:rFonts w:eastAsiaTheme="minorEastAsia"/>
                <w:color w:val="auto"/>
              </w:rPr>
              <w:t>1）不得引入化工、石油、造纸、印染、制革等高污染企业。</w:t>
            </w:r>
          </w:p>
          <w:p w14:paraId="2A8EA59A">
            <w:pPr>
              <w:pStyle w:val="65"/>
              <w:ind w:firstLine="480"/>
              <w:rPr>
                <w:rFonts w:eastAsiaTheme="minorEastAsia"/>
                <w:color w:val="auto"/>
              </w:rPr>
            </w:pPr>
            <w:r>
              <w:rPr>
                <w:rFonts w:eastAsiaTheme="minorEastAsia"/>
                <w:color w:val="auto"/>
              </w:rPr>
              <w:t>2）根据一般工业固体废物的特点，应该根据实际情况区别处理，尽可能按照废物资源化的要求进行回收利用。其中Ⅰ类一般固废基本上能100％的综合利用或贮存（如电厂的贮灰场等）。规划区产生量大的Ⅰ类一般固废贮存量将占一定比例，应该主要考虑综合利用，例如规划区产生量较大的粉煤灰，可以用于生产建材或用在大型土建工程方面，如生产墙体材料，包括粉煤灰砖、粉煤灰硅酸盐砌块等；也可作为水泥原料、混凝土原料。</w:t>
            </w:r>
          </w:p>
          <w:p w14:paraId="3D73CA8E">
            <w:pPr>
              <w:pStyle w:val="65"/>
              <w:ind w:firstLine="480"/>
              <w:rPr>
                <w:rFonts w:eastAsiaTheme="minorEastAsia"/>
                <w:color w:val="auto"/>
              </w:rPr>
            </w:pPr>
            <w:r>
              <w:rPr>
                <w:rFonts w:eastAsiaTheme="minorEastAsia"/>
                <w:color w:val="auto"/>
              </w:rPr>
              <w:t>（2）符合性分析</w:t>
            </w:r>
          </w:p>
          <w:p w14:paraId="1E2E799D">
            <w:pPr>
              <w:pStyle w:val="65"/>
              <w:ind w:firstLine="480"/>
              <w:rPr>
                <w:rFonts w:eastAsiaTheme="minorEastAsia"/>
                <w:color w:val="auto"/>
              </w:rPr>
            </w:pPr>
            <w:r>
              <w:rPr>
                <w:rFonts w:eastAsiaTheme="minorEastAsia"/>
                <w:color w:val="auto"/>
              </w:rPr>
              <w:t>1）本项目不属于化工、石油、造纸、印染、制革等高污染企业。</w:t>
            </w:r>
          </w:p>
          <w:p w14:paraId="77FC2F35">
            <w:pPr>
              <w:pStyle w:val="65"/>
              <w:ind w:firstLine="480"/>
              <w:rPr>
                <w:rFonts w:eastAsiaTheme="minorEastAsia"/>
                <w:color w:val="auto"/>
              </w:rPr>
            </w:pPr>
            <w:r>
              <w:rPr>
                <w:rFonts w:eastAsiaTheme="minorEastAsia"/>
                <w:color w:val="auto"/>
              </w:rPr>
              <w:t>2）本项目为固体废物加工再利用项目，根据《朝阳县瓦房子镇宏兴锰矿排污许可证（副本）》《辽宁鑫方成新材料有限公司排污许可证（副本）》《葫芦岛市八家子经济开发区安胜矿产品综合利用有限公司排污许可证（副本）》，本项目使用的原辅材料锰矿石废料为Ⅰ类一般固废。</w:t>
            </w:r>
          </w:p>
          <w:p w14:paraId="20AC06C8">
            <w:pPr>
              <w:pStyle w:val="65"/>
              <w:ind w:firstLine="480"/>
              <w:rPr>
                <w:rFonts w:eastAsiaTheme="minorEastAsia"/>
                <w:color w:val="auto"/>
              </w:rPr>
            </w:pPr>
            <w:r>
              <w:rPr>
                <w:rFonts w:eastAsiaTheme="minorEastAsia"/>
                <w:color w:val="auto"/>
              </w:rPr>
              <w:t>本项目部分原料来自朝阳县瓦房子镇工业园区，对园区内锰合金冶炼企业产生的部分一般固体废物进行综合利用，促进了</w:t>
            </w:r>
            <w:r>
              <w:rPr>
                <w:rFonts w:hint="eastAsia" w:eastAsiaTheme="minorEastAsia"/>
                <w:color w:val="auto"/>
              </w:rPr>
              <w:t>“</w:t>
            </w:r>
            <w:r>
              <w:rPr>
                <w:rFonts w:eastAsiaTheme="minorEastAsia"/>
                <w:color w:val="auto"/>
              </w:rPr>
              <w:t>Ⅰ类一般固废基本上能100％的综合利用或贮存</w:t>
            </w:r>
            <w:r>
              <w:rPr>
                <w:rFonts w:hint="eastAsia" w:eastAsiaTheme="minorEastAsia"/>
                <w:color w:val="auto"/>
              </w:rPr>
              <w:t>”</w:t>
            </w:r>
            <w:r>
              <w:rPr>
                <w:rFonts w:eastAsiaTheme="minorEastAsia"/>
                <w:color w:val="auto"/>
              </w:rPr>
              <w:t>的实现。</w:t>
            </w:r>
          </w:p>
          <w:p w14:paraId="028CEA52">
            <w:pPr>
              <w:pStyle w:val="65"/>
              <w:ind w:firstLine="480"/>
              <w:rPr>
                <w:rFonts w:eastAsiaTheme="minorEastAsia"/>
                <w:color w:val="auto"/>
              </w:rPr>
            </w:pPr>
            <w:r>
              <w:rPr>
                <w:rFonts w:eastAsiaTheme="minorEastAsia"/>
                <w:color w:val="auto"/>
              </w:rPr>
              <w:t>综上所述，本项目符合《朝阳县瓦房子镇工业园区总体规划（2019-2035）环境影响报告书》。</w:t>
            </w:r>
          </w:p>
        </w:tc>
      </w:tr>
      <w:tr w14:paraId="51BA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2" w:hRule="atLeast"/>
        </w:trPr>
        <w:tc>
          <w:tcPr>
            <w:tcW w:w="1088" w:type="dxa"/>
            <w:tcBorders>
              <w:tl2br w:val="nil"/>
              <w:tr2bl w:val="nil"/>
            </w:tcBorders>
            <w:shd w:val="clear" w:color="auto" w:fill="auto"/>
            <w:tcMar>
              <w:top w:w="0" w:type="dxa"/>
              <w:left w:w="108" w:type="dxa"/>
              <w:bottom w:w="0" w:type="dxa"/>
              <w:right w:w="108" w:type="dxa"/>
            </w:tcMar>
            <w:vAlign w:val="center"/>
          </w:tcPr>
          <w:p w14:paraId="483E43F4">
            <w:pPr>
              <w:pStyle w:val="129"/>
              <w:ind w:left="210"/>
              <w:jc w:val="center"/>
              <w:rPr>
                <w:rFonts w:eastAsiaTheme="minorEastAsia"/>
                <w:color w:val="auto"/>
                <w:sz w:val="24"/>
                <w:szCs w:val="24"/>
              </w:rPr>
            </w:pPr>
            <w:bookmarkStart w:id="1" w:name="_Hlk219124737"/>
            <w:r>
              <w:rPr>
                <w:rFonts w:eastAsiaTheme="minorEastAsia"/>
                <w:color w:val="auto"/>
                <w:sz w:val="24"/>
                <w:szCs w:val="24"/>
              </w:rPr>
              <w:t>其他符合性分析</w:t>
            </w:r>
          </w:p>
        </w:tc>
        <w:tc>
          <w:tcPr>
            <w:tcW w:w="7211" w:type="dxa"/>
            <w:gridSpan w:val="3"/>
            <w:tcBorders>
              <w:tl2br w:val="nil"/>
              <w:tr2bl w:val="nil"/>
            </w:tcBorders>
            <w:shd w:val="clear" w:color="auto" w:fill="auto"/>
            <w:tcMar>
              <w:top w:w="0" w:type="dxa"/>
              <w:left w:w="108" w:type="dxa"/>
              <w:bottom w:w="0" w:type="dxa"/>
              <w:right w:w="108" w:type="dxa"/>
            </w:tcMar>
            <w:vAlign w:val="center"/>
          </w:tcPr>
          <w:p w14:paraId="17C1D111">
            <w:pPr>
              <w:pStyle w:val="65"/>
              <w:ind w:firstLine="482"/>
              <w:rPr>
                <w:rFonts w:eastAsiaTheme="minorEastAsia"/>
                <w:b/>
                <w:bCs/>
                <w:color w:val="auto"/>
              </w:rPr>
            </w:pPr>
            <w:r>
              <w:rPr>
                <w:rFonts w:eastAsiaTheme="minorEastAsia"/>
                <w:b/>
                <w:bCs/>
                <w:color w:val="auto"/>
              </w:rPr>
              <w:t>1、产业政策符合性分析</w:t>
            </w:r>
          </w:p>
          <w:p w14:paraId="017E4276">
            <w:pPr>
              <w:pStyle w:val="65"/>
              <w:ind w:firstLine="480"/>
              <w:rPr>
                <w:rFonts w:eastAsiaTheme="minorEastAsia"/>
                <w:color w:val="auto"/>
              </w:rPr>
            </w:pPr>
            <w:r>
              <w:rPr>
                <w:rFonts w:eastAsiaTheme="minorEastAsia"/>
                <w:color w:val="auto"/>
              </w:rPr>
              <w:t>（1）根据《国民经济行业分类》（GB/T4754-2017）2019年修改版（国统字〔2019〕66号）本项目属于B4210金属废料和碎屑加工处理，对照《产业结构调整指导目录（2024年本）》，项目不属于</w:t>
            </w:r>
            <w:r>
              <w:rPr>
                <w:rFonts w:hint="eastAsia" w:eastAsiaTheme="minorEastAsia"/>
                <w:color w:val="auto"/>
              </w:rPr>
              <w:t>“</w:t>
            </w:r>
            <w:r>
              <w:rPr>
                <w:rFonts w:eastAsiaTheme="minorEastAsia"/>
                <w:color w:val="auto"/>
              </w:rPr>
              <w:t>鼓励类</w:t>
            </w:r>
            <w:r>
              <w:rPr>
                <w:rFonts w:hint="eastAsia" w:eastAsiaTheme="minorEastAsia"/>
                <w:color w:val="auto"/>
              </w:rPr>
              <w:t>”“</w:t>
            </w:r>
            <w:r>
              <w:rPr>
                <w:rFonts w:eastAsiaTheme="minorEastAsia"/>
                <w:color w:val="auto"/>
              </w:rPr>
              <w:t>限制类</w:t>
            </w:r>
            <w:r>
              <w:rPr>
                <w:rFonts w:hint="eastAsia" w:eastAsiaTheme="minorEastAsia"/>
                <w:color w:val="auto"/>
              </w:rPr>
              <w:t>”</w:t>
            </w:r>
            <w:r>
              <w:rPr>
                <w:rFonts w:eastAsiaTheme="minorEastAsia"/>
                <w:color w:val="auto"/>
              </w:rPr>
              <w:t>和</w:t>
            </w:r>
            <w:r>
              <w:rPr>
                <w:rFonts w:hint="eastAsia" w:eastAsiaTheme="minorEastAsia"/>
                <w:color w:val="auto"/>
              </w:rPr>
              <w:t>“</w:t>
            </w:r>
            <w:r>
              <w:rPr>
                <w:rFonts w:eastAsiaTheme="minorEastAsia"/>
                <w:color w:val="auto"/>
              </w:rPr>
              <w:t>淘汰类</w:t>
            </w:r>
            <w:r>
              <w:rPr>
                <w:rFonts w:hint="eastAsia" w:eastAsiaTheme="minorEastAsia"/>
                <w:color w:val="auto"/>
              </w:rPr>
              <w:t>”</w:t>
            </w:r>
            <w:r>
              <w:rPr>
                <w:rFonts w:eastAsiaTheme="minorEastAsia"/>
                <w:color w:val="auto"/>
              </w:rPr>
              <w:t>，为允许类项目，符合国家产业政策要求。</w:t>
            </w:r>
          </w:p>
          <w:p w14:paraId="63C84EB4">
            <w:pPr>
              <w:pStyle w:val="65"/>
              <w:ind w:firstLine="480"/>
              <w:rPr>
                <w:rFonts w:eastAsiaTheme="minorEastAsia"/>
                <w:color w:val="auto"/>
              </w:rPr>
            </w:pPr>
            <w:r>
              <w:rPr>
                <w:rFonts w:eastAsiaTheme="minorEastAsia"/>
                <w:color w:val="auto"/>
              </w:rPr>
              <w:t>（2）对照国家发展改革委商务部 市场监管总局关于印发《市场准入负面清单（2025年版）》，本项目不属于禁止准入类，符合国家市场准入负面清单。</w:t>
            </w:r>
          </w:p>
          <w:p w14:paraId="1680452F">
            <w:pPr>
              <w:pStyle w:val="65"/>
              <w:ind w:firstLine="482"/>
              <w:rPr>
                <w:rFonts w:eastAsiaTheme="minorEastAsia"/>
                <w:b/>
                <w:bCs/>
                <w:color w:val="auto"/>
              </w:rPr>
            </w:pPr>
            <w:r>
              <w:rPr>
                <w:rFonts w:eastAsiaTheme="minorEastAsia"/>
                <w:b/>
                <w:bCs/>
                <w:color w:val="auto"/>
              </w:rPr>
              <w:t>2、选址合理性分析</w:t>
            </w:r>
          </w:p>
          <w:p w14:paraId="51EAC955">
            <w:pPr>
              <w:pStyle w:val="65"/>
              <w:ind w:firstLine="480"/>
              <w:rPr>
                <w:rFonts w:eastAsiaTheme="minorEastAsia"/>
                <w:color w:val="auto"/>
              </w:rPr>
            </w:pPr>
            <w:r>
              <w:rPr>
                <w:rFonts w:eastAsiaTheme="minorEastAsia"/>
                <w:color w:val="auto"/>
              </w:rPr>
              <w:t>（1）用地性质符合性分析</w:t>
            </w:r>
          </w:p>
          <w:p w14:paraId="373A90A1">
            <w:pPr>
              <w:pStyle w:val="65"/>
              <w:ind w:firstLine="480"/>
              <w:rPr>
                <w:rFonts w:eastAsiaTheme="minorEastAsia"/>
                <w:color w:val="auto"/>
              </w:rPr>
            </w:pPr>
            <w:r>
              <w:rPr>
                <w:rFonts w:eastAsiaTheme="minorEastAsia"/>
                <w:color w:val="auto"/>
              </w:rPr>
              <w:t>项目选址位于辽宁省朝阳市朝阳县瓦房子镇上三家子村（朝阳县瓦房子镇宏兴锰矿厂区内），占地均位于朝阳县瓦房子镇工业园区内，用地性质为工业用地。</w:t>
            </w:r>
          </w:p>
          <w:p w14:paraId="5CCB46A8">
            <w:pPr>
              <w:pStyle w:val="65"/>
              <w:ind w:firstLine="480"/>
              <w:rPr>
                <w:rFonts w:eastAsiaTheme="minorEastAsia"/>
                <w:color w:val="auto"/>
              </w:rPr>
            </w:pPr>
            <w:r>
              <w:rPr>
                <w:rFonts w:eastAsiaTheme="minorEastAsia"/>
                <w:color w:val="auto"/>
              </w:rPr>
              <w:t>根据《朝阳县瓦房子镇工业园区总体规划（2019-2035）》，项目所在区域属于规划的三类工业用地。</w:t>
            </w:r>
          </w:p>
          <w:p w14:paraId="7D627085">
            <w:pPr>
              <w:pStyle w:val="65"/>
              <w:ind w:firstLine="480"/>
              <w:rPr>
                <w:rFonts w:eastAsiaTheme="minorEastAsia"/>
                <w:color w:val="auto"/>
              </w:rPr>
            </w:pPr>
            <w:r>
              <w:rPr>
                <w:rFonts w:eastAsiaTheme="minorEastAsia"/>
                <w:color w:val="auto"/>
              </w:rPr>
              <w:t>项目租赁朝阳县瓦房子镇宏兴锰矿现有场地，不新增建设用地，不占用基本农田。根据朝阳县自然资源局查询结果，项目用地不在生态保护红线范围内（附件七）。本项目占地及评价范围内不涉及《建设项目环境影响评价分类管理名录（2021年版）》第三条（一）中的国家公园、自然保护区、风景名胜区、世界文化和自然遗产地、海洋特别保护区、饮用水水源保护区，也不涉及第三条（二）中的生态保护红线管控范围、基本草原、重要水生生物的自然产卵场、索饵场、越冬场和洄游通道、沙化土地封禁保护区，无重大环境制约因素。</w:t>
            </w:r>
          </w:p>
          <w:p w14:paraId="4483A82F">
            <w:pPr>
              <w:pStyle w:val="65"/>
              <w:ind w:firstLine="480"/>
              <w:rPr>
                <w:rFonts w:eastAsiaTheme="minorEastAsia"/>
                <w:color w:val="auto"/>
              </w:rPr>
            </w:pPr>
            <w:r>
              <w:rPr>
                <w:rFonts w:eastAsiaTheme="minorEastAsia"/>
                <w:color w:val="auto"/>
              </w:rPr>
              <w:t>（2）与园区产业定位的一致性分析</w:t>
            </w:r>
          </w:p>
          <w:p w14:paraId="09D7F54F">
            <w:pPr>
              <w:pStyle w:val="65"/>
              <w:ind w:firstLine="480"/>
              <w:rPr>
                <w:rFonts w:eastAsiaTheme="minorEastAsia"/>
                <w:color w:val="auto"/>
              </w:rPr>
            </w:pPr>
            <w:r>
              <w:rPr>
                <w:rFonts w:eastAsiaTheme="minorEastAsia"/>
                <w:color w:val="auto"/>
              </w:rPr>
              <w:t>根据《朝阳县瓦房子镇国土空间总体规划（2021—2035年）》，瓦房子镇功能定位为</w:t>
            </w:r>
            <w:r>
              <w:rPr>
                <w:rFonts w:hint="eastAsia" w:eastAsiaTheme="minorEastAsia"/>
                <w:color w:val="auto"/>
              </w:rPr>
              <w:t>“</w:t>
            </w:r>
            <w:r>
              <w:rPr>
                <w:rFonts w:eastAsiaTheme="minorEastAsia"/>
                <w:color w:val="auto"/>
              </w:rPr>
              <w:t>国家规划矿区锰矿资源承载地、朝阳县锰业发展基地、产城融合发展集聚地、山水交融生态宜居城镇</w:t>
            </w:r>
            <w:r>
              <w:rPr>
                <w:rFonts w:hint="eastAsia" w:eastAsiaTheme="minorEastAsia"/>
                <w:color w:val="auto"/>
              </w:rPr>
              <w:t>”</w:t>
            </w:r>
            <w:r>
              <w:rPr>
                <w:rFonts w:eastAsiaTheme="minorEastAsia"/>
                <w:color w:val="auto"/>
              </w:rPr>
              <w:t>，城镇性质为</w:t>
            </w:r>
            <w:r>
              <w:rPr>
                <w:rFonts w:hint="eastAsia" w:eastAsiaTheme="minorEastAsia"/>
                <w:color w:val="auto"/>
              </w:rPr>
              <w:t>“</w:t>
            </w:r>
            <w:r>
              <w:rPr>
                <w:rFonts w:eastAsiaTheme="minorEastAsia"/>
                <w:color w:val="auto"/>
              </w:rPr>
              <w:t>以发展锰合金冶炼及钢铁工业与建筑材料生产为主导产业的工产贸型重点城镇</w:t>
            </w:r>
            <w:r>
              <w:rPr>
                <w:rFonts w:hint="eastAsia" w:eastAsiaTheme="minorEastAsia"/>
                <w:color w:val="auto"/>
              </w:rPr>
              <w:t>”</w:t>
            </w:r>
            <w:r>
              <w:rPr>
                <w:rFonts w:eastAsiaTheme="minorEastAsia"/>
                <w:color w:val="auto"/>
              </w:rPr>
              <w:t>。规划明确依托锰业产业延伸产业链条，打造完整的产业生态体系，加快推进瓦房子镇工业园区的配套设施建设。</w:t>
            </w:r>
          </w:p>
          <w:p w14:paraId="3CEA9032">
            <w:pPr>
              <w:pStyle w:val="65"/>
              <w:ind w:firstLine="480"/>
              <w:rPr>
                <w:rFonts w:eastAsiaTheme="minorEastAsia"/>
                <w:color w:val="auto"/>
              </w:rPr>
            </w:pPr>
            <w:r>
              <w:rPr>
                <w:rFonts w:eastAsiaTheme="minorEastAsia"/>
                <w:color w:val="auto"/>
              </w:rPr>
              <w:t>本项目对锰矿石废料进行加工再利用，与瓦房子镇"锰业产业"的产业定位完全契合。</w:t>
            </w:r>
          </w:p>
          <w:p w14:paraId="0DAAA65C">
            <w:pPr>
              <w:pStyle w:val="65"/>
              <w:ind w:firstLine="480"/>
              <w:rPr>
                <w:rFonts w:eastAsiaTheme="minorEastAsia"/>
                <w:color w:val="auto"/>
              </w:rPr>
            </w:pPr>
            <w:r>
              <w:rPr>
                <w:rFonts w:eastAsiaTheme="minorEastAsia"/>
                <w:color w:val="auto"/>
              </w:rPr>
              <w:t>根据《辽宁省工业炉窑大气污染综合治理实施方案》要求，"新建涉工业炉窑的建设项目，原则上要入园区，配套建设高效环保治理设施"。本项目已位于工业园区内，并配套建设脱硫、除尘等环保治理设施，满足上述方案要求。</w:t>
            </w:r>
          </w:p>
          <w:p w14:paraId="66BCC2E1">
            <w:pPr>
              <w:pStyle w:val="65"/>
              <w:ind w:firstLine="480"/>
              <w:rPr>
                <w:rFonts w:eastAsiaTheme="minorEastAsia"/>
                <w:color w:val="auto"/>
              </w:rPr>
            </w:pPr>
            <w:r>
              <w:rPr>
                <w:rFonts w:eastAsiaTheme="minorEastAsia"/>
                <w:color w:val="auto"/>
              </w:rPr>
              <w:t>（3）基础设施依托条件分析</w:t>
            </w:r>
          </w:p>
          <w:p w14:paraId="728D1910">
            <w:pPr>
              <w:pStyle w:val="65"/>
              <w:ind w:firstLine="480"/>
              <w:rPr>
                <w:rFonts w:eastAsiaTheme="minorEastAsia"/>
                <w:color w:val="auto"/>
              </w:rPr>
            </w:pPr>
            <w:r>
              <w:rPr>
                <w:rFonts w:eastAsiaTheme="minorEastAsia"/>
                <w:color w:val="auto"/>
              </w:rPr>
              <w:t>项目厂址位于瓦房子镇工业园区内，区域基础设施条件较好：园区供电已建成投运，可满足项目生产需求；给水依托场地出租方。项目所在厂区南侧有公路通过，交通较为便利，满足原料及产品运输需求。脱硫废水经沉淀处理后上清液回用于喷淋系统，不外排，降低了对区域水环境的影响。生活污水依托场地出租方化粪池处理后定期清掏堆肥，不外排。</w:t>
            </w:r>
          </w:p>
          <w:p w14:paraId="2A076729">
            <w:pPr>
              <w:pStyle w:val="65"/>
              <w:ind w:firstLine="480"/>
              <w:rPr>
                <w:rFonts w:eastAsiaTheme="minorEastAsia"/>
                <w:color w:val="auto"/>
              </w:rPr>
            </w:pPr>
            <w:r>
              <w:rPr>
                <w:rFonts w:eastAsiaTheme="minorEastAsia"/>
                <w:color w:val="auto"/>
              </w:rPr>
              <w:t>项目依托朝阳县瓦房子镇宏兴锰矿部分现有基础设施，包括供水、供电、化粪池等，可满足运营需求，减少了重复建设。项目原料为锰矿石废料，主要来源为：葫芦岛市八家子经济开发区安胜矿产品综合利用有限公司（年产20万吨）、辽宁鑫方成新材料有限公司（年产2.5万吨）、朝阳县瓦房子镇宏兴锰矿（年产3万吨），来源合计产能25.5万吨/年，本项目用量为5万吨/年，原料供应充足可靠。项目所在区域交通便利，原材料供应、给水、排水、电力等外部协作条件良好，可满足项目建设和运营需要。</w:t>
            </w:r>
          </w:p>
          <w:p w14:paraId="790D5C8B">
            <w:pPr>
              <w:pStyle w:val="65"/>
              <w:ind w:firstLine="480"/>
              <w:rPr>
                <w:rFonts w:eastAsiaTheme="minorEastAsia"/>
                <w:color w:val="auto"/>
              </w:rPr>
            </w:pPr>
            <w:r>
              <w:rPr>
                <w:rFonts w:eastAsiaTheme="minorEastAsia"/>
                <w:color w:val="auto"/>
              </w:rPr>
              <w:t>（4）环境功能区划符合性分析</w:t>
            </w:r>
          </w:p>
          <w:p w14:paraId="10A439BC">
            <w:pPr>
              <w:pStyle w:val="65"/>
              <w:ind w:firstLine="480"/>
              <w:rPr>
                <w:rFonts w:eastAsiaTheme="minorEastAsia"/>
                <w:color w:val="auto"/>
              </w:rPr>
            </w:pPr>
            <w:r>
              <w:rPr>
                <w:rFonts w:eastAsiaTheme="minorEastAsia"/>
                <w:color w:val="auto"/>
              </w:rPr>
              <w:t>瓦房子镇工业园区区域环境空气为二类功能区，项目运营期废气经</w:t>
            </w:r>
            <w:r>
              <w:rPr>
                <w:rFonts w:hint="eastAsia" w:eastAsiaTheme="minorEastAsia"/>
                <w:color w:val="auto"/>
              </w:rPr>
              <w:t>“</w:t>
            </w:r>
            <w:r>
              <w:rPr>
                <w:rFonts w:eastAsiaTheme="minorEastAsia"/>
                <w:color w:val="auto"/>
              </w:rPr>
              <w:t>布袋除尘器+石灰石/石膏法脱硫</w:t>
            </w:r>
            <w:r>
              <w:rPr>
                <w:rFonts w:hint="eastAsia" w:eastAsiaTheme="minorEastAsia"/>
                <w:color w:val="auto"/>
              </w:rPr>
              <w:t>”</w:t>
            </w:r>
            <w:r>
              <w:rPr>
                <w:rFonts w:eastAsiaTheme="minorEastAsia"/>
                <w:color w:val="auto"/>
              </w:rPr>
              <w:t>处理后达标排放，废水不外排，噪声经厂房隔声和距离衰减后厂界达标，各类固体废物均得到妥善处置。运行过程中产生的各项污染物可得到有效处理，污染物排放满足相关标准要求，对区域环境影响在可接受范围内。项目建设不改变区域环境功能区划，符合环境功能区划要求。</w:t>
            </w:r>
          </w:p>
          <w:p w14:paraId="074790E1">
            <w:pPr>
              <w:pStyle w:val="65"/>
              <w:ind w:firstLine="480"/>
              <w:rPr>
                <w:rFonts w:eastAsiaTheme="minorEastAsia"/>
                <w:color w:val="auto"/>
              </w:rPr>
            </w:pPr>
            <w:r>
              <w:rPr>
                <w:rFonts w:eastAsiaTheme="minorEastAsia"/>
                <w:color w:val="auto"/>
              </w:rPr>
              <w:t>（5）选址合理性综合结论</w:t>
            </w:r>
          </w:p>
          <w:p w14:paraId="5F8DC853">
            <w:pPr>
              <w:pStyle w:val="65"/>
              <w:ind w:firstLine="480"/>
              <w:rPr>
                <w:rFonts w:eastAsiaTheme="minorEastAsia"/>
                <w:color w:val="auto"/>
              </w:rPr>
            </w:pPr>
            <w:r>
              <w:rPr>
                <w:rFonts w:eastAsiaTheme="minorEastAsia"/>
                <w:color w:val="auto"/>
              </w:rPr>
              <w:t>本项目租赁朝阳县瓦房子镇宏兴锰矿场地，土地性质为工业用地，不新增用地，不占用基本农田，不在禁止建设区域内；经朝阳县自然资源局查询不在生态保护红线范围内。项目原材料供应、能源、交通等设施便利，给水、排水、电力、交通等均可与本项目相衔接，具有良好的外部条件。运行过程中产生的各项污染物可得到有效处理，对区域的环境影响在可接受范围内。</w:t>
            </w:r>
          </w:p>
          <w:p w14:paraId="5D4B0805">
            <w:pPr>
              <w:pStyle w:val="65"/>
              <w:ind w:firstLine="480"/>
              <w:rPr>
                <w:rFonts w:eastAsiaTheme="minorEastAsia"/>
                <w:color w:val="auto"/>
              </w:rPr>
            </w:pPr>
            <w:r>
              <w:rPr>
                <w:rFonts w:eastAsiaTheme="minorEastAsia"/>
                <w:color w:val="auto"/>
              </w:rPr>
              <w:t>综上所述，从环境保护角度分析，项目选址合理。</w:t>
            </w:r>
          </w:p>
          <w:p w14:paraId="227F88ED">
            <w:pPr>
              <w:pStyle w:val="65"/>
              <w:ind w:firstLine="482"/>
              <w:rPr>
                <w:rFonts w:eastAsiaTheme="minorEastAsia"/>
                <w:b/>
                <w:bCs/>
                <w:color w:val="auto"/>
              </w:rPr>
            </w:pPr>
            <w:r>
              <w:rPr>
                <w:rFonts w:eastAsiaTheme="minorEastAsia"/>
                <w:b/>
                <w:bCs/>
                <w:color w:val="auto"/>
              </w:rPr>
              <w:t>3、与《朝阳市生态环境分区管控动态更新方案（2023年）》符合性分析</w:t>
            </w:r>
          </w:p>
          <w:p w14:paraId="11B4AF29">
            <w:pPr>
              <w:pStyle w:val="65"/>
              <w:ind w:firstLine="480"/>
              <w:rPr>
                <w:rFonts w:eastAsiaTheme="minorEastAsia"/>
                <w:color w:val="auto"/>
              </w:rPr>
            </w:pPr>
            <w:r>
              <w:rPr>
                <w:rFonts w:eastAsiaTheme="minorEastAsia"/>
                <w:color w:val="auto"/>
              </w:rPr>
              <w:t>本项目所在环境管控单元：朝阳市朝阳县一般管控区2，管控单元类型为一般管控区，管控单元编码为ZH21132130002；项目所在环境管控单元及与生态环境分区管控相符性分析详见下表。</w:t>
            </w:r>
          </w:p>
          <w:p w14:paraId="5BB0812C">
            <w:pPr>
              <w:pStyle w:val="92"/>
              <w:rPr>
                <w:rFonts w:eastAsiaTheme="minorEastAsia"/>
                <w:color w:val="auto"/>
              </w:rPr>
            </w:pPr>
            <w:r>
              <w:rPr>
                <w:rFonts w:eastAsiaTheme="minorEastAsia"/>
                <w:color w:val="auto"/>
              </w:rPr>
              <w:t>表1-3与朝阳市生态环境分区管控动态 更新方案（2023年）符合性分析</w:t>
            </w:r>
          </w:p>
          <w:tbl>
            <w:tblPr>
              <w:tblStyle w:val="35"/>
              <w:tblW w:w="7530" w:type="dxa"/>
              <w:tblInd w:w="5" w:type="dxa"/>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65"/>
              <w:gridCol w:w="767"/>
              <w:gridCol w:w="782"/>
              <w:gridCol w:w="3018"/>
              <w:gridCol w:w="1701"/>
              <w:gridCol w:w="797"/>
            </w:tblGrid>
            <w:tr w14:paraId="09DCF4D4">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465" w:type="dxa"/>
                  <w:tcBorders>
                    <w:top w:val="double" w:color="000000" w:sz="2" w:space="0"/>
                    <w:left w:val="nil"/>
                    <w:bottom w:val="single" w:color="000000" w:sz="4" w:space="0"/>
                    <w:right w:val="single" w:color="000000" w:sz="4" w:space="0"/>
                  </w:tcBorders>
                  <w:vAlign w:val="center"/>
                </w:tcPr>
                <w:p w14:paraId="1D58678D">
                  <w:pPr>
                    <w:pStyle w:val="133"/>
                    <w:rPr>
                      <w:rFonts w:eastAsiaTheme="minorEastAsia"/>
                      <w:color w:val="auto"/>
                    </w:rPr>
                  </w:pPr>
                  <w:r>
                    <w:rPr>
                      <w:rFonts w:eastAsiaTheme="minorEastAsia"/>
                      <w:color w:val="auto"/>
                    </w:rPr>
                    <w:t>管控单元名称</w:t>
                  </w:r>
                </w:p>
              </w:tc>
              <w:tc>
                <w:tcPr>
                  <w:tcW w:w="767" w:type="dxa"/>
                  <w:tcBorders>
                    <w:top w:val="double" w:color="000000" w:sz="2" w:space="0"/>
                    <w:left w:val="single" w:color="000000" w:sz="4" w:space="0"/>
                    <w:bottom w:val="single" w:color="000000" w:sz="4" w:space="0"/>
                    <w:right w:val="single" w:color="000000" w:sz="4" w:space="0"/>
                  </w:tcBorders>
                  <w:vAlign w:val="center"/>
                </w:tcPr>
                <w:p w14:paraId="63895BA5">
                  <w:pPr>
                    <w:pStyle w:val="133"/>
                    <w:rPr>
                      <w:rFonts w:eastAsiaTheme="minorEastAsia"/>
                      <w:color w:val="auto"/>
                    </w:rPr>
                  </w:pPr>
                  <w:r>
                    <w:rPr>
                      <w:rFonts w:eastAsiaTheme="minorEastAsia"/>
                      <w:color w:val="auto"/>
                    </w:rPr>
                    <w:t>管控单元编码</w:t>
                  </w:r>
                </w:p>
              </w:tc>
              <w:tc>
                <w:tcPr>
                  <w:tcW w:w="782" w:type="dxa"/>
                  <w:tcBorders>
                    <w:top w:val="double" w:color="000000" w:sz="2" w:space="0"/>
                    <w:left w:val="single" w:color="000000" w:sz="4" w:space="0"/>
                    <w:bottom w:val="single" w:color="000000" w:sz="4" w:space="0"/>
                    <w:right w:val="single" w:color="000000" w:sz="4" w:space="0"/>
                  </w:tcBorders>
                  <w:vAlign w:val="center"/>
                </w:tcPr>
                <w:p w14:paraId="278DB776">
                  <w:pPr>
                    <w:pStyle w:val="133"/>
                    <w:rPr>
                      <w:rFonts w:eastAsiaTheme="minorEastAsia"/>
                      <w:color w:val="auto"/>
                    </w:rPr>
                  </w:pPr>
                  <w:r>
                    <w:rPr>
                      <w:rFonts w:eastAsiaTheme="minorEastAsia"/>
                      <w:color w:val="auto"/>
                    </w:rPr>
                    <w:t>管控类别</w:t>
                  </w:r>
                </w:p>
              </w:tc>
              <w:tc>
                <w:tcPr>
                  <w:tcW w:w="3018" w:type="dxa"/>
                  <w:tcBorders>
                    <w:top w:val="double" w:color="000000" w:sz="2" w:space="0"/>
                    <w:left w:val="single" w:color="000000" w:sz="4" w:space="0"/>
                    <w:bottom w:val="single" w:color="000000" w:sz="4" w:space="0"/>
                    <w:right w:val="single" w:color="000000" w:sz="4" w:space="0"/>
                  </w:tcBorders>
                  <w:vAlign w:val="center"/>
                </w:tcPr>
                <w:p w14:paraId="02C400A3">
                  <w:pPr>
                    <w:pStyle w:val="133"/>
                    <w:rPr>
                      <w:rFonts w:eastAsiaTheme="minorEastAsia"/>
                      <w:color w:val="auto"/>
                    </w:rPr>
                  </w:pPr>
                  <w:r>
                    <w:rPr>
                      <w:rFonts w:eastAsiaTheme="minorEastAsia"/>
                      <w:color w:val="auto"/>
                    </w:rPr>
                    <w:t>管控要求</w:t>
                  </w:r>
                </w:p>
              </w:tc>
              <w:tc>
                <w:tcPr>
                  <w:tcW w:w="1701" w:type="dxa"/>
                  <w:tcBorders>
                    <w:top w:val="double" w:color="000000" w:sz="2" w:space="0"/>
                    <w:left w:val="single" w:color="000000" w:sz="4" w:space="0"/>
                    <w:bottom w:val="single" w:color="000000" w:sz="4" w:space="0"/>
                    <w:right w:val="single" w:color="000000" w:sz="4" w:space="0"/>
                  </w:tcBorders>
                  <w:vAlign w:val="center"/>
                </w:tcPr>
                <w:p w14:paraId="34592DBB">
                  <w:pPr>
                    <w:pStyle w:val="133"/>
                    <w:rPr>
                      <w:rFonts w:eastAsiaTheme="minorEastAsia"/>
                      <w:color w:val="auto"/>
                    </w:rPr>
                  </w:pPr>
                  <w:r>
                    <w:rPr>
                      <w:rFonts w:eastAsiaTheme="minorEastAsia"/>
                      <w:color w:val="auto"/>
                    </w:rPr>
                    <w:t>本项目实施情况</w:t>
                  </w:r>
                </w:p>
              </w:tc>
              <w:tc>
                <w:tcPr>
                  <w:tcW w:w="797" w:type="dxa"/>
                  <w:tcBorders>
                    <w:top w:val="double" w:color="000000" w:sz="2" w:space="0"/>
                    <w:left w:val="single" w:color="000000" w:sz="4" w:space="0"/>
                    <w:bottom w:val="single" w:color="000000" w:sz="4" w:space="0"/>
                    <w:right w:val="nil"/>
                  </w:tcBorders>
                  <w:vAlign w:val="center"/>
                </w:tcPr>
                <w:p w14:paraId="5C3C2179">
                  <w:pPr>
                    <w:pStyle w:val="133"/>
                    <w:rPr>
                      <w:rFonts w:eastAsiaTheme="minorEastAsia"/>
                      <w:color w:val="auto"/>
                    </w:rPr>
                  </w:pPr>
                  <w:r>
                    <w:rPr>
                      <w:rFonts w:eastAsiaTheme="minorEastAsia"/>
                      <w:color w:val="auto"/>
                    </w:rPr>
                    <w:t>符合性</w:t>
                  </w:r>
                </w:p>
              </w:tc>
            </w:tr>
            <w:tr w14:paraId="4465DDFF">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465" w:type="dxa"/>
                  <w:vMerge w:val="restart"/>
                  <w:tcBorders>
                    <w:top w:val="single" w:color="000000" w:sz="4" w:space="0"/>
                    <w:left w:val="nil"/>
                    <w:right w:val="single" w:color="000000" w:sz="4" w:space="0"/>
                  </w:tcBorders>
                  <w:vAlign w:val="center"/>
                </w:tcPr>
                <w:p w14:paraId="7CA922A2">
                  <w:pPr>
                    <w:widowControl/>
                    <w:rPr>
                      <w:rFonts w:eastAsiaTheme="minorEastAsia"/>
                      <w:color w:val="auto"/>
                      <w:szCs w:val="21"/>
                    </w:rPr>
                  </w:pPr>
                  <w:r>
                    <w:rPr>
                      <w:rFonts w:eastAsiaTheme="minorEastAsia"/>
                      <w:color w:val="auto"/>
                      <w:szCs w:val="21"/>
                    </w:rPr>
                    <w:t>朝阳市朝阳县一般管控区2</w:t>
                  </w:r>
                </w:p>
              </w:tc>
              <w:tc>
                <w:tcPr>
                  <w:tcW w:w="767" w:type="dxa"/>
                  <w:vMerge w:val="restart"/>
                  <w:tcBorders>
                    <w:top w:val="single" w:color="000000" w:sz="4" w:space="0"/>
                    <w:left w:val="single" w:color="000000" w:sz="4" w:space="0"/>
                    <w:right w:val="single" w:color="000000" w:sz="4" w:space="0"/>
                  </w:tcBorders>
                  <w:vAlign w:val="center"/>
                </w:tcPr>
                <w:p w14:paraId="7FA294D6">
                  <w:pPr>
                    <w:widowControl/>
                    <w:rPr>
                      <w:rFonts w:eastAsiaTheme="minorEastAsia"/>
                      <w:color w:val="auto"/>
                      <w:szCs w:val="21"/>
                    </w:rPr>
                  </w:pPr>
                  <w:r>
                    <w:rPr>
                      <w:rFonts w:eastAsiaTheme="minorEastAsia"/>
                      <w:color w:val="auto"/>
                      <w:szCs w:val="21"/>
                    </w:rPr>
                    <w:t>ZH21132130002</w:t>
                  </w:r>
                </w:p>
              </w:tc>
              <w:tc>
                <w:tcPr>
                  <w:tcW w:w="782" w:type="dxa"/>
                  <w:tcBorders>
                    <w:top w:val="single" w:color="000000" w:sz="4" w:space="0"/>
                    <w:left w:val="single" w:color="000000" w:sz="4" w:space="0"/>
                    <w:bottom w:val="single" w:color="000000" w:sz="4" w:space="0"/>
                    <w:right w:val="single" w:color="000000" w:sz="4" w:space="0"/>
                  </w:tcBorders>
                  <w:vAlign w:val="center"/>
                </w:tcPr>
                <w:p w14:paraId="1B34DCD7">
                  <w:pPr>
                    <w:pStyle w:val="133"/>
                    <w:rPr>
                      <w:rFonts w:eastAsiaTheme="minorEastAsia"/>
                      <w:color w:val="auto"/>
                    </w:rPr>
                  </w:pPr>
                  <w:r>
                    <w:rPr>
                      <w:rFonts w:eastAsiaTheme="minorEastAsia"/>
                      <w:color w:val="auto"/>
                    </w:rPr>
                    <w:t>空间布局约束</w:t>
                  </w:r>
                </w:p>
              </w:tc>
              <w:tc>
                <w:tcPr>
                  <w:tcW w:w="3018" w:type="dxa"/>
                  <w:tcBorders>
                    <w:top w:val="single" w:color="000000" w:sz="4" w:space="0"/>
                    <w:left w:val="single" w:color="000000" w:sz="4" w:space="0"/>
                    <w:bottom w:val="single" w:color="000000" w:sz="4" w:space="0"/>
                    <w:right w:val="single" w:color="000000" w:sz="4" w:space="0"/>
                  </w:tcBorders>
                  <w:vAlign w:val="center"/>
                </w:tcPr>
                <w:p w14:paraId="5608EAC3">
                  <w:pPr>
                    <w:pStyle w:val="133"/>
                    <w:ind w:left="105" w:leftChars="50" w:right="105" w:rightChars="50"/>
                    <w:jc w:val="both"/>
                    <w:rPr>
                      <w:rFonts w:eastAsiaTheme="minorEastAsia"/>
                      <w:color w:val="auto"/>
                    </w:rPr>
                  </w:pPr>
                  <w:r>
                    <w:rPr>
                      <w:rFonts w:eastAsiaTheme="minorEastAsia"/>
                      <w:color w:val="auto"/>
                    </w:rPr>
                    <w:t>1.在自然保护区的核心区和缓冲区内，不得建设任何生产设施；在自然保护区的实验区内，不得建设污染环境、破坏资源或者景观的生产设施；建设其他项目，其污染物排放不得超过国家和地方规定的污染物排放标准。 2.经济和信息化部门对高能耗、高污染企业落后生产设备和工艺的淘汰，重点监管行业企业搬迁改造等方面实施监督管理。 3.基本农田，实行严格保护，确保其面积不减少、土壤环境质量不下降，除法律规定的重点建设项目选址确实无法避让外，其他任何建设不得占用。</w:t>
                  </w:r>
                </w:p>
              </w:tc>
              <w:tc>
                <w:tcPr>
                  <w:tcW w:w="1701" w:type="dxa"/>
                  <w:tcBorders>
                    <w:top w:val="single" w:color="000000" w:sz="4" w:space="0"/>
                    <w:left w:val="single" w:color="000000" w:sz="4" w:space="0"/>
                    <w:bottom w:val="single" w:color="000000" w:sz="4" w:space="0"/>
                    <w:right w:val="single" w:color="000000" w:sz="4" w:space="0"/>
                  </w:tcBorders>
                  <w:vAlign w:val="center"/>
                </w:tcPr>
                <w:p w14:paraId="2F231FB2">
                  <w:pPr>
                    <w:ind w:left="105" w:leftChars="50" w:right="105" w:rightChars="50"/>
                    <w:rPr>
                      <w:rFonts w:eastAsiaTheme="minorEastAsia"/>
                      <w:color w:val="auto"/>
                      <w:szCs w:val="21"/>
                    </w:rPr>
                  </w:pPr>
                  <w:r>
                    <w:rPr>
                      <w:rFonts w:eastAsiaTheme="minorEastAsia"/>
                      <w:color w:val="auto"/>
                      <w:szCs w:val="21"/>
                    </w:rPr>
                    <w:t>1.本项目位于辽宁省朝阳市朝阳县瓦房子镇上三家子村（朝阳县瓦房子镇宏兴锰矿厂区内），不新增占地，周边无自然保护区；</w:t>
                  </w:r>
                  <w:r>
                    <w:rPr>
                      <w:rFonts w:eastAsiaTheme="minorEastAsia"/>
                      <w:color w:val="auto"/>
                    </w:rPr>
                    <w:t>2.本项目不属于高能耗、高污染企业，不涉及落后生产设备和工艺淘汰；</w:t>
                  </w:r>
                </w:p>
                <w:p w14:paraId="7183B5DF">
                  <w:pPr>
                    <w:ind w:left="105" w:leftChars="50" w:right="105" w:rightChars="50"/>
                    <w:rPr>
                      <w:rFonts w:eastAsiaTheme="minorEastAsia"/>
                      <w:color w:val="auto"/>
                      <w:szCs w:val="21"/>
                    </w:rPr>
                  </w:pPr>
                  <w:r>
                    <w:rPr>
                      <w:rFonts w:eastAsiaTheme="minorEastAsia"/>
                      <w:color w:val="auto"/>
                      <w:szCs w:val="21"/>
                    </w:rPr>
                    <w:t>3.本项目不属于</w:t>
                  </w:r>
                  <w:r>
                    <w:rPr>
                      <w:rFonts w:eastAsiaTheme="minorEastAsia"/>
                      <w:color w:val="auto"/>
                    </w:rPr>
                    <w:t>高能耗、高污染企业；</w:t>
                  </w:r>
                </w:p>
                <w:p w14:paraId="64E50D6B">
                  <w:pPr>
                    <w:ind w:left="105" w:leftChars="50" w:right="105" w:rightChars="50"/>
                    <w:rPr>
                      <w:rFonts w:eastAsiaTheme="minorEastAsia"/>
                      <w:color w:val="auto"/>
                    </w:rPr>
                  </w:pPr>
                  <w:r>
                    <w:rPr>
                      <w:rFonts w:eastAsiaTheme="minorEastAsia"/>
                      <w:color w:val="auto"/>
                      <w:szCs w:val="21"/>
                    </w:rPr>
                    <w:t>4.</w:t>
                  </w:r>
                  <w:r>
                    <w:rPr>
                      <w:rFonts w:eastAsiaTheme="minorEastAsia"/>
                      <w:color w:val="auto"/>
                    </w:rPr>
                    <w:t>本项目不占用基本农田；</w:t>
                  </w:r>
                </w:p>
              </w:tc>
              <w:tc>
                <w:tcPr>
                  <w:tcW w:w="797" w:type="dxa"/>
                  <w:tcBorders>
                    <w:top w:val="single" w:color="000000" w:sz="4" w:space="0"/>
                    <w:left w:val="single" w:color="000000" w:sz="4" w:space="0"/>
                    <w:bottom w:val="single" w:color="000000" w:sz="4" w:space="0"/>
                    <w:right w:val="nil"/>
                  </w:tcBorders>
                  <w:vAlign w:val="center"/>
                </w:tcPr>
                <w:p w14:paraId="4240A0CE">
                  <w:pPr>
                    <w:pStyle w:val="133"/>
                    <w:rPr>
                      <w:rFonts w:eastAsiaTheme="minorEastAsia"/>
                      <w:color w:val="auto"/>
                    </w:rPr>
                  </w:pPr>
                </w:p>
              </w:tc>
            </w:tr>
            <w:tr w14:paraId="4EABE799">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465" w:type="dxa"/>
                  <w:vMerge w:val="continue"/>
                  <w:tcBorders>
                    <w:left w:val="nil"/>
                    <w:right w:val="single" w:color="000000" w:sz="4" w:space="0"/>
                  </w:tcBorders>
                  <w:vAlign w:val="center"/>
                </w:tcPr>
                <w:p w14:paraId="13024D57">
                  <w:pPr>
                    <w:widowControl/>
                    <w:rPr>
                      <w:rFonts w:eastAsiaTheme="minorEastAsia"/>
                      <w:color w:val="auto"/>
                      <w:szCs w:val="21"/>
                    </w:rPr>
                  </w:pPr>
                </w:p>
              </w:tc>
              <w:tc>
                <w:tcPr>
                  <w:tcW w:w="767" w:type="dxa"/>
                  <w:vMerge w:val="continue"/>
                  <w:tcBorders>
                    <w:left w:val="single" w:color="000000" w:sz="4" w:space="0"/>
                    <w:right w:val="single" w:color="000000" w:sz="4" w:space="0"/>
                  </w:tcBorders>
                  <w:vAlign w:val="center"/>
                </w:tcPr>
                <w:p w14:paraId="5A5DC3F1">
                  <w:pPr>
                    <w:widowControl/>
                    <w:rPr>
                      <w:rFonts w:eastAsiaTheme="minorEastAsia"/>
                      <w:color w:val="auto"/>
                      <w:szCs w:val="21"/>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5A32DD60">
                  <w:pPr>
                    <w:pStyle w:val="133"/>
                    <w:rPr>
                      <w:rFonts w:eastAsiaTheme="minorEastAsia"/>
                      <w:color w:val="auto"/>
                    </w:rPr>
                  </w:pPr>
                  <w:r>
                    <w:rPr>
                      <w:rFonts w:eastAsiaTheme="minorEastAsia"/>
                      <w:color w:val="auto"/>
                    </w:rPr>
                    <w:t>污染物排放管控</w:t>
                  </w:r>
                </w:p>
              </w:tc>
              <w:tc>
                <w:tcPr>
                  <w:tcW w:w="3018" w:type="dxa"/>
                  <w:tcBorders>
                    <w:top w:val="single" w:color="000000" w:sz="4" w:space="0"/>
                    <w:left w:val="single" w:color="000000" w:sz="4" w:space="0"/>
                    <w:bottom w:val="single" w:color="000000" w:sz="4" w:space="0"/>
                    <w:right w:val="single" w:color="000000" w:sz="4" w:space="0"/>
                  </w:tcBorders>
                  <w:vAlign w:val="center"/>
                </w:tcPr>
                <w:p w14:paraId="6C638A22">
                  <w:pPr>
                    <w:pStyle w:val="133"/>
                    <w:ind w:left="105" w:leftChars="50" w:right="105" w:rightChars="50"/>
                    <w:jc w:val="both"/>
                    <w:rPr>
                      <w:rFonts w:eastAsiaTheme="minorEastAsia"/>
                      <w:color w:val="auto"/>
                    </w:rPr>
                  </w:pPr>
                  <w:r>
                    <w:rPr>
                      <w:rFonts w:eastAsiaTheme="minorEastAsia"/>
                      <w:color w:val="auto"/>
                    </w:rPr>
                    <w:t>1.在自然保护区的实验区内已经建成的设施，其污染物排放超过国家和地方规定的排放标准的，应当限期治理；造成损害的，必须采取补救措施。在自然保护区的外围保护地带建设的项目，不得损害自然保护区内的环境质量；已造成损害的，应当限期治理。 2.从2021年1月1日起，全面执行国家排放标准大气污染物特别排放限值；推进清洁取暖改造，推广使用天然气、液化石油气、太阳能、电能等清洁能源；推进柴油货车等高排放车辆深度治理。 3.加大矿区生态和地质环境整治力度，重点实施闭坑露天矿、矸石山、尾矿库等综合治理，控制和消除环境安全隐患。 4.加强农业面源污染防治，加大种养业特别是规模化畜禽养殖污染防治力度，引导农民使用生物农药或高效、低毒、低残留农药，对农药包装进行无害化处理；推进化肥和农药零增长，推进秸秆综合利用。</w:t>
                  </w:r>
                </w:p>
              </w:tc>
              <w:tc>
                <w:tcPr>
                  <w:tcW w:w="1701" w:type="dxa"/>
                  <w:tcBorders>
                    <w:top w:val="single" w:color="000000" w:sz="4" w:space="0"/>
                    <w:left w:val="single" w:color="000000" w:sz="4" w:space="0"/>
                    <w:bottom w:val="single" w:color="000000" w:sz="4" w:space="0"/>
                    <w:right w:val="single" w:color="000000" w:sz="4" w:space="0"/>
                  </w:tcBorders>
                  <w:vAlign w:val="center"/>
                </w:tcPr>
                <w:p w14:paraId="41B72786">
                  <w:pPr>
                    <w:ind w:left="105" w:leftChars="50" w:right="105" w:rightChars="50"/>
                    <w:rPr>
                      <w:rFonts w:eastAsiaTheme="minorEastAsia"/>
                      <w:color w:val="auto"/>
                      <w:szCs w:val="21"/>
                    </w:rPr>
                  </w:pPr>
                  <w:r>
                    <w:rPr>
                      <w:rFonts w:eastAsiaTheme="minorEastAsia"/>
                      <w:color w:val="auto"/>
                      <w:szCs w:val="21"/>
                    </w:rPr>
                    <w:t>1.本项目位于辽宁省朝阳市朝阳县瓦房子镇上三家子村（朝阳县瓦房子镇宏兴锰矿厂区内），不新增占地，周边无自然保护区；</w:t>
                  </w:r>
                </w:p>
                <w:p w14:paraId="2A740C2F">
                  <w:pPr>
                    <w:ind w:left="105" w:leftChars="50" w:right="105" w:rightChars="50"/>
                    <w:rPr>
                      <w:rFonts w:eastAsiaTheme="minorEastAsia"/>
                      <w:color w:val="auto"/>
                      <w:szCs w:val="21"/>
                    </w:rPr>
                  </w:pPr>
                  <w:r>
                    <w:rPr>
                      <w:rFonts w:eastAsiaTheme="minorEastAsia"/>
                      <w:color w:val="auto"/>
                      <w:szCs w:val="21"/>
                    </w:rPr>
                    <w:t>2.本项目工业炉窑使用高炉煤气作为燃料，不涉及特别排放限值；</w:t>
                  </w:r>
                </w:p>
                <w:p w14:paraId="41042C02">
                  <w:pPr>
                    <w:ind w:left="105" w:leftChars="50" w:right="105" w:rightChars="50"/>
                    <w:rPr>
                      <w:rFonts w:eastAsiaTheme="minorEastAsia"/>
                      <w:color w:val="auto"/>
                      <w:szCs w:val="21"/>
                    </w:rPr>
                  </w:pPr>
                  <w:r>
                    <w:rPr>
                      <w:rFonts w:eastAsiaTheme="minorEastAsia"/>
                      <w:color w:val="auto"/>
                    </w:rPr>
                    <w:t>3.本项目不涉及矿区生态和地质环境整治；</w:t>
                  </w:r>
                </w:p>
                <w:p w14:paraId="581926C3">
                  <w:pPr>
                    <w:ind w:left="105" w:leftChars="50" w:right="105" w:rightChars="50"/>
                    <w:rPr>
                      <w:rFonts w:eastAsiaTheme="minorEastAsia"/>
                      <w:color w:val="auto"/>
                      <w:szCs w:val="21"/>
                    </w:rPr>
                  </w:pPr>
                  <w:r>
                    <w:rPr>
                      <w:rFonts w:eastAsiaTheme="minorEastAsia"/>
                      <w:color w:val="auto"/>
                    </w:rPr>
                    <w:t>4.本项目不涉及农业面源污染防治。</w:t>
                  </w:r>
                </w:p>
              </w:tc>
              <w:tc>
                <w:tcPr>
                  <w:tcW w:w="797" w:type="dxa"/>
                  <w:tcBorders>
                    <w:top w:val="single" w:color="000000" w:sz="4" w:space="0"/>
                    <w:left w:val="single" w:color="000000" w:sz="4" w:space="0"/>
                    <w:bottom w:val="single" w:color="000000" w:sz="4" w:space="0"/>
                    <w:right w:val="nil"/>
                  </w:tcBorders>
                  <w:vAlign w:val="center"/>
                </w:tcPr>
                <w:p w14:paraId="57F0DF1B">
                  <w:pPr>
                    <w:pStyle w:val="133"/>
                    <w:rPr>
                      <w:rFonts w:eastAsiaTheme="minorEastAsia"/>
                      <w:color w:val="auto"/>
                    </w:rPr>
                  </w:pPr>
                </w:p>
              </w:tc>
            </w:tr>
            <w:tr w14:paraId="1B1593CE">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465" w:type="dxa"/>
                  <w:vMerge w:val="continue"/>
                  <w:tcBorders>
                    <w:left w:val="nil"/>
                    <w:right w:val="single" w:color="000000" w:sz="4" w:space="0"/>
                  </w:tcBorders>
                  <w:vAlign w:val="center"/>
                </w:tcPr>
                <w:p w14:paraId="33E0BBCA">
                  <w:pPr>
                    <w:widowControl/>
                    <w:rPr>
                      <w:rFonts w:eastAsiaTheme="minorEastAsia"/>
                      <w:color w:val="auto"/>
                      <w:szCs w:val="21"/>
                    </w:rPr>
                  </w:pPr>
                </w:p>
              </w:tc>
              <w:tc>
                <w:tcPr>
                  <w:tcW w:w="767" w:type="dxa"/>
                  <w:vMerge w:val="continue"/>
                  <w:tcBorders>
                    <w:left w:val="single" w:color="000000" w:sz="4" w:space="0"/>
                    <w:right w:val="single" w:color="000000" w:sz="4" w:space="0"/>
                  </w:tcBorders>
                  <w:vAlign w:val="center"/>
                </w:tcPr>
                <w:p w14:paraId="4F90FABD">
                  <w:pPr>
                    <w:widowControl/>
                    <w:rPr>
                      <w:rFonts w:eastAsiaTheme="minorEastAsia"/>
                      <w:color w:val="auto"/>
                      <w:szCs w:val="21"/>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07F01402">
                  <w:pPr>
                    <w:pStyle w:val="133"/>
                    <w:rPr>
                      <w:rFonts w:eastAsiaTheme="minorEastAsia"/>
                      <w:color w:val="auto"/>
                    </w:rPr>
                  </w:pPr>
                  <w:r>
                    <w:rPr>
                      <w:rFonts w:eastAsiaTheme="minorEastAsia"/>
                      <w:color w:val="auto"/>
                    </w:rPr>
                    <w:t>环境风险防控</w:t>
                  </w:r>
                </w:p>
              </w:tc>
              <w:tc>
                <w:tcPr>
                  <w:tcW w:w="3018" w:type="dxa"/>
                  <w:tcBorders>
                    <w:top w:val="single" w:color="000000" w:sz="4" w:space="0"/>
                    <w:left w:val="single" w:color="000000" w:sz="4" w:space="0"/>
                    <w:bottom w:val="single" w:color="000000" w:sz="4" w:space="0"/>
                    <w:right w:val="single" w:color="000000" w:sz="4" w:space="0"/>
                  </w:tcBorders>
                  <w:vAlign w:val="center"/>
                </w:tcPr>
                <w:p w14:paraId="203C410F">
                  <w:pPr>
                    <w:pStyle w:val="133"/>
                    <w:ind w:left="105" w:leftChars="50" w:right="105" w:rightChars="50"/>
                    <w:jc w:val="both"/>
                    <w:rPr>
                      <w:rFonts w:eastAsiaTheme="minorEastAsia"/>
                      <w:color w:val="auto"/>
                    </w:rPr>
                  </w:pPr>
                  <w:r>
                    <w:rPr>
                      <w:rFonts w:eastAsiaTheme="minorEastAsia"/>
                      <w:color w:val="auto"/>
                    </w:rPr>
                    <w:t>1.对现有涉废气排放工业、企业加强监督管理和执法检查加强垃圾填埋场周边土壤及地下水环境质量监测，防止土壤、地下水受到渗滤液污染。防止周边农用地受到污染。 2.对拟收回土地使用权的，以及用途拟变更为居住和商业、学校、医疗、养老机构等公共设施的有色金属冶炼、石油加工、化工、焦化、电镀、制革等行业企业用地，由土地使用权人委托开展土壤环境状况调查评估。</w:t>
                  </w:r>
                </w:p>
              </w:tc>
              <w:tc>
                <w:tcPr>
                  <w:tcW w:w="1701" w:type="dxa"/>
                  <w:tcBorders>
                    <w:top w:val="single" w:color="000000" w:sz="4" w:space="0"/>
                    <w:left w:val="single" w:color="000000" w:sz="4" w:space="0"/>
                    <w:bottom w:val="single" w:color="000000" w:sz="4" w:space="0"/>
                    <w:right w:val="single" w:color="000000" w:sz="4" w:space="0"/>
                  </w:tcBorders>
                  <w:vAlign w:val="center"/>
                </w:tcPr>
                <w:p w14:paraId="429895FF">
                  <w:pPr>
                    <w:ind w:left="105" w:leftChars="50" w:right="105" w:rightChars="50"/>
                    <w:rPr>
                      <w:rFonts w:eastAsiaTheme="minorEastAsia"/>
                      <w:color w:val="auto"/>
                      <w:szCs w:val="21"/>
                    </w:rPr>
                  </w:pPr>
                  <w:r>
                    <w:rPr>
                      <w:rFonts w:eastAsiaTheme="minorEastAsia"/>
                      <w:color w:val="auto"/>
                      <w:szCs w:val="21"/>
                    </w:rPr>
                    <w:t>1.本项目建成后应接受并积极配合</w:t>
                  </w:r>
                  <w:r>
                    <w:rPr>
                      <w:rFonts w:eastAsiaTheme="minorEastAsia"/>
                      <w:color w:val="auto"/>
                    </w:rPr>
                    <w:t>监督管理和执法检查</w:t>
                  </w:r>
                  <w:r>
                    <w:rPr>
                      <w:rFonts w:eastAsiaTheme="minorEastAsia"/>
                      <w:color w:val="auto"/>
                      <w:szCs w:val="21"/>
                    </w:rPr>
                    <w:t>；</w:t>
                  </w:r>
                </w:p>
                <w:p w14:paraId="72BF1E4B">
                  <w:pPr>
                    <w:ind w:left="105" w:leftChars="50" w:right="105" w:rightChars="50"/>
                    <w:rPr>
                      <w:rFonts w:eastAsiaTheme="minorEastAsia"/>
                      <w:color w:val="auto"/>
                    </w:rPr>
                  </w:pPr>
                  <w:r>
                    <w:rPr>
                      <w:rFonts w:eastAsiaTheme="minorEastAsia"/>
                      <w:color w:val="auto"/>
                      <w:szCs w:val="21"/>
                    </w:rPr>
                    <w:t>2.</w:t>
                  </w:r>
                  <w:r>
                    <w:rPr>
                      <w:rFonts w:eastAsiaTheme="minorEastAsia"/>
                      <w:color w:val="auto"/>
                    </w:rPr>
                    <w:t>不涉及。</w:t>
                  </w:r>
                </w:p>
              </w:tc>
              <w:tc>
                <w:tcPr>
                  <w:tcW w:w="797" w:type="dxa"/>
                  <w:tcBorders>
                    <w:top w:val="single" w:color="000000" w:sz="4" w:space="0"/>
                    <w:left w:val="single" w:color="000000" w:sz="4" w:space="0"/>
                    <w:bottom w:val="single" w:color="000000" w:sz="4" w:space="0"/>
                    <w:right w:val="nil"/>
                  </w:tcBorders>
                  <w:vAlign w:val="center"/>
                </w:tcPr>
                <w:p w14:paraId="28FA081A">
                  <w:pPr>
                    <w:pStyle w:val="133"/>
                    <w:rPr>
                      <w:rFonts w:eastAsiaTheme="minorEastAsia"/>
                      <w:color w:val="auto"/>
                    </w:rPr>
                  </w:pPr>
                </w:p>
              </w:tc>
            </w:tr>
            <w:tr w14:paraId="3FABAFB7">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465" w:type="dxa"/>
                  <w:vMerge w:val="continue"/>
                  <w:tcBorders>
                    <w:left w:val="nil"/>
                    <w:bottom w:val="single" w:color="000000" w:sz="4" w:space="0"/>
                    <w:right w:val="single" w:color="000000" w:sz="4" w:space="0"/>
                  </w:tcBorders>
                  <w:vAlign w:val="center"/>
                </w:tcPr>
                <w:p w14:paraId="25D40ED1">
                  <w:pPr>
                    <w:widowControl/>
                    <w:rPr>
                      <w:rFonts w:eastAsiaTheme="minorEastAsia"/>
                      <w:color w:val="auto"/>
                      <w:szCs w:val="21"/>
                    </w:rPr>
                  </w:pPr>
                </w:p>
              </w:tc>
              <w:tc>
                <w:tcPr>
                  <w:tcW w:w="767" w:type="dxa"/>
                  <w:vMerge w:val="continue"/>
                  <w:tcBorders>
                    <w:left w:val="single" w:color="000000" w:sz="4" w:space="0"/>
                    <w:bottom w:val="single" w:color="000000" w:sz="4" w:space="0"/>
                    <w:right w:val="single" w:color="000000" w:sz="4" w:space="0"/>
                  </w:tcBorders>
                  <w:vAlign w:val="center"/>
                </w:tcPr>
                <w:p w14:paraId="53493E9E">
                  <w:pPr>
                    <w:widowControl/>
                    <w:rPr>
                      <w:rFonts w:eastAsiaTheme="minorEastAsia"/>
                      <w:color w:val="auto"/>
                      <w:szCs w:val="21"/>
                    </w:rPr>
                  </w:pPr>
                </w:p>
              </w:tc>
              <w:tc>
                <w:tcPr>
                  <w:tcW w:w="782" w:type="dxa"/>
                  <w:tcBorders>
                    <w:top w:val="single" w:color="000000" w:sz="4" w:space="0"/>
                    <w:left w:val="single" w:color="000000" w:sz="4" w:space="0"/>
                    <w:bottom w:val="double" w:color="000000" w:sz="2" w:space="0"/>
                    <w:right w:val="single" w:color="000000" w:sz="4" w:space="0"/>
                  </w:tcBorders>
                  <w:vAlign w:val="center"/>
                </w:tcPr>
                <w:p w14:paraId="3BF4134F">
                  <w:pPr>
                    <w:pStyle w:val="133"/>
                    <w:rPr>
                      <w:rFonts w:eastAsiaTheme="minorEastAsia"/>
                      <w:color w:val="auto"/>
                    </w:rPr>
                  </w:pPr>
                  <w:r>
                    <w:rPr>
                      <w:rFonts w:eastAsiaTheme="minorEastAsia"/>
                      <w:color w:val="auto"/>
                    </w:rPr>
                    <w:t>资源开发效率要求</w:t>
                  </w:r>
                </w:p>
              </w:tc>
              <w:tc>
                <w:tcPr>
                  <w:tcW w:w="3018" w:type="dxa"/>
                  <w:tcBorders>
                    <w:top w:val="single" w:color="000000" w:sz="4" w:space="0"/>
                    <w:left w:val="single" w:color="000000" w:sz="4" w:space="0"/>
                    <w:bottom w:val="double" w:color="000000" w:sz="2" w:space="0"/>
                    <w:right w:val="single" w:color="000000" w:sz="4" w:space="0"/>
                  </w:tcBorders>
                  <w:vAlign w:val="center"/>
                </w:tcPr>
                <w:p w14:paraId="1D95845C">
                  <w:pPr>
                    <w:pStyle w:val="133"/>
                    <w:ind w:left="105" w:leftChars="50" w:right="105" w:rightChars="50"/>
                    <w:jc w:val="both"/>
                    <w:rPr>
                      <w:rFonts w:eastAsiaTheme="minorEastAsia"/>
                      <w:color w:val="auto"/>
                    </w:rPr>
                  </w:pPr>
                  <w:r>
                    <w:rPr>
                      <w:rFonts w:eastAsiaTheme="minorEastAsia"/>
                      <w:color w:val="auto"/>
                    </w:rPr>
                    <w:t>1.推动能源结构优化，加快发展清洁能源、可再生能源。 2.加快供水管网改造，降低人均生活用水量；加强农业节水，提高农业灌溉用水效率。 3.推进畜禽粪污、餐厨废弃物等垃圾集中处理和资源化利用。</w:t>
                  </w:r>
                </w:p>
              </w:tc>
              <w:tc>
                <w:tcPr>
                  <w:tcW w:w="1701" w:type="dxa"/>
                  <w:tcBorders>
                    <w:top w:val="single" w:color="000000" w:sz="4" w:space="0"/>
                    <w:left w:val="single" w:color="000000" w:sz="4" w:space="0"/>
                    <w:bottom w:val="double" w:color="000000" w:sz="2" w:space="0"/>
                    <w:right w:val="single" w:color="000000" w:sz="4" w:space="0"/>
                  </w:tcBorders>
                  <w:vAlign w:val="center"/>
                </w:tcPr>
                <w:p w14:paraId="0C037BEA">
                  <w:pPr>
                    <w:ind w:left="105" w:leftChars="50" w:right="105" w:rightChars="50"/>
                    <w:rPr>
                      <w:rFonts w:eastAsiaTheme="minorEastAsia"/>
                      <w:color w:val="auto"/>
                      <w:szCs w:val="21"/>
                    </w:rPr>
                  </w:pPr>
                  <w:r>
                    <w:rPr>
                      <w:rFonts w:eastAsiaTheme="minorEastAsia"/>
                      <w:color w:val="auto"/>
                      <w:szCs w:val="21"/>
                    </w:rPr>
                    <w:t>1.</w:t>
                  </w:r>
                  <w:r>
                    <w:rPr>
                      <w:rFonts w:eastAsiaTheme="minorEastAsia"/>
                      <w:color w:val="auto"/>
                    </w:rPr>
                    <w:t>本项目烘干炉以高炉煤气为燃料，利用园区企业副产高炉煤气替代化石能源，有利于区域能源结构优化</w:t>
                  </w:r>
                </w:p>
                <w:p w14:paraId="7CB58636">
                  <w:pPr>
                    <w:ind w:left="105" w:leftChars="50" w:right="105" w:rightChars="50"/>
                    <w:rPr>
                      <w:rFonts w:eastAsiaTheme="minorEastAsia"/>
                      <w:color w:val="auto"/>
                      <w:szCs w:val="21"/>
                    </w:rPr>
                  </w:pPr>
                  <w:r>
                    <w:rPr>
                      <w:rFonts w:eastAsiaTheme="minorEastAsia"/>
                      <w:color w:val="auto"/>
                      <w:szCs w:val="21"/>
                    </w:rPr>
                    <w:t>2、本项目用水量小，不对区域资源利用产生不利影响；</w:t>
                  </w:r>
                </w:p>
                <w:p w14:paraId="5AEACD63">
                  <w:pPr>
                    <w:ind w:left="105" w:leftChars="50" w:right="105" w:rightChars="50"/>
                    <w:rPr>
                      <w:rFonts w:eastAsiaTheme="minorEastAsia"/>
                      <w:color w:val="auto"/>
                      <w:szCs w:val="21"/>
                    </w:rPr>
                  </w:pPr>
                  <w:r>
                    <w:rPr>
                      <w:rFonts w:eastAsiaTheme="minorEastAsia"/>
                      <w:color w:val="auto"/>
                    </w:rPr>
                    <w:t>3.本项目不涉及畜禽粪污及餐厨废弃物处理；</w:t>
                  </w:r>
                </w:p>
              </w:tc>
              <w:tc>
                <w:tcPr>
                  <w:tcW w:w="797" w:type="dxa"/>
                  <w:tcBorders>
                    <w:top w:val="single" w:color="000000" w:sz="4" w:space="0"/>
                    <w:left w:val="single" w:color="000000" w:sz="4" w:space="0"/>
                    <w:bottom w:val="double" w:color="000000" w:sz="2" w:space="0"/>
                    <w:right w:val="nil"/>
                  </w:tcBorders>
                  <w:vAlign w:val="center"/>
                </w:tcPr>
                <w:p w14:paraId="7CD62DE5">
                  <w:pPr>
                    <w:pStyle w:val="133"/>
                    <w:rPr>
                      <w:rFonts w:eastAsiaTheme="minorEastAsia"/>
                      <w:color w:val="auto"/>
                    </w:rPr>
                  </w:pPr>
                </w:p>
              </w:tc>
            </w:tr>
          </w:tbl>
          <w:p w14:paraId="3880CD55">
            <w:pPr>
              <w:pStyle w:val="65"/>
              <w:ind w:firstLine="480"/>
              <w:rPr>
                <w:rFonts w:eastAsiaTheme="minorEastAsia"/>
                <w:color w:val="auto"/>
              </w:rPr>
            </w:pPr>
            <w:r>
              <w:rPr>
                <w:rFonts w:eastAsiaTheme="minorEastAsia"/>
                <w:color w:val="auto"/>
              </w:rPr>
              <w:t>根据中共辽宁省委辽宁省人民政府关于印发《辽宁省深入打好污染防治攻坚战实施方案》的通知（辽委发〔2022〕8号，2022.5.16），本项目与《辽宁省深入打好污染防治攻坚战实施方案》符合性分析见表1-4。</w:t>
            </w:r>
          </w:p>
          <w:p w14:paraId="40520527">
            <w:pPr>
              <w:pStyle w:val="92"/>
              <w:rPr>
                <w:rFonts w:eastAsiaTheme="minorEastAsia"/>
                <w:color w:val="auto"/>
              </w:rPr>
            </w:pPr>
            <w:r>
              <w:rPr>
                <w:rFonts w:eastAsiaTheme="minorEastAsia"/>
                <w:color w:val="auto"/>
              </w:rPr>
              <w:t>表1-4《辽宁省深入打好污染防治攻坚战实施方案》符合性分析</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69"/>
              <w:gridCol w:w="1194"/>
              <w:gridCol w:w="1123"/>
            </w:tblGrid>
            <w:tr w14:paraId="140F8CE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696" w:type="dxa"/>
                  <w:tcBorders>
                    <w:top w:val="double" w:color="auto" w:sz="2" w:space="0"/>
                    <w:left w:val="nil"/>
                    <w:bottom w:val="single" w:color="auto" w:sz="4" w:space="0"/>
                    <w:right w:val="single" w:color="auto" w:sz="4" w:space="0"/>
                  </w:tcBorders>
                  <w:vAlign w:val="center"/>
                </w:tcPr>
                <w:p w14:paraId="259C89C1">
                  <w:pPr>
                    <w:pStyle w:val="133"/>
                    <w:rPr>
                      <w:rFonts w:eastAsiaTheme="minorEastAsia"/>
                      <w:color w:val="auto"/>
                    </w:rPr>
                  </w:pPr>
                  <w:r>
                    <w:rPr>
                      <w:rFonts w:eastAsiaTheme="minorEastAsia"/>
                      <w:color w:val="auto"/>
                    </w:rPr>
                    <w:t>文件要求</w:t>
                  </w:r>
                </w:p>
              </w:tc>
              <w:tc>
                <w:tcPr>
                  <w:tcW w:w="1200" w:type="dxa"/>
                  <w:tcBorders>
                    <w:top w:val="double" w:color="auto" w:sz="2" w:space="0"/>
                    <w:left w:val="single" w:color="auto" w:sz="4" w:space="0"/>
                    <w:bottom w:val="single" w:color="auto" w:sz="4" w:space="0"/>
                    <w:right w:val="single" w:color="auto" w:sz="4" w:space="0"/>
                  </w:tcBorders>
                  <w:vAlign w:val="center"/>
                </w:tcPr>
                <w:p w14:paraId="015D69C3">
                  <w:pPr>
                    <w:pStyle w:val="133"/>
                    <w:rPr>
                      <w:rFonts w:eastAsiaTheme="minorEastAsia"/>
                      <w:color w:val="auto"/>
                    </w:rPr>
                  </w:pPr>
                  <w:r>
                    <w:rPr>
                      <w:rFonts w:eastAsiaTheme="minorEastAsia"/>
                      <w:color w:val="auto"/>
                    </w:rPr>
                    <w:t>项目情况</w:t>
                  </w:r>
                </w:p>
              </w:tc>
              <w:tc>
                <w:tcPr>
                  <w:tcW w:w="1128" w:type="dxa"/>
                  <w:tcBorders>
                    <w:top w:val="double" w:color="auto" w:sz="2" w:space="0"/>
                    <w:left w:val="single" w:color="auto" w:sz="4" w:space="0"/>
                    <w:bottom w:val="single" w:color="auto" w:sz="4" w:space="0"/>
                    <w:right w:val="nil"/>
                  </w:tcBorders>
                  <w:vAlign w:val="center"/>
                </w:tcPr>
                <w:p w14:paraId="77AF1D9A">
                  <w:pPr>
                    <w:pStyle w:val="133"/>
                    <w:rPr>
                      <w:rFonts w:eastAsiaTheme="minorEastAsia"/>
                      <w:color w:val="auto"/>
                    </w:rPr>
                  </w:pPr>
                  <w:r>
                    <w:rPr>
                      <w:rFonts w:eastAsiaTheme="minorEastAsia"/>
                      <w:color w:val="auto"/>
                    </w:rPr>
                    <w:t>符合情况</w:t>
                  </w:r>
                </w:p>
              </w:tc>
            </w:tr>
            <w:tr w14:paraId="7B1F314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696" w:type="dxa"/>
                  <w:tcBorders>
                    <w:top w:val="single" w:color="auto" w:sz="4" w:space="0"/>
                    <w:left w:val="nil"/>
                    <w:bottom w:val="single" w:color="auto" w:sz="4" w:space="0"/>
                    <w:right w:val="single" w:color="auto" w:sz="4" w:space="0"/>
                  </w:tcBorders>
                  <w:vAlign w:val="center"/>
                </w:tcPr>
                <w:p w14:paraId="339CD415">
                  <w:pPr>
                    <w:pStyle w:val="133"/>
                    <w:jc w:val="both"/>
                    <w:rPr>
                      <w:rFonts w:eastAsiaTheme="minorEastAsia"/>
                      <w:color w:val="auto"/>
                    </w:rPr>
                  </w:pPr>
                  <w:r>
                    <w:rPr>
                      <w:rFonts w:eastAsiaTheme="minorEastAsia"/>
                      <w:color w:val="auto"/>
                    </w:rPr>
                    <w:t>深入打好蓝天保卫战</w:t>
                  </w:r>
                </w:p>
                <w:p w14:paraId="2280E786">
                  <w:pPr>
                    <w:pStyle w:val="133"/>
                    <w:jc w:val="both"/>
                    <w:rPr>
                      <w:rFonts w:eastAsiaTheme="minorEastAsia"/>
                      <w:color w:val="auto"/>
                    </w:rPr>
                  </w:pPr>
                  <w:r>
                    <w:rPr>
                      <w:rFonts w:eastAsiaTheme="minorEastAsia"/>
                      <w:color w:val="auto"/>
                    </w:rPr>
                    <w:t>1.着力打好重污染天气消除攻坚战。聚焦细颗粒物（PM</w:t>
                  </w:r>
                  <w:r>
                    <w:rPr>
                      <w:rFonts w:eastAsiaTheme="minorEastAsia"/>
                      <w:color w:val="auto"/>
                      <w:vertAlign w:val="subscript"/>
                    </w:rPr>
                    <w:t>2.5</w:t>
                  </w:r>
                  <w:r>
                    <w:rPr>
                      <w:rFonts w:eastAsiaTheme="minorEastAsia"/>
                      <w:color w:val="auto"/>
                    </w:rPr>
                    <w:t>）污染，以秋冬季（10月至次年3月）为重点时段，强化区域协作机制，坚持精准应对、科学应对、依法应对，完善重污染天气应对和重点行业绩效分级管理体系，实施大气减污降碳协同增效等</w:t>
                  </w:r>
                  <w:bookmarkStart w:id="2" w:name="_Hlk239147920"/>
                  <w:r>
                    <w:rPr>
                      <w:rFonts w:hint="eastAsia" w:eastAsiaTheme="minorEastAsia"/>
                      <w:color w:val="auto"/>
                    </w:rPr>
                    <w:t>“</w:t>
                  </w:r>
                  <w:r>
                    <w:rPr>
                      <w:rFonts w:eastAsiaTheme="minorEastAsia"/>
                      <w:color w:val="auto"/>
                    </w:rPr>
                    <w:t>四大行动</w:t>
                  </w:r>
                  <w:bookmarkEnd w:id="2"/>
                  <w:r>
                    <w:rPr>
                      <w:rFonts w:hint="eastAsia" w:eastAsiaTheme="minorEastAsia"/>
                      <w:color w:val="auto"/>
                    </w:rPr>
                    <w:t>”</w:t>
                  </w:r>
                  <w:r>
                    <w:rPr>
                      <w:rFonts w:eastAsiaTheme="minorEastAsia"/>
                      <w:color w:val="auto"/>
                    </w:rPr>
                    <w:t>。到2025年，全省重度及以上污染天数比率控制在0.7%以内。实施大气减污降碳协同增效行动。推动重点行业落后产能退出，推进钢铁、焦化、有色金属行业技术升级。加快供热区域热网互联互通建设，淘汰管网覆盖范围内的燃煤锅炉和散煤。推进工业炉窑清洁能源替代，以菱镁、陶瓷等行业为重点，开展涉气产业集群排查及分类治理。实施清洁取暖攻坚行动。充分发挥热电机组和大型热源厂能力，推进燃煤锅炉关停整合。在空气质量未达标的城市城中村、城乡结合部，因地制宜推进供暖清洁化，有序开展农村地区散煤替代工作。到2025年，城市建成区基本淘汰35蒸吨／小时及以下燃煤锅炉。</w:t>
                  </w:r>
                </w:p>
              </w:tc>
              <w:tc>
                <w:tcPr>
                  <w:tcW w:w="1200" w:type="dxa"/>
                  <w:tcBorders>
                    <w:top w:val="single" w:color="auto" w:sz="4" w:space="0"/>
                    <w:left w:val="single" w:color="auto" w:sz="4" w:space="0"/>
                    <w:bottom w:val="single" w:color="auto" w:sz="4" w:space="0"/>
                    <w:right w:val="single" w:color="auto" w:sz="4" w:space="0"/>
                  </w:tcBorders>
                  <w:vAlign w:val="center"/>
                </w:tcPr>
                <w:p w14:paraId="463EB481">
                  <w:pPr>
                    <w:pStyle w:val="133"/>
                    <w:rPr>
                      <w:rFonts w:eastAsiaTheme="minorEastAsia"/>
                      <w:color w:val="auto"/>
                    </w:rPr>
                  </w:pPr>
                  <w:r>
                    <w:rPr>
                      <w:rFonts w:eastAsiaTheme="minorEastAsia"/>
                      <w:color w:val="auto"/>
                    </w:rPr>
                    <w:t>本项目烘干炉使用高炉煤气，无燃煤锅炉，不取暖。</w:t>
                  </w:r>
                </w:p>
              </w:tc>
              <w:tc>
                <w:tcPr>
                  <w:tcW w:w="1128" w:type="dxa"/>
                  <w:tcBorders>
                    <w:top w:val="single" w:color="auto" w:sz="4" w:space="0"/>
                    <w:left w:val="single" w:color="auto" w:sz="4" w:space="0"/>
                    <w:bottom w:val="single" w:color="auto" w:sz="4" w:space="0"/>
                    <w:right w:val="nil"/>
                  </w:tcBorders>
                  <w:vAlign w:val="center"/>
                </w:tcPr>
                <w:p w14:paraId="6E9F94DF">
                  <w:pPr>
                    <w:pStyle w:val="133"/>
                    <w:rPr>
                      <w:rFonts w:eastAsiaTheme="minorEastAsia"/>
                      <w:color w:val="auto"/>
                    </w:rPr>
                  </w:pPr>
                  <w:r>
                    <w:rPr>
                      <w:rFonts w:eastAsiaTheme="minorEastAsia"/>
                      <w:color w:val="auto"/>
                    </w:rPr>
                    <w:t>符合</w:t>
                  </w:r>
                </w:p>
              </w:tc>
            </w:tr>
            <w:tr w14:paraId="065623E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696" w:type="dxa"/>
                  <w:tcBorders>
                    <w:top w:val="single" w:color="auto" w:sz="4" w:space="0"/>
                    <w:left w:val="nil"/>
                    <w:bottom w:val="single" w:color="auto" w:sz="4" w:space="0"/>
                    <w:right w:val="single" w:color="auto" w:sz="4" w:space="0"/>
                  </w:tcBorders>
                  <w:vAlign w:val="center"/>
                </w:tcPr>
                <w:p w14:paraId="76B39F1A">
                  <w:pPr>
                    <w:pStyle w:val="133"/>
                    <w:jc w:val="both"/>
                    <w:rPr>
                      <w:rFonts w:eastAsiaTheme="minorEastAsia"/>
                      <w:color w:val="auto"/>
                    </w:rPr>
                  </w:pPr>
                  <w:r>
                    <w:rPr>
                      <w:rFonts w:eastAsiaTheme="minorEastAsia"/>
                      <w:color w:val="auto"/>
                    </w:rPr>
                    <w:t>持续打好柴油货车污染治理攻坚战。以柴油货车和非道路移动机械为监管重点，聚焦煤炭、焦炭、矿石运输通道以及铁矿石疏港通道，推进运输结构调整和车船清洁化，实施柴油货车清洁化等</w:t>
                  </w:r>
                  <w:r>
                    <w:rPr>
                      <w:rFonts w:hint="eastAsia" w:eastAsiaTheme="minorEastAsia"/>
                      <w:color w:val="auto"/>
                    </w:rPr>
                    <w:t>“</w:t>
                  </w:r>
                  <w:r>
                    <w:rPr>
                      <w:rFonts w:eastAsiaTheme="minorEastAsia"/>
                      <w:color w:val="auto"/>
                    </w:rPr>
                    <w:t>四大行动</w:t>
                  </w:r>
                  <w:r>
                    <w:rPr>
                      <w:rFonts w:hint="eastAsia" w:eastAsiaTheme="minorEastAsia"/>
                      <w:color w:val="auto"/>
                    </w:rPr>
                    <w:t>”</w:t>
                  </w:r>
                  <w:r>
                    <w:rPr>
                      <w:rFonts w:eastAsiaTheme="minorEastAsia"/>
                      <w:color w:val="auto"/>
                    </w:rPr>
                    <w:t>。到2025年，全省柴油货车排放检测合格率超过90％，铁路货运量占比力争达到15％左右。实施柴油货车清洁化行动。按照国家部署实施汽车国六b排放标准，加强生产、销售柴油货车环保达标监管。完善超标车辆生态环境、公安、交通运输部门联合监管模式，加强汽柴油和车用尿素生产、销售、使用等环节联合监管。淘汰国三及以下排放标准的柴油和燃气货车。结合实际推动新增或更新的公务用车、城市公交、出租、城市物流配送等使用新能源汽车。实施非道路移动源综合治理行动。按照国家部署实施非道路移动柴油机械第四阶段和船舶发动机第二阶段排放标准，实施生产、销售非道路移动机械环保达标监管。强化非道路移动机械排放控制区管控，加强非道路移动机械监督抽测。实施交通运输结构调整行动。推动各种交通运输方式深度融合，大力发展公铁、铁水等多式联运及大宗货物</w:t>
                  </w:r>
                  <w:r>
                    <w:rPr>
                      <w:rFonts w:hint="eastAsia" w:eastAsiaTheme="minorEastAsia"/>
                      <w:color w:val="auto"/>
                    </w:rPr>
                    <w:t>“</w:t>
                  </w:r>
                  <w:r>
                    <w:rPr>
                      <w:rFonts w:eastAsiaTheme="minorEastAsia"/>
                      <w:color w:val="auto"/>
                    </w:rPr>
                    <w:t>散改集</w:t>
                  </w:r>
                  <w:r>
                    <w:rPr>
                      <w:rFonts w:hint="eastAsia" w:eastAsiaTheme="minorEastAsia"/>
                      <w:color w:val="auto"/>
                    </w:rPr>
                    <w:t>”</w:t>
                  </w:r>
                  <w:r>
                    <w:rPr>
                      <w:rFonts w:eastAsiaTheme="minorEastAsia"/>
                      <w:color w:val="auto"/>
                    </w:rPr>
                    <w:t>，逐步提高矿石、焦炭等大宗货物集疏港清洁方式运输比例，新建及迁建大宗货物年运量150万吨以上的物流园区、工矿企业原则上要采用铁路、水运、管道等绿色环保运输方式，加快推进大宗货物和中长途货物运输公转铁、公转水。加强绿色港口建设，提升港口污染防治、节能低碳及绿色运输组织水平，加快船舶岸电设施改造，不断提高船舶靠港岸电使用率。</w:t>
                  </w:r>
                </w:p>
              </w:tc>
              <w:tc>
                <w:tcPr>
                  <w:tcW w:w="1200" w:type="dxa"/>
                  <w:tcBorders>
                    <w:top w:val="single" w:color="auto" w:sz="4" w:space="0"/>
                    <w:left w:val="single" w:color="auto" w:sz="4" w:space="0"/>
                    <w:bottom w:val="single" w:color="auto" w:sz="4" w:space="0"/>
                    <w:right w:val="single" w:color="auto" w:sz="4" w:space="0"/>
                  </w:tcBorders>
                  <w:vAlign w:val="center"/>
                </w:tcPr>
                <w:p w14:paraId="63EBAEF1">
                  <w:pPr>
                    <w:pStyle w:val="133"/>
                    <w:rPr>
                      <w:rFonts w:eastAsiaTheme="minorEastAsia"/>
                      <w:color w:val="auto"/>
                    </w:rPr>
                  </w:pPr>
                  <w:r>
                    <w:rPr>
                      <w:rFonts w:eastAsiaTheme="minorEastAsia"/>
                      <w:color w:val="auto"/>
                    </w:rPr>
                    <w:t>项目厂外运输为柴油货车运输，使用符合国家规定排放标准的货车。</w:t>
                  </w:r>
                </w:p>
              </w:tc>
              <w:tc>
                <w:tcPr>
                  <w:tcW w:w="1128" w:type="dxa"/>
                  <w:tcBorders>
                    <w:top w:val="single" w:color="auto" w:sz="4" w:space="0"/>
                    <w:left w:val="single" w:color="auto" w:sz="4" w:space="0"/>
                    <w:bottom w:val="single" w:color="auto" w:sz="4" w:space="0"/>
                    <w:right w:val="nil"/>
                  </w:tcBorders>
                  <w:vAlign w:val="center"/>
                </w:tcPr>
                <w:p w14:paraId="63A32F30">
                  <w:pPr>
                    <w:pStyle w:val="133"/>
                    <w:rPr>
                      <w:rFonts w:eastAsiaTheme="minorEastAsia"/>
                      <w:color w:val="auto"/>
                    </w:rPr>
                  </w:pPr>
                  <w:r>
                    <w:rPr>
                      <w:rFonts w:eastAsiaTheme="minorEastAsia"/>
                      <w:color w:val="auto"/>
                    </w:rPr>
                    <w:t>符合</w:t>
                  </w:r>
                </w:p>
              </w:tc>
            </w:tr>
            <w:tr w14:paraId="7850B05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4696" w:type="dxa"/>
                  <w:tcBorders>
                    <w:top w:val="single" w:color="auto" w:sz="4" w:space="0"/>
                    <w:left w:val="nil"/>
                    <w:bottom w:val="double" w:color="auto" w:sz="2" w:space="0"/>
                    <w:right w:val="single" w:color="auto" w:sz="4" w:space="0"/>
                  </w:tcBorders>
                  <w:vAlign w:val="center"/>
                </w:tcPr>
                <w:p w14:paraId="31ABF1C4">
                  <w:pPr>
                    <w:pStyle w:val="133"/>
                    <w:jc w:val="both"/>
                    <w:rPr>
                      <w:rFonts w:eastAsiaTheme="minorEastAsia"/>
                      <w:color w:val="auto"/>
                    </w:rPr>
                  </w:pPr>
                  <w:r>
                    <w:rPr>
                      <w:rFonts w:eastAsiaTheme="minorEastAsia"/>
                      <w:color w:val="auto"/>
                    </w:rPr>
                    <w:t>加强大气面源和噪声污染治理。强化施工、道路、堆场、裸露地面等扬尘管控，推进低尘机械化清扫作业，加大城市出入口、城乡结合部等城乡重要路段清扫保洁力度。加大餐饮油烟污染、恶臭异味治理力度。全面推进绿色矿山建设，开展绿色矿山建设三年行动（2022-2024年）。深入开展秸秆</w:t>
                  </w:r>
                  <w:r>
                    <w:rPr>
                      <w:rFonts w:hint="eastAsia" w:eastAsiaTheme="minorEastAsia"/>
                      <w:color w:val="auto"/>
                    </w:rPr>
                    <w:t>“</w:t>
                  </w:r>
                  <w:r>
                    <w:rPr>
                      <w:rFonts w:eastAsiaTheme="minorEastAsia"/>
                      <w:color w:val="auto"/>
                    </w:rPr>
                    <w:t>五化</w:t>
                  </w:r>
                  <w:r>
                    <w:rPr>
                      <w:rFonts w:hint="eastAsia" w:eastAsiaTheme="minorEastAsia"/>
                      <w:color w:val="auto"/>
                    </w:rPr>
                    <w:t>”</w:t>
                  </w:r>
                  <w:r>
                    <w:rPr>
                      <w:rFonts w:eastAsiaTheme="minorEastAsia"/>
                      <w:color w:val="auto"/>
                    </w:rPr>
                    <w:t>综合利用和禁烧管控。深化消耗臭氧层物质和氢氟碳化物环境管理。实施噪声污染防治行动，加快解决群众关心的突出噪声问题。到2025年，地级及以上城市实现功能区声环境质量自动监测。</w:t>
                  </w:r>
                </w:p>
              </w:tc>
              <w:tc>
                <w:tcPr>
                  <w:tcW w:w="1200" w:type="dxa"/>
                  <w:tcBorders>
                    <w:top w:val="single" w:color="auto" w:sz="4" w:space="0"/>
                    <w:left w:val="single" w:color="auto" w:sz="4" w:space="0"/>
                    <w:bottom w:val="double" w:color="auto" w:sz="2" w:space="0"/>
                    <w:right w:val="single" w:color="auto" w:sz="4" w:space="0"/>
                  </w:tcBorders>
                  <w:vAlign w:val="center"/>
                </w:tcPr>
                <w:p w14:paraId="2C66C36C">
                  <w:pPr>
                    <w:pStyle w:val="133"/>
                    <w:rPr>
                      <w:rFonts w:eastAsiaTheme="minorEastAsia"/>
                      <w:color w:val="auto"/>
                    </w:rPr>
                  </w:pPr>
                  <w:r>
                    <w:rPr>
                      <w:rFonts w:eastAsiaTheme="minorEastAsia"/>
                      <w:color w:val="auto"/>
                    </w:rPr>
                    <w:t>本项目生产设备均采取基础减振等措施，围护结构隔声，厂区路面实施硬化等措施，满足环保要求。</w:t>
                  </w:r>
                </w:p>
              </w:tc>
              <w:tc>
                <w:tcPr>
                  <w:tcW w:w="1128" w:type="dxa"/>
                  <w:tcBorders>
                    <w:top w:val="single" w:color="auto" w:sz="4" w:space="0"/>
                    <w:left w:val="single" w:color="auto" w:sz="4" w:space="0"/>
                    <w:bottom w:val="double" w:color="auto" w:sz="2" w:space="0"/>
                    <w:right w:val="nil"/>
                  </w:tcBorders>
                  <w:vAlign w:val="center"/>
                </w:tcPr>
                <w:p w14:paraId="7D63CA31">
                  <w:pPr>
                    <w:pStyle w:val="133"/>
                    <w:rPr>
                      <w:rFonts w:eastAsiaTheme="minorEastAsia"/>
                      <w:color w:val="auto"/>
                    </w:rPr>
                  </w:pPr>
                  <w:r>
                    <w:rPr>
                      <w:rFonts w:eastAsiaTheme="minorEastAsia"/>
                      <w:color w:val="auto"/>
                    </w:rPr>
                    <w:t>符合</w:t>
                  </w:r>
                </w:p>
              </w:tc>
            </w:tr>
          </w:tbl>
          <w:p w14:paraId="4A89BADE">
            <w:pPr>
              <w:pStyle w:val="65"/>
              <w:ind w:firstLine="480"/>
              <w:rPr>
                <w:rFonts w:eastAsiaTheme="minorEastAsia"/>
                <w:color w:val="auto"/>
              </w:rPr>
            </w:pPr>
            <w:r>
              <w:rPr>
                <w:rFonts w:eastAsiaTheme="minorEastAsia"/>
                <w:color w:val="auto"/>
              </w:rPr>
              <w:t>根据前述分析，项目与《朝阳市生态环境分区管控动态更新方案（2023年）》和《辽宁省深入打好污染防治攻坚战实施方案》不冲突。</w:t>
            </w:r>
          </w:p>
          <w:p w14:paraId="20D2B895">
            <w:pPr>
              <w:pStyle w:val="65"/>
              <w:ind w:firstLine="482"/>
              <w:rPr>
                <w:rFonts w:eastAsiaTheme="minorEastAsia"/>
                <w:b/>
                <w:bCs/>
                <w:color w:val="auto"/>
              </w:rPr>
            </w:pPr>
            <w:r>
              <w:rPr>
                <w:rFonts w:eastAsiaTheme="minorEastAsia"/>
                <w:b/>
                <w:bCs/>
                <w:color w:val="auto"/>
              </w:rPr>
              <w:t>4、与</w:t>
            </w:r>
            <w:r>
              <w:rPr>
                <w:rFonts w:hint="eastAsia" w:eastAsiaTheme="minorEastAsia"/>
                <w:b/>
                <w:bCs/>
                <w:color w:val="auto"/>
              </w:rPr>
              <w:t>“</w:t>
            </w:r>
            <w:r>
              <w:rPr>
                <w:rFonts w:eastAsiaTheme="minorEastAsia"/>
                <w:b/>
                <w:bCs/>
                <w:color w:val="auto"/>
              </w:rPr>
              <w:t>《辽宁省</w:t>
            </w:r>
            <w:r>
              <w:rPr>
                <w:rFonts w:hint="eastAsia" w:eastAsiaTheme="minorEastAsia"/>
                <w:b/>
                <w:bCs/>
                <w:color w:val="auto"/>
              </w:rPr>
              <w:t>“</w:t>
            </w:r>
            <w:r>
              <w:rPr>
                <w:rFonts w:eastAsiaTheme="minorEastAsia"/>
                <w:b/>
                <w:bCs/>
                <w:color w:val="auto"/>
              </w:rPr>
              <w:t>十四五</w:t>
            </w:r>
            <w:r>
              <w:rPr>
                <w:rFonts w:hint="eastAsia" w:eastAsiaTheme="minorEastAsia"/>
                <w:b/>
                <w:bCs/>
                <w:color w:val="auto"/>
              </w:rPr>
              <w:t>”</w:t>
            </w:r>
            <w:r>
              <w:rPr>
                <w:rFonts w:eastAsiaTheme="minorEastAsia"/>
                <w:b/>
                <w:bCs/>
                <w:color w:val="auto"/>
              </w:rPr>
              <w:t>生态环境保护规划》及《朝阳市</w:t>
            </w:r>
            <w:r>
              <w:rPr>
                <w:rFonts w:hint="eastAsia" w:eastAsiaTheme="minorEastAsia"/>
                <w:b/>
                <w:bCs/>
                <w:color w:val="auto"/>
              </w:rPr>
              <w:t>“</w:t>
            </w:r>
            <w:r>
              <w:rPr>
                <w:rFonts w:eastAsiaTheme="minorEastAsia"/>
                <w:b/>
                <w:bCs/>
                <w:color w:val="auto"/>
              </w:rPr>
              <w:t>十四五</w:t>
            </w:r>
            <w:r>
              <w:rPr>
                <w:rFonts w:hint="eastAsia" w:eastAsiaTheme="minorEastAsia"/>
                <w:b/>
                <w:bCs/>
                <w:color w:val="auto"/>
              </w:rPr>
              <w:t>”</w:t>
            </w:r>
            <w:r>
              <w:rPr>
                <w:rFonts w:eastAsiaTheme="minorEastAsia"/>
                <w:b/>
                <w:bCs/>
                <w:color w:val="auto"/>
              </w:rPr>
              <w:t>生态环境保护规划》</w:t>
            </w:r>
            <w:r>
              <w:rPr>
                <w:rFonts w:hint="eastAsia" w:eastAsiaTheme="minorEastAsia"/>
                <w:b/>
                <w:bCs/>
                <w:color w:val="auto"/>
              </w:rPr>
              <w:t>”</w:t>
            </w:r>
            <w:r>
              <w:rPr>
                <w:rFonts w:eastAsiaTheme="minorEastAsia"/>
                <w:b/>
                <w:bCs/>
                <w:color w:val="auto"/>
              </w:rPr>
              <w:t>符合性分析</w:t>
            </w:r>
          </w:p>
          <w:p w14:paraId="4EFFEF1D">
            <w:pPr>
              <w:pStyle w:val="92"/>
              <w:rPr>
                <w:rFonts w:eastAsiaTheme="minorEastAsia"/>
                <w:color w:val="auto"/>
              </w:rPr>
            </w:pPr>
            <w:r>
              <w:rPr>
                <w:rFonts w:eastAsiaTheme="minorEastAsia"/>
                <w:color w:val="auto"/>
              </w:rPr>
              <w:t>表1-5与辽宁省、朝阳市</w:t>
            </w:r>
            <w:r>
              <w:rPr>
                <w:rFonts w:hint="eastAsia" w:eastAsiaTheme="minorEastAsia"/>
                <w:color w:val="auto"/>
              </w:rPr>
              <w:t>“</w:t>
            </w:r>
            <w:r>
              <w:rPr>
                <w:rFonts w:eastAsiaTheme="minorEastAsia"/>
                <w:color w:val="auto"/>
              </w:rPr>
              <w:t>十四五</w:t>
            </w:r>
            <w:r>
              <w:rPr>
                <w:rFonts w:hint="eastAsia" w:eastAsiaTheme="minorEastAsia"/>
                <w:color w:val="auto"/>
              </w:rPr>
              <w:t>”</w:t>
            </w:r>
            <w:r>
              <w:rPr>
                <w:rFonts w:eastAsiaTheme="minorEastAsia"/>
                <w:color w:val="auto"/>
              </w:rPr>
              <w:t>生态环境保护规划符合性分析</w:t>
            </w:r>
          </w:p>
          <w:tbl>
            <w:tblPr>
              <w:tblStyle w:val="35"/>
              <w:tblW w:w="4950" w:type="pct"/>
              <w:jc w:val="center"/>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54"/>
              <w:gridCol w:w="3702"/>
              <w:gridCol w:w="2116"/>
              <w:gridCol w:w="544"/>
            </w:tblGrid>
            <w:tr w14:paraId="7DCC455B">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63" w:hRule="atLeast"/>
                <w:jc w:val="center"/>
              </w:trPr>
              <w:tc>
                <w:tcPr>
                  <w:tcW w:w="554" w:type="dxa"/>
                  <w:tcBorders>
                    <w:top w:val="double" w:color="000000" w:sz="2" w:space="0"/>
                    <w:left w:val="nil"/>
                    <w:bottom w:val="single" w:color="000000" w:sz="4" w:space="0"/>
                    <w:right w:val="single" w:color="000000" w:sz="4" w:space="0"/>
                  </w:tcBorders>
                  <w:vAlign w:val="center"/>
                </w:tcPr>
                <w:p w14:paraId="4B851436">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序号</w:t>
                  </w:r>
                </w:p>
              </w:tc>
              <w:tc>
                <w:tcPr>
                  <w:tcW w:w="3701" w:type="dxa"/>
                  <w:tcBorders>
                    <w:top w:val="double" w:color="000000" w:sz="2" w:space="0"/>
                    <w:left w:val="nil"/>
                    <w:bottom w:val="single" w:color="000000" w:sz="4" w:space="0"/>
                    <w:right w:val="single" w:color="000000" w:sz="4" w:space="0"/>
                  </w:tcBorders>
                  <w:vAlign w:val="center"/>
                </w:tcPr>
                <w:p w14:paraId="4B652BF1">
                  <w:pPr>
                    <w:pStyle w:val="109"/>
                    <w:spacing w:before="102"/>
                    <w:ind w:left="2" w:firstLine="420"/>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相关内容</w:t>
                  </w:r>
                </w:p>
              </w:tc>
              <w:tc>
                <w:tcPr>
                  <w:tcW w:w="2115" w:type="dxa"/>
                  <w:tcBorders>
                    <w:top w:val="double" w:color="000000" w:sz="2" w:space="0"/>
                    <w:left w:val="nil"/>
                    <w:bottom w:val="single" w:color="000000" w:sz="4" w:space="0"/>
                    <w:right w:val="single" w:color="000000" w:sz="4" w:space="0"/>
                  </w:tcBorders>
                  <w:vAlign w:val="center"/>
                </w:tcPr>
                <w:p w14:paraId="03538B9B">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本项目概况</w:t>
                  </w:r>
                </w:p>
              </w:tc>
              <w:tc>
                <w:tcPr>
                  <w:tcW w:w="544" w:type="dxa"/>
                  <w:tcBorders>
                    <w:top w:val="double" w:color="000000" w:sz="2" w:space="0"/>
                    <w:left w:val="nil"/>
                    <w:bottom w:val="single" w:color="000000" w:sz="4" w:space="0"/>
                    <w:right w:val="nil"/>
                  </w:tcBorders>
                  <w:vAlign w:val="center"/>
                </w:tcPr>
                <w:p w14:paraId="371F5EA0">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分析</w:t>
                  </w:r>
                </w:p>
                <w:p w14:paraId="497DE523">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结果</w:t>
                  </w:r>
                </w:p>
              </w:tc>
            </w:tr>
            <w:tr w14:paraId="7512F9A3">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14" w:type="dxa"/>
                  <w:gridSpan w:val="4"/>
                  <w:tcBorders>
                    <w:top w:val="single" w:color="000000" w:sz="4" w:space="0"/>
                    <w:left w:val="nil"/>
                    <w:bottom w:val="single" w:color="000000" w:sz="4" w:space="0"/>
                    <w:right w:val="nil"/>
                  </w:tcBorders>
                  <w:vAlign w:val="center"/>
                </w:tcPr>
                <w:p w14:paraId="208DA581">
                  <w:pPr>
                    <w:pStyle w:val="109"/>
                    <w:ind w:left="198" w:firstLine="422"/>
                    <w:jc w:val="center"/>
                    <w:rPr>
                      <w:rFonts w:ascii="Times New Roman" w:hAnsi="Times New Roman" w:cs="Times New Roman" w:eastAsiaTheme="minorEastAsia"/>
                      <w:color w:val="auto"/>
                      <w:szCs w:val="21"/>
                    </w:rPr>
                  </w:pPr>
                  <w:r>
                    <w:rPr>
                      <w:rFonts w:ascii="Times New Roman" w:hAnsi="Times New Roman" w:cs="Times New Roman" w:eastAsiaTheme="minorEastAsia"/>
                      <w:b/>
                      <w:bCs/>
                      <w:color w:val="auto"/>
                      <w:szCs w:val="21"/>
                    </w:rPr>
                    <w:t>辽宁省</w:t>
                  </w:r>
                  <w:r>
                    <w:rPr>
                      <w:rFonts w:hint="eastAsia" w:ascii="Times New Roman" w:hAnsi="Times New Roman" w:cs="Times New Roman" w:eastAsiaTheme="minorEastAsia"/>
                      <w:b/>
                      <w:bCs/>
                      <w:color w:val="auto"/>
                      <w:szCs w:val="21"/>
                    </w:rPr>
                    <w:t>“</w:t>
                  </w:r>
                  <w:r>
                    <w:rPr>
                      <w:rFonts w:ascii="Times New Roman" w:hAnsi="Times New Roman" w:cs="Times New Roman" w:eastAsiaTheme="minorEastAsia"/>
                      <w:b/>
                      <w:bCs/>
                      <w:color w:val="auto"/>
                      <w:szCs w:val="21"/>
                    </w:rPr>
                    <w:t>十四五</w:t>
                  </w:r>
                  <w:r>
                    <w:rPr>
                      <w:rFonts w:hint="eastAsia" w:ascii="Times New Roman" w:hAnsi="Times New Roman" w:cs="Times New Roman" w:eastAsiaTheme="minorEastAsia"/>
                      <w:b/>
                      <w:bCs/>
                      <w:color w:val="auto"/>
                      <w:szCs w:val="21"/>
                    </w:rPr>
                    <w:t>”</w:t>
                  </w:r>
                  <w:r>
                    <w:rPr>
                      <w:rFonts w:ascii="Times New Roman" w:hAnsi="Times New Roman" w:cs="Times New Roman" w:eastAsiaTheme="minorEastAsia"/>
                      <w:b/>
                      <w:bCs/>
                      <w:color w:val="auto"/>
                      <w:szCs w:val="21"/>
                    </w:rPr>
                    <w:t>生态环境保护规划</w:t>
                  </w:r>
                </w:p>
              </w:tc>
            </w:tr>
            <w:tr w14:paraId="55A2C478">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016" w:hRule="atLeast"/>
                <w:jc w:val="center"/>
              </w:trPr>
              <w:tc>
                <w:tcPr>
                  <w:tcW w:w="554" w:type="dxa"/>
                  <w:tcBorders>
                    <w:top w:val="single" w:color="000000" w:sz="4" w:space="0"/>
                    <w:left w:val="nil"/>
                    <w:bottom w:val="single" w:color="000000" w:sz="4" w:space="0"/>
                    <w:right w:val="single" w:color="000000" w:sz="4" w:space="0"/>
                  </w:tcBorders>
                  <w:vAlign w:val="center"/>
                </w:tcPr>
                <w:p w14:paraId="73FFCFC2">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1</w:t>
                  </w:r>
                </w:p>
              </w:tc>
              <w:tc>
                <w:tcPr>
                  <w:tcW w:w="3701" w:type="dxa"/>
                  <w:tcBorders>
                    <w:top w:val="single" w:color="000000" w:sz="4" w:space="0"/>
                    <w:left w:val="nil"/>
                    <w:bottom w:val="single" w:color="000000" w:sz="4" w:space="0"/>
                    <w:right w:val="single" w:color="000000" w:sz="4" w:space="0"/>
                  </w:tcBorders>
                  <w:vAlign w:val="center"/>
                </w:tcPr>
                <w:p w14:paraId="37D234E5">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深入优化调整产业结构。改造升级</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老字号</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，用人工智能、大数据、物联网等新一代信息技术为装备制造业等优势产业赋能增效，促进制造业向智能、绿色、高端、服务方向升级</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深度开发</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原字号</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，对冶金、石化等产业链补链、延链、强链，改变</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炼</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有余而</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化</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不足、</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粗化工</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有余而</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精细化工</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不足、原材料有余而增值链不足的状况，不断推进产业链价值链向中高端发展</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培育壮大</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新字号</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强力推进战略性新兴产业、高技术制造业和高技术服务业发展，加快发展节能环保产业，培育壮大数字产业集群。持续压减淘汰落后和过剩产能，严格落实钢铁、水泥熟料、烧结砖瓦、电解铝、炼化等行业产能置换要求。</w:t>
                  </w:r>
                </w:p>
              </w:tc>
              <w:tc>
                <w:tcPr>
                  <w:tcW w:w="2115" w:type="dxa"/>
                  <w:tcBorders>
                    <w:top w:val="single" w:color="000000" w:sz="4" w:space="0"/>
                    <w:left w:val="nil"/>
                    <w:bottom w:val="single" w:color="000000" w:sz="4" w:space="0"/>
                    <w:right w:val="single" w:color="000000" w:sz="4" w:space="0"/>
                  </w:tcBorders>
                  <w:vAlign w:val="center"/>
                </w:tcPr>
                <w:p w14:paraId="164412EE">
                  <w:pPr>
                    <w:pStyle w:val="109"/>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本项目为</w:t>
                  </w:r>
                  <w:r>
                    <w:rPr>
                      <w:rFonts w:ascii="Times New Roman" w:hAnsi="Times New Roman" w:cs="Times New Roman" w:eastAsiaTheme="minorEastAsia"/>
                      <w:color w:val="auto"/>
                    </w:rPr>
                    <w:t>废弃资源加工再利用项目，</w:t>
                  </w:r>
                  <w:r>
                    <w:rPr>
                      <w:rFonts w:ascii="Times New Roman" w:hAnsi="Times New Roman" w:cs="Times New Roman" w:eastAsiaTheme="minorEastAsia"/>
                      <w:color w:val="auto"/>
                      <w:szCs w:val="21"/>
                    </w:rPr>
                    <w:t>符合产业结构政策，不属于落后和过剩产能。</w:t>
                  </w:r>
                </w:p>
              </w:tc>
              <w:tc>
                <w:tcPr>
                  <w:tcW w:w="544" w:type="dxa"/>
                  <w:tcBorders>
                    <w:top w:val="single" w:color="000000" w:sz="4" w:space="0"/>
                    <w:left w:val="nil"/>
                    <w:bottom w:val="single" w:color="000000" w:sz="4" w:space="0"/>
                    <w:right w:val="nil"/>
                  </w:tcBorders>
                  <w:vAlign w:val="center"/>
                </w:tcPr>
                <w:p w14:paraId="4C96F0DA">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r w14:paraId="39580110">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016" w:hRule="atLeast"/>
                <w:jc w:val="center"/>
              </w:trPr>
              <w:tc>
                <w:tcPr>
                  <w:tcW w:w="554" w:type="dxa"/>
                  <w:tcBorders>
                    <w:top w:val="single" w:color="000000" w:sz="4" w:space="0"/>
                    <w:left w:val="nil"/>
                    <w:bottom w:val="single" w:color="000000" w:sz="4" w:space="0"/>
                    <w:right w:val="single" w:color="000000" w:sz="4" w:space="0"/>
                  </w:tcBorders>
                  <w:vAlign w:val="center"/>
                </w:tcPr>
                <w:p w14:paraId="6058114C">
                  <w:pPr>
                    <w:pStyle w:val="109"/>
                    <w:spacing w:before="102"/>
                    <w:jc w:val="center"/>
                    <w:rPr>
                      <w:rFonts w:ascii="Times New Roman" w:hAnsi="Times New Roman" w:cs="Times New Roman" w:eastAsiaTheme="minorEastAsia"/>
                      <w:color w:val="auto"/>
                      <w:kern w:val="0"/>
                      <w:szCs w:val="21"/>
                    </w:rPr>
                  </w:pPr>
                  <w:r>
                    <w:rPr>
                      <w:rFonts w:ascii="Times New Roman" w:hAnsi="Times New Roman" w:cs="Times New Roman" w:eastAsiaTheme="minorEastAsia"/>
                      <w:color w:val="auto"/>
                      <w:szCs w:val="21"/>
                    </w:rPr>
                    <w:t>2</w:t>
                  </w:r>
                </w:p>
              </w:tc>
              <w:tc>
                <w:tcPr>
                  <w:tcW w:w="3701" w:type="dxa"/>
                  <w:tcBorders>
                    <w:top w:val="single" w:color="000000" w:sz="4" w:space="0"/>
                    <w:left w:val="nil"/>
                    <w:bottom w:val="single" w:color="000000" w:sz="4" w:space="0"/>
                    <w:right w:val="single" w:color="000000" w:sz="4" w:space="0"/>
                  </w:tcBorders>
                  <w:vAlign w:val="center"/>
                </w:tcPr>
                <w:p w14:paraId="2D9C8B6B">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加快实施能源消费结构调整，完善能耗</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双控</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。继续实施煤炭总量控制，推进煤炭替代</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推行清洁能源替代，对以煤、石焦油、渣油、重油等为燃料的锅炉和工业炉窑，加快使用清洁低碳能源以及工厂余热、电力、热力等进行替代</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持续推进清洁取暖。</w:t>
                  </w:r>
                </w:p>
              </w:tc>
              <w:tc>
                <w:tcPr>
                  <w:tcW w:w="2115" w:type="dxa"/>
                  <w:tcBorders>
                    <w:top w:val="single" w:color="000000" w:sz="4" w:space="0"/>
                    <w:left w:val="nil"/>
                    <w:bottom w:val="single" w:color="000000" w:sz="4" w:space="0"/>
                    <w:right w:val="single" w:color="000000" w:sz="4" w:space="0"/>
                  </w:tcBorders>
                  <w:vAlign w:val="center"/>
                </w:tcPr>
                <w:p w14:paraId="699D568B">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本项目烘干炉使用高炉煤气，无燃煤锅炉等情况。</w:t>
                  </w:r>
                </w:p>
              </w:tc>
              <w:tc>
                <w:tcPr>
                  <w:tcW w:w="544" w:type="dxa"/>
                  <w:tcBorders>
                    <w:top w:val="single" w:color="000000" w:sz="4" w:space="0"/>
                    <w:left w:val="nil"/>
                    <w:bottom w:val="single" w:color="000000" w:sz="4" w:space="0"/>
                    <w:right w:val="nil"/>
                  </w:tcBorders>
                  <w:vAlign w:val="center"/>
                </w:tcPr>
                <w:p w14:paraId="540E080F">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r w14:paraId="680B7CD5">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82" w:hRule="atLeast"/>
                <w:jc w:val="center"/>
              </w:trPr>
              <w:tc>
                <w:tcPr>
                  <w:tcW w:w="554" w:type="dxa"/>
                  <w:tcBorders>
                    <w:top w:val="single" w:color="000000" w:sz="4" w:space="0"/>
                    <w:left w:val="nil"/>
                    <w:bottom w:val="single" w:color="000000" w:sz="4" w:space="0"/>
                    <w:right w:val="single" w:color="000000" w:sz="4" w:space="0"/>
                  </w:tcBorders>
                  <w:vAlign w:val="center"/>
                </w:tcPr>
                <w:p w14:paraId="002DA5F2">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3</w:t>
                  </w:r>
                </w:p>
              </w:tc>
              <w:tc>
                <w:tcPr>
                  <w:tcW w:w="3701" w:type="dxa"/>
                  <w:tcBorders>
                    <w:top w:val="single" w:color="000000" w:sz="4" w:space="0"/>
                    <w:left w:val="nil"/>
                    <w:bottom w:val="single" w:color="000000" w:sz="4" w:space="0"/>
                    <w:right w:val="single" w:color="000000" w:sz="4" w:space="0"/>
                  </w:tcBorders>
                  <w:vAlign w:val="center"/>
                </w:tcPr>
                <w:p w14:paraId="7243F44D">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强化扬尘综合治理和秸秆禁烧管控。全面加强各类施工工地、道路、工业企业料场堆场、裸地、露天矿山和港口码头扬尘精细化管控，实施网格化降尘量监测考核。推进建筑施工现场扬尘治理六个百分百建设，提升绿色施工水平。推进低尘机械化湿式清扫作业，加大城市出入口、城乡结合部等重要路段清扫保洁力度。强化秸秆禁烧管控，建立秸秆焚烧监控体系，2022年底前，建立卫星遥感监测火点信息1小时推送机制。</w:t>
                  </w:r>
                </w:p>
              </w:tc>
              <w:tc>
                <w:tcPr>
                  <w:tcW w:w="2115" w:type="dxa"/>
                  <w:tcBorders>
                    <w:top w:val="single" w:color="000000" w:sz="4" w:space="0"/>
                    <w:left w:val="nil"/>
                    <w:bottom w:val="single" w:color="000000" w:sz="4" w:space="0"/>
                    <w:right w:val="single" w:color="000000" w:sz="4" w:space="0"/>
                  </w:tcBorders>
                  <w:vAlign w:val="center"/>
                </w:tcPr>
                <w:p w14:paraId="34002171">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本项目租用朝阳县瓦房子镇宏兴锰矿场地，性质为工业用地；运营期封闭产品库存放产品，定时洒水抑尘；设置环保措施减少加工过程产生的颗粒物、工业炉窑排放的污染物等。</w:t>
                  </w:r>
                </w:p>
              </w:tc>
              <w:tc>
                <w:tcPr>
                  <w:tcW w:w="544" w:type="dxa"/>
                  <w:tcBorders>
                    <w:top w:val="single" w:color="000000" w:sz="4" w:space="0"/>
                    <w:left w:val="nil"/>
                    <w:bottom w:val="single" w:color="000000" w:sz="4" w:space="0"/>
                    <w:right w:val="nil"/>
                  </w:tcBorders>
                  <w:vAlign w:val="center"/>
                </w:tcPr>
                <w:p w14:paraId="040FAA78">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r w14:paraId="69EFE2FA">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554" w:type="dxa"/>
                  <w:tcBorders>
                    <w:top w:val="single" w:color="000000" w:sz="4" w:space="0"/>
                    <w:left w:val="nil"/>
                    <w:bottom w:val="single" w:color="000000" w:sz="4" w:space="0"/>
                    <w:right w:val="single" w:color="000000" w:sz="4" w:space="0"/>
                  </w:tcBorders>
                  <w:vAlign w:val="center"/>
                </w:tcPr>
                <w:p w14:paraId="1BC0DCE9">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4</w:t>
                  </w:r>
                </w:p>
              </w:tc>
              <w:tc>
                <w:tcPr>
                  <w:tcW w:w="3701" w:type="dxa"/>
                  <w:tcBorders>
                    <w:top w:val="single" w:color="000000" w:sz="4" w:space="0"/>
                    <w:left w:val="nil"/>
                    <w:bottom w:val="single" w:color="000000" w:sz="4" w:space="0"/>
                    <w:right w:val="single" w:color="000000" w:sz="4" w:space="0"/>
                  </w:tcBorders>
                  <w:vAlign w:val="center"/>
                </w:tcPr>
                <w:p w14:paraId="50E78ED7">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强化噪声污染整治。全面排查工业生产、建筑施工、交通运输和社会生活等领域的重点噪声排放源单位，依法严厉查处噪声排放超标扰民行为。鼓励创建安静小区，噪声敏感建筑物集中区域逐步配套建设隔声屏障，严格实施禁鸣、限行、限速等措施。实施城市建筑施工环保公告制度，对建筑施工进行实时监督。畅通噪声污染投诉渠道，探索建立多部门噪声污染投诉信息共享机制。</w:t>
                  </w:r>
                </w:p>
              </w:tc>
              <w:tc>
                <w:tcPr>
                  <w:tcW w:w="2115" w:type="dxa"/>
                  <w:tcBorders>
                    <w:top w:val="single" w:color="000000" w:sz="4" w:space="0"/>
                    <w:left w:val="nil"/>
                    <w:bottom w:val="single" w:color="000000" w:sz="4" w:space="0"/>
                    <w:right w:val="single" w:color="000000" w:sz="4" w:space="0"/>
                  </w:tcBorders>
                  <w:vAlign w:val="center"/>
                </w:tcPr>
                <w:p w14:paraId="5E5FB0C9">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本项目加强绿化，选用低噪声设备，采取隔声、减振、消声等降噪措施；加强运输车辆管理，合理安排运输时间，严禁车辆超速超载运输。</w:t>
                  </w:r>
                </w:p>
              </w:tc>
              <w:tc>
                <w:tcPr>
                  <w:tcW w:w="544" w:type="dxa"/>
                  <w:tcBorders>
                    <w:top w:val="single" w:color="000000" w:sz="4" w:space="0"/>
                    <w:left w:val="nil"/>
                    <w:bottom w:val="single" w:color="000000" w:sz="4" w:space="0"/>
                    <w:right w:val="nil"/>
                  </w:tcBorders>
                  <w:vAlign w:val="center"/>
                </w:tcPr>
                <w:p w14:paraId="180DF154">
                  <w:pPr>
                    <w:pStyle w:val="109"/>
                    <w:jc w:val="center"/>
                    <w:rPr>
                      <w:rFonts w:ascii="Times New Roman" w:hAnsi="Times New Roman" w:cs="Times New Roman" w:eastAsiaTheme="minorEastAsia"/>
                      <w:color w:val="auto"/>
                      <w:kern w:val="0"/>
                      <w:szCs w:val="21"/>
                    </w:rPr>
                  </w:pPr>
                  <w:r>
                    <w:rPr>
                      <w:rFonts w:ascii="Times New Roman" w:hAnsi="Times New Roman" w:cs="Times New Roman" w:eastAsiaTheme="minorEastAsia"/>
                      <w:color w:val="auto"/>
                      <w:szCs w:val="21"/>
                    </w:rPr>
                    <w:t>符合</w:t>
                  </w:r>
                </w:p>
              </w:tc>
            </w:tr>
            <w:tr w14:paraId="70D65742">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82" w:hRule="atLeast"/>
                <w:jc w:val="center"/>
              </w:trPr>
              <w:tc>
                <w:tcPr>
                  <w:tcW w:w="554" w:type="dxa"/>
                  <w:tcBorders>
                    <w:top w:val="single" w:color="000000" w:sz="4" w:space="0"/>
                    <w:left w:val="nil"/>
                    <w:bottom w:val="single" w:color="000000" w:sz="4" w:space="0"/>
                    <w:right w:val="single" w:color="000000" w:sz="4" w:space="0"/>
                  </w:tcBorders>
                  <w:vAlign w:val="center"/>
                </w:tcPr>
                <w:p w14:paraId="32E38B41">
                  <w:pPr>
                    <w:pStyle w:val="109"/>
                    <w:spacing w:before="102"/>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5</w:t>
                  </w:r>
                </w:p>
              </w:tc>
              <w:tc>
                <w:tcPr>
                  <w:tcW w:w="3701" w:type="dxa"/>
                  <w:tcBorders>
                    <w:top w:val="single" w:color="000000" w:sz="4" w:space="0"/>
                    <w:left w:val="nil"/>
                    <w:bottom w:val="single" w:color="000000" w:sz="4" w:space="0"/>
                    <w:right w:val="single" w:color="000000" w:sz="4" w:space="0"/>
                  </w:tcBorders>
                  <w:vAlign w:val="center"/>
                </w:tcPr>
                <w:p w14:paraId="5E620ECF">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加强空间布局管控。根据土壤污染状况和风险合理规划土地用途，永久基本农田集中区域禁止规划新建可能造成土壤污染的建设项目</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居住区和学校、医院、疗养院、养老院等单位周边，禁止新（改、扩）建可能造成土壤污染的建设项目。新（改、扩）建涉及有毒有害物质可能造成土壤污染的建设项目，提出并落实土壤和地下水污染防治要求。</w:t>
                  </w:r>
                </w:p>
              </w:tc>
              <w:tc>
                <w:tcPr>
                  <w:tcW w:w="2115" w:type="dxa"/>
                  <w:tcBorders>
                    <w:top w:val="single" w:color="000000" w:sz="4" w:space="0"/>
                    <w:left w:val="nil"/>
                    <w:bottom w:val="single" w:color="000000" w:sz="4" w:space="0"/>
                    <w:right w:val="single" w:color="000000" w:sz="4" w:space="0"/>
                  </w:tcBorders>
                  <w:vAlign w:val="center"/>
                </w:tcPr>
                <w:p w14:paraId="72DEFF00">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本项目位于辽宁省朝阳市朝阳县瓦房子镇上三家子村（朝阳县瓦房子镇宏兴锰矿厂区内），不占用永久基本农田；本项目按照</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源头控制、过程防控、跟踪监测、应急响应</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相结合的原则，防止土壤、地下水污染。</w:t>
                  </w:r>
                </w:p>
              </w:tc>
              <w:tc>
                <w:tcPr>
                  <w:tcW w:w="544" w:type="dxa"/>
                  <w:tcBorders>
                    <w:top w:val="single" w:color="000000" w:sz="4" w:space="0"/>
                    <w:left w:val="nil"/>
                    <w:bottom w:val="single" w:color="000000" w:sz="4" w:space="0"/>
                    <w:right w:val="nil"/>
                  </w:tcBorders>
                  <w:vAlign w:val="center"/>
                </w:tcPr>
                <w:p w14:paraId="6FE9A11A">
                  <w:pPr>
                    <w:pStyle w:val="109"/>
                    <w:jc w:val="center"/>
                    <w:rPr>
                      <w:rFonts w:ascii="Times New Roman" w:hAnsi="Times New Roman" w:cs="Times New Roman" w:eastAsiaTheme="minorEastAsia"/>
                      <w:color w:val="auto"/>
                      <w:kern w:val="0"/>
                      <w:szCs w:val="21"/>
                    </w:rPr>
                  </w:pPr>
                  <w:r>
                    <w:rPr>
                      <w:rFonts w:ascii="Times New Roman" w:hAnsi="Times New Roman" w:cs="Times New Roman" w:eastAsiaTheme="minorEastAsia"/>
                      <w:color w:val="auto"/>
                      <w:szCs w:val="21"/>
                    </w:rPr>
                    <w:t>符合</w:t>
                  </w:r>
                </w:p>
              </w:tc>
            </w:tr>
            <w:tr w14:paraId="130A8FC7">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6914" w:type="dxa"/>
                  <w:gridSpan w:val="4"/>
                  <w:tcBorders>
                    <w:top w:val="single" w:color="000000" w:sz="4" w:space="0"/>
                    <w:left w:val="nil"/>
                    <w:bottom w:val="single" w:color="000000" w:sz="4" w:space="0"/>
                    <w:right w:val="nil"/>
                  </w:tcBorders>
                  <w:vAlign w:val="center"/>
                </w:tcPr>
                <w:p w14:paraId="69DE5FB5">
                  <w:pPr>
                    <w:pStyle w:val="109"/>
                    <w:ind w:left="198" w:firstLine="422"/>
                    <w:jc w:val="center"/>
                    <w:rPr>
                      <w:rFonts w:ascii="Times New Roman" w:hAnsi="Times New Roman" w:cs="Times New Roman" w:eastAsiaTheme="minorEastAsia"/>
                      <w:color w:val="auto"/>
                      <w:szCs w:val="21"/>
                    </w:rPr>
                  </w:pPr>
                  <w:r>
                    <w:rPr>
                      <w:rFonts w:ascii="Times New Roman" w:hAnsi="Times New Roman" w:cs="Times New Roman" w:eastAsiaTheme="minorEastAsia"/>
                      <w:b/>
                      <w:bCs/>
                      <w:color w:val="auto"/>
                      <w:szCs w:val="21"/>
                    </w:rPr>
                    <w:t>朝阳市</w:t>
                  </w:r>
                  <w:r>
                    <w:rPr>
                      <w:rFonts w:hint="eastAsia" w:ascii="Times New Roman" w:hAnsi="Times New Roman" w:cs="Times New Roman" w:eastAsiaTheme="minorEastAsia"/>
                      <w:b/>
                      <w:bCs/>
                      <w:color w:val="auto"/>
                      <w:szCs w:val="21"/>
                    </w:rPr>
                    <w:t>“</w:t>
                  </w:r>
                  <w:r>
                    <w:rPr>
                      <w:rFonts w:ascii="Times New Roman" w:hAnsi="Times New Roman" w:cs="Times New Roman" w:eastAsiaTheme="minorEastAsia"/>
                      <w:b/>
                      <w:bCs/>
                      <w:color w:val="auto"/>
                      <w:szCs w:val="21"/>
                    </w:rPr>
                    <w:t>十四五</w:t>
                  </w:r>
                  <w:r>
                    <w:rPr>
                      <w:rFonts w:hint="eastAsia" w:ascii="Times New Roman" w:hAnsi="Times New Roman" w:cs="Times New Roman" w:eastAsiaTheme="minorEastAsia"/>
                      <w:b/>
                      <w:bCs/>
                      <w:color w:val="auto"/>
                      <w:szCs w:val="21"/>
                    </w:rPr>
                    <w:t>”</w:t>
                  </w:r>
                  <w:r>
                    <w:rPr>
                      <w:rFonts w:ascii="Times New Roman" w:hAnsi="Times New Roman" w:cs="Times New Roman" w:eastAsiaTheme="minorEastAsia"/>
                      <w:b/>
                      <w:bCs/>
                      <w:color w:val="auto"/>
                      <w:szCs w:val="21"/>
                    </w:rPr>
                    <w:t>生态环境保护规划</w:t>
                  </w:r>
                </w:p>
              </w:tc>
            </w:tr>
            <w:tr w14:paraId="5F23D5C5">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67" w:hRule="atLeast"/>
                <w:jc w:val="center"/>
              </w:trPr>
              <w:tc>
                <w:tcPr>
                  <w:tcW w:w="554" w:type="dxa"/>
                  <w:tcBorders>
                    <w:top w:val="single" w:color="000000" w:sz="4" w:space="0"/>
                    <w:left w:val="nil"/>
                    <w:bottom w:val="single" w:color="000000" w:sz="4" w:space="0"/>
                    <w:right w:val="single" w:color="000000" w:sz="4" w:space="0"/>
                  </w:tcBorders>
                  <w:vAlign w:val="center"/>
                </w:tcPr>
                <w:p w14:paraId="173A83C9">
                  <w:pPr>
                    <w:widowControl/>
                    <w:jc w:val="center"/>
                    <w:textAlignment w:val="center"/>
                    <w:rPr>
                      <w:rFonts w:eastAsiaTheme="minorEastAsia"/>
                      <w:color w:val="auto"/>
                      <w:szCs w:val="21"/>
                    </w:rPr>
                  </w:pPr>
                  <w:r>
                    <w:rPr>
                      <w:rFonts w:eastAsiaTheme="minorEastAsia"/>
                      <w:color w:val="auto"/>
                      <w:szCs w:val="21"/>
                    </w:rPr>
                    <w:t>1</w:t>
                  </w:r>
                </w:p>
              </w:tc>
              <w:tc>
                <w:tcPr>
                  <w:tcW w:w="3701" w:type="dxa"/>
                  <w:tcBorders>
                    <w:top w:val="single" w:color="000000" w:sz="4" w:space="0"/>
                    <w:left w:val="nil"/>
                    <w:bottom w:val="single" w:color="000000" w:sz="4" w:space="0"/>
                    <w:right w:val="single" w:color="000000" w:sz="4" w:space="0"/>
                  </w:tcBorders>
                  <w:vAlign w:val="center"/>
                </w:tcPr>
                <w:p w14:paraId="3ADE7C3A">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加快低效和落后产能、过剩产能淘汰。强化产业准入政策，提高传统制造业准入要求，严格按照国家产业导向目录，全面收紧高耗能高排放等不符合生态环保发展方向的产业环保政策，逐步淘汰污染重、能耗高、效益差的落后生产工艺，引导实现资源的集约利用。严控新上</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两高</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行业项目，钢铁、水泥、平板玻璃等产能过剩行业严禁新增产能，并严格执行产能置换。严格执行质量、环保、能耗、安全等法规标准。</w:t>
                  </w:r>
                </w:p>
              </w:tc>
              <w:tc>
                <w:tcPr>
                  <w:tcW w:w="2115" w:type="dxa"/>
                  <w:tcBorders>
                    <w:top w:val="single" w:color="000000" w:sz="4" w:space="0"/>
                    <w:left w:val="nil"/>
                    <w:bottom w:val="single" w:color="000000" w:sz="4" w:space="0"/>
                    <w:right w:val="single" w:color="000000" w:sz="4" w:space="0"/>
                  </w:tcBorders>
                  <w:vAlign w:val="center"/>
                </w:tcPr>
                <w:p w14:paraId="04509E7B">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本项目为</w:t>
                  </w:r>
                  <w:r>
                    <w:rPr>
                      <w:rFonts w:ascii="Times New Roman" w:hAnsi="Times New Roman" w:cs="Times New Roman" w:eastAsiaTheme="minorEastAsia"/>
                      <w:color w:val="auto"/>
                    </w:rPr>
                    <w:t>废弃资源加工再利用项目，</w:t>
                  </w:r>
                  <w:r>
                    <w:rPr>
                      <w:rFonts w:ascii="Times New Roman" w:hAnsi="Times New Roman" w:cs="Times New Roman" w:eastAsiaTheme="minorEastAsia"/>
                      <w:color w:val="auto"/>
                      <w:szCs w:val="21"/>
                    </w:rPr>
                    <w:t>符合产业结构政策，不属于落后和过剩产能。</w:t>
                  </w:r>
                </w:p>
              </w:tc>
              <w:tc>
                <w:tcPr>
                  <w:tcW w:w="544" w:type="dxa"/>
                  <w:tcBorders>
                    <w:top w:val="single" w:color="000000" w:sz="4" w:space="0"/>
                    <w:left w:val="nil"/>
                    <w:bottom w:val="single" w:color="000000" w:sz="4" w:space="0"/>
                    <w:right w:val="nil"/>
                  </w:tcBorders>
                  <w:vAlign w:val="center"/>
                </w:tcPr>
                <w:p w14:paraId="23DC8D42">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r w14:paraId="75CDAEC0">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554" w:type="dxa"/>
                  <w:tcBorders>
                    <w:top w:val="single" w:color="000000" w:sz="4" w:space="0"/>
                    <w:left w:val="nil"/>
                    <w:bottom w:val="single" w:color="000000" w:sz="4" w:space="0"/>
                    <w:right w:val="single" w:color="000000" w:sz="4" w:space="0"/>
                  </w:tcBorders>
                  <w:vAlign w:val="center"/>
                </w:tcPr>
                <w:p w14:paraId="7CCCDAA0">
                  <w:pPr>
                    <w:widowControl/>
                    <w:jc w:val="center"/>
                    <w:textAlignment w:val="center"/>
                    <w:rPr>
                      <w:rFonts w:eastAsiaTheme="minorEastAsia"/>
                      <w:color w:val="auto"/>
                      <w:szCs w:val="21"/>
                    </w:rPr>
                  </w:pPr>
                  <w:r>
                    <w:rPr>
                      <w:rFonts w:eastAsiaTheme="minorEastAsia"/>
                      <w:color w:val="auto"/>
                      <w:szCs w:val="21"/>
                    </w:rPr>
                    <w:t>2</w:t>
                  </w:r>
                </w:p>
              </w:tc>
              <w:tc>
                <w:tcPr>
                  <w:tcW w:w="3701" w:type="dxa"/>
                  <w:tcBorders>
                    <w:top w:val="single" w:color="000000" w:sz="4" w:space="0"/>
                    <w:left w:val="nil"/>
                    <w:bottom w:val="single" w:color="000000" w:sz="4" w:space="0"/>
                    <w:right w:val="single" w:color="000000" w:sz="4" w:space="0"/>
                  </w:tcBorders>
                  <w:vAlign w:val="center"/>
                </w:tcPr>
                <w:p w14:paraId="59EC3A30">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实施煤炭消费总量控制，降低煤炭消耗量。耗煤新项目实施煤炭减量替代。加快能源结构调整，稳步发展清洁能源。</w:t>
                  </w:r>
                </w:p>
              </w:tc>
              <w:tc>
                <w:tcPr>
                  <w:tcW w:w="2115" w:type="dxa"/>
                  <w:tcBorders>
                    <w:top w:val="single" w:color="000000" w:sz="4" w:space="0"/>
                    <w:left w:val="nil"/>
                    <w:bottom w:val="single" w:color="000000" w:sz="4" w:space="0"/>
                    <w:right w:val="single" w:color="000000" w:sz="4" w:space="0"/>
                  </w:tcBorders>
                  <w:vAlign w:val="center"/>
                </w:tcPr>
                <w:p w14:paraId="56812C43">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本项目烘干炉使用高炉煤气，不使用煤炭。</w:t>
                  </w:r>
                </w:p>
              </w:tc>
              <w:tc>
                <w:tcPr>
                  <w:tcW w:w="544" w:type="dxa"/>
                  <w:tcBorders>
                    <w:top w:val="single" w:color="000000" w:sz="4" w:space="0"/>
                    <w:left w:val="nil"/>
                    <w:bottom w:val="single" w:color="000000" w:sz="4" w:space="0"/>
                    <w:right w:val="nil"/>
                  </w:tcBorders>
                  <w:vAlign w:val="center"/>
                </w:tcPr>
                <w:p w14:paraId="348BE49A">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r w14:paraId="1880EDEC">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893" w:hRule="atLeast"/>
                <w:jc w:val="center"/>
              </w:trPr>
              <w:tc>
                <w:tcPr>
                  <w:tcW w:w="554" w:type="dxa"/>
                  <w:tcBorders>
                    <w:top w:val="single" w:color="000000" w:sz="4" w:space="0"/>
                    <w:left w:val="nil"/>
                    <w:bottom w:val="single" w:color="000000" w:sz="4" w:space="0"/>
                    <w:right w:val="single" w:color="000000" w:sz="4" w:space="0"/>
                  </w:tcBorders>
                  <w:vAlign w:val="center"/>
                </w:tcPr>
                <w:p w14:paraId="6EB5EE8A">
                  <w:pPr>
                    <w:widowControl/>
                    <w:jc w:val="center"/>
                    <w:textAlignment w:val="center"/>
                    <w:rPr>
                      <w:rFonts w:eastAsiaTheme="minorEastAsia"/>
                      <w:color w:val="auto"/>
                      <w:szCs w:val="21"/>
                    </w:rPr>
                  </w:pPr>
                  <w:r>
                    <w:rPr>
                      <w:rFonts w:eastAsiaTheme="minorEastAsia"/>
                      <w:color w:val="auto"/>
                      <w:szCs w:val="21"/>
                    </w:rPr>
                    <w:t>3</w:t>
                  </w:r>
                </w:p>
              </w:tc>
              <w:tc>
                <w:tcPr>
                  <w:tcW w:w="3701" w:type="dxa"/>
                  <w:tcBorders>
                    <w:top w:val="single" w:color="000000" w:sz="4" w:space="0"/>
                    <w:left w:val="nil"/>
                    <w:bottom w:val="single" w:color="000000" w:sz="4" w:space="0"/>
                    <w:right w:val="single" w:color="000000" w:sz="4" w:space="0"/>
                  </w:tcBorders>
                  <w:vAlign w:val="center"/>
                </w:tcPr>
                <w:p w14:paraId="548D0876">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开展施工扬尘和施工场地物料运输道路扬尘联合整治，发展绿色施工，建立扬尘控制责任制度，实施施工场地封闭管理，严格落实施工现场围挡、工地砂土覆盖等</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六个百分百</w:t>
                  </w:r>
                  <w:r>
                    <w:rPr>
                      <w:rFonts w:hint="eastAsia" w:ascii="Times New Roman" w:hAnsi="Times New Roman" w:cs="Times New Roman" w:eastAsiaTheme="minorEastAsia"/>
                      <w:color w:val="auto"/>
                      <w:szCs w:val="21"/>
                    </w:rPr>
                    <w:t>”</w:t>
                  </w:r>
                  <w:r>
                    <w:rPr>
                      <w:rFonts w:ascii="Times New Roman" w:hAnsi="Times New Roman" w:cs="Times New Roman" w:eastAsiaTheme="minorEastAsia"/>
                      <w:color w:val="auto"/>
                      <w:szCs w:val="21"/>
                    </w:rPr>
                    <w:t>要求，推进装配式建筑等建筑方式；加强施工场地原材料、土方等物料运输以及建筑垃圾、渣土运输车辆的运输-堆卸等环节全流程规范化管理，减轻道路扬尘。推进道路清扫保洁机械化作业，提高道路机械化清扫率，2025年，力争主城区城市道路低尘机械化清扫率达到100%。</w:t>
                  </w:r>
                </w:p>
                <w:p w14:paraId="418A7919">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整治露天矿山扬尘污染。全面完成露天矿山摸底排查，视扬尘污染状况相应责令关闭或停产整治，对责任主体灭失的露天矿山，加强修复绿化、减尘抑尘。重点区域原则上禁止新建露天矿山建设项目；加强矸石山治理，正常运营露天矿山采用无组织尘高效控制技术减尘抑尘。</w:t>
                  </w:r>
                </w:p>
              </w:tc>
              <w:tc>
                <w:tcPr>
                  <w:tcW w:w="2115" w:type="dxa"/>
                  <w:tcBorders>
                    <w:top w:val="single" w:color="000000" w:sz="4" w:space="0"/>
                    <w:left w:val="nil"/>
                    <w:bottom w:val="single" w:color="000000" w:sz="4" w:space="0"/>
                    <w:right w:val="single" w:color="000000" w:sz="4" w:space="0"/>
                  </w:tcBorders>
                  <w:vAlign w:val="center"/>
                </w:tcPr>
                <w:p w14:paraId="785492F0">
                  <w:pPr>
                    <w:pStyle w:val="109"/>
                    <w:spacing w:before="102"/>
                    <w:ind w:left="105" w:leftChars="50" w:right="105" w:rightChars="5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本项目租用朝阳县瓦房子镇宏兴锰矿场地；运营期封闭产品库存放产品，定时洒水抑尘；生产粉尘、烘干炉排放污染物经环境保护措施后达标排放。</w:t>
                  </w:r>
                </w:p>
              </w:tc>
              <w:tc>
                <w:tcPr>
                  <w:tcW w:w="544" w:type="dxa"/>
                  <w:tcBorders>
                    <w:top w:val="single" w:color="000000" w:sz="4" w:space="0"/>
                    <w:left w:val="nil"/>
                    <w:bottom w:val="single" w:color="000000" w:sz="4" w:space="0"/>
                    <w:right w:val="nil"/>
                  </w:tcBorders>
                  <w:vAlign w:val="center"/>
                </w:tcPr>
                <w:p w14:paraId="5F95FFBD">
                  <w:pPr>
                    <w:pStyle w:val="109"/>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符合</w:t>
                  </w:r>
                </w:p>
              </w:tc>
            </w:tr>
          </w:tbl>
          <w:p w14:paraId="25343EAB">
            <w:pPr>
              <w:pStyle w:val="65"/>
              <w:ind w:firstLine="482"/>
              <w:rPr>
                <w:rFonts w:eastAsiaTheme="minorEastAsia"/>
                <w:b/>
                <w:bCs/>
                <w:color w:val="auto"/>
              </w:rPr>
            </w:pPr>
            <w:r>
              <w:rPr>
                <w:rFonts w:eastAsiaTheme="minorEastAsia"/>
                <w:b/>
                <w:bCs/>
                <w:color w:val="auto"/>
              </w:rPr>
              <w:t>6、与《国务院关于印发&lt;空气质量持续改善行动计划&gt;的通知》（国发〔2023〕24号）符合性分析</w:t>
            </w:r>
          </w:p>
          <w:p w14:paraId="6054E7FB">
            <w:pPr>
              <w:pStyle w:val="92"/>
              <w:rPr>
                <w:rFonts w:eastAsiaTheme="minorEastAsia"/>
                <w:color w:val="auto"/>
              </w:rPr>
            </w:pPr>
            <w:r>
              <w:rPr>
                <w:rFonts w:eastAsiaTheme="minorEastAsia"/>
                <w:color w:val="auto"/>
              </w:rPr>
              <w:t>表1-6与《空气质量持续改善行动计划》（国发〔2023〕24号）符合性分析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369"/>
              <w:gridCol w:w="2844"/>
              <w:gridCol w:w="703"/>
            </w:tblGrid>
            <w:tr w14:paraId="39680A75">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93" w:type="dxa"/>
                  <w:tcBorders>
                    <w:top w:val="double" w:color="auto" w:sz="2" w:space="0"/>
                    <w:left w:val="nil"/>
                    <w:bottom w:val="single" w:color="auto" w:sz="6" w:space="0"/>
                    <w:right w:val="single" w:color="auto" w:sz="6" w:space="0"/>
                  </w:tcBorders>
                  <w:vAlign w:val="center"/>
                </w:tcPr>
                <w:p w14:paraId="34547B6D">
                  <w:pPr>
                    <w:pStyle w:val="48"/>
                    <w:rPr>
                      <w:color w:val="auto"/>
                    </w:rPr>
                  </w:pPr>
                  <w:r>
                    <w:rPr>
                      <w:color w:val="auto"/>
                    </w:rPr>
                    <w:t>相关计划要求</w:t>
                  </w:r>
                </w:p>
              </w:tc>
              <w:tc>
                <w:tcPr>
                  <w:tcW w:w="3030" w:type="dxa"/>
                  <w:tcBorders>
                    <w:top w:val="double" w:color="auto" w:sz="2" w:space="0"/>
                    <w:left w:val="single" w:color="auto" w:sz="6" w:space="0"/>
                    <w:bottom w:val="single" w:color="auto" w:sz="6" w:space="0"/>
                    <w:right w:val="single" w:color="auto" w:sz="6" w:space="0"/>
                  </w:tcBorders>
                  <w:vAlign w:val="center"/>
                </w:tcPr>
                <w:p w14:paraId="280FC603">
                  <w:pPr>
                    <w:pStyle w:val="48"/>
                    <w:rPr>
                      <w:color w:val="auto"/>
                    </w:rPr>
                  </w:pPr>
                  <w:r>
                    <w:rPr>
                      <w:color w:val="auto"/>
                    </w:rPr>
                    <w:t>本项目情况</w:t>
                  </w:r>
                </w:p>
              </w:tc>
              <w:tc>
                <w:tcPr>
                  <w:tcW w:w="736" w:type="dxa"/>
                  <w:tcBorders>
                    <w:top w:val="double" w:color="auto" w:sz="2" w:space="0"/>
                    <w:left w:val="single" w:color="auto" w:sz="6" w:space="0"/>
                    <w:bottom w:val="single" w:color="auto" w:sz="6" w:space="0"/>
                    <w:right w:val="nil"/>
                  </w:tcBorders>
                  <w:vAlign w:val="center"/>
                </w:tcPr>
                <w:p w14:paraId="002C2A86">
                  <w:pPr>
                    <w:pStyle w:val="48"/>
                    <w:rPr>
                      <w:color w:val="auto"/>
                    </w:rPr>
                  </w:pPr>
                  <w:r>
                    <w:rPr>
                      <w:color w:val="auto"/>
                    </w:rPr>
                    <w:t>符合性</w:t>
                  </w:r>
                </w:p>
              </w:tc>
            </w:tr>
            <w:tr w14:paraId="42AD79D6">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60" w:hRule="atLeast"/>
                <w:jc w:val="center"/>
              </w:trPr>
              <w:tc>
                <w:tcPr>
                  <w:tcW w:w="3593" w:type="dxa"/>
                  <w:tcBorders>
                    <w:top w:val="single" w:color="auto" w:sz="6" w:space="0"/>
                    <w:left w:val="nil"/>
                    <w:bottom w:val="single" w:color="auto" w:sz="6" w:space="0"/>
                    <w:right w:val="single" w:color="auto" w:sz="6" w:space="0"/>
                  </w:tcBorders>
                  <w:vAlign w:val="center"/>
                </w:tcPr>
                <w:p w14:paraId="6765F1AF">
                  <w:pPr>
                    <w:pStyle w:val="48"/>
                    <w:rPr>
                      <w:color w:val="auto"/>
                    </w:rPr>
                  </w:pPr>
                  <w:r>
                    <w:rPr>
                      <w:color w:val="auto"/>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3030" w:type="dxa"/>
                  <w:tcBorders>
                    <w:top w:val="single" w:color="auto" w:sz="6" w:space="0"/>
                    <w:left w:val="single" w:color="auto" w:sz="6" w:space="0"/>
                    <w:bottom w:val="single" w:color="auto" w:sz="6" w:space="0"/>
                    <w:right w:val="single" w:color="auto" w:sz="6" w:space="0"/>
                  </w:tcBorders>
                  <w:vAlign w:val="center"/>
                </w:tcPr>
                <w:p w14:paraId="4CF5C43A">
                  <w:pPr>
                    <w:pStyle w:val="48"/>
                    <w:rPr>
                      <w:color w:val="auto"/>
                    </w:rPr>
                  </w:pPr>
                  <w:r>
                    <w:rPr>
                      <w:color w:val="auto"/>
                    </w:rPr>
                    <w:t>本项目不属于高耗能、高排放、低水平项目，项目符合产业政策、生态环境分区管控要求，项目按要求进行环评的编制，本项目总量控制NOx控制指标为0.4644t。不属于产能置换项目。</w:t>
                  </w:r>
                </w:p>
              </w:tc>
              <w:tc>
                <w:tcPr>
                  <w:tcW w:w="736" w:type="dxa"/>
                  <w:tcBorders>
                    <w:top w:val="single" w:color="auto" w:sz="6" w:space="0"/>
                    <w:left w:val="single" w:color="auto" w:sz="6" w:space="0"/>
                    <w:bottom w:val="single" w:color="auto" w:sz="6" w:space="0"/>
                    <w:right w:val="nil"/>
                  </w:tcBorders>
                  <w:vAlign w:val="center"/>
                </w:tcPr>
                <w:p w14:paraId="0B75D65E">
                  <w:pPr>
                    <w:pStyle w:val="48"/>
                    <w:rPr>
                      <w:color w:val="auto"/>
                    </w:rPr>
                  </w:pPr>
                  <w:r>
                    <w:rPr>
                      <w:color w:val="auto"/>
                    </w:rPr>
                    <w:t>符合</w:t>
                  </w:r>
                </w:p>
              </w:tc>
            </w:tr>
            <w:tr w14:paraId="61F69C6D">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93" w:type="dxa"/>
                  <w:tcBorders>
                    <w:top w:val="single" w:color="auto" w:sz="6" w:space="0"/>
                    <w:left w:val="nil"/>
                    <w:bottom w:val="single" w:color="auto" w:sz="6" w:space="0"/>
                    <w:right w:val="single" w:color="auto" w:sz="6" w:space="0"/>
                  </w:tcBorders>
                  <w:vAlign w:val="center"/>
                </w:tcPr>
                <w:p w14:paraId="1427EE99">
                  <w:pPr>
                    <w:pStyle w:val="48"/>
                    <w:rPr>
                      <w:color w:val="auto"/>
                    </w:rPr>
                  </w:pPr>
                  <w:r>
                    <w:rPr>
                      <w:color w:val="auto"/>
                    </w:rPr>
                    <w:t>实施工业炉窑清洁能源替代。有序推进以电代煤，积极稳妥推进以气代煤。重点区域不再新增燃料类煤气发生炉，新改扩建加热炉、热处理炉、干燥炉、熔化炉原则上采用清洁低碳能源；安全稳妥推进使用高污染燃料的工业炉窑改用工业余热、电能、天然气等；燃料类煤气发生炉实行清洁能源替代，或因地制宜采取园区（集群）集中供气、分散使用方式；逐步淘汰固定床间歇式煤气发生炉。</w:t>
                  </w:r>
                </w:p>
              </w:tc>
              <w:tc>
                <w:tcPr>
                  <w:tcW w:w="3030" w:type="dxa"/>
                  <w:tcBorders>
                    <w:top w:val="single" w:color="auto" w:sz="6" w:space="0"/>
                    <w:left w:val="single" w:color="auto" w:sz="6" w:space="0"/>
                    <w:bottom w:val="single" w:color="auto" w:sz="6" w:space="0"/>
                    <w:right w:val="single" w:color="auto" w:sz="6" w:space="0"/>
                  </w:tcBorders>
                  <w:vAlign w:val="center"/>
                </w:tcPr>
                <w:p w14:paraId="5AF90D9E">
                  <w:pPr>
                    <w:pStyle w:val="48"/>
                    <w:rPr>
                      <w:color w:val="auto"/>
                    </w:rPr>
                  </w:pPr>
                  <w:r>
                    <w:rPr>
                      <w:color w:val="auto"/>
                    </w:rPr>
                    <w:t>本项目干燥炉使用高炉煤气，无煤炭使用设备，项目不涉及高污染燃料的工业炉窑、煤气发生炉。</w:t>
                  </w:r>
                </w:p>
              </w:tc>
              <w:tc>
                <w:tcPr>
                  <w:tcW w:w="736" w:type="dxa"/>
                  <w:tcBorders>
                    <w:top w:val="single" w:color="auto" w:sz="6" w:space="0"/>
                    <w:left w:val="single" w:color="auto" w:sz="6" w:space="0"/>
                    <w:bottom w:val="single" w:color="auto" w:sz="6" w:space="0"/>
                    <w:right w:val="nil"/>
                  </w:tcBorders>
                  <w:vAlign w:val="center"/>
                </w:tcPr>
                <w:p w14:paraId="1F8C3C6B">
                  <w:pPr>
                    <w:pStyle w:val="48"/>
                    <w:rPr>
                      <w:color w:val="auto"/>
                    </w:rPr>
                  </w:pPr>
                  <w:r>
                    <w:rPr>
                      <w:color w:val="auto"/>
                    </w:rPr>
                    <w:t>符合</w:t>
                  </w:r>
                </w:p>
              </w:tc>
            </w:tr>
            <w:tr w14:paraId="4B76E540">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93" w:type="dxa"/>
                  <w:tcBorders>
                    <w:top w:val="single" w:color="auto" w:sz="6" w:space="0"/>
                    <w:left w:val="nil"/>
                    <w:bottom w:val="double" w:color="auto" w:sz="2" w:space="0"/>
                    <w:right w:val="single" w:color="auto" w:sz="6" w:space="0"/>
                  </w:tcBorders>
                  <w:vAlign w:val="center"/>
                </w:tcPr>
                <w:p w14:paraId="4CDBED58">
                  <w:pPr>
                    <w:pStyle w:val="48"/>
                    <w:rPr>
                      <w:color w:val="auto"/>
                    </w:rPr>
                  </w:pPr>
                  <w:r>
                    <w:rPr>
                      <w:color w:val="auto"/>
                    </w:rPr>
                    <w:t>确保工业企业全面稳定达标排放。推进玻璃、石灰、矿棉、有色等行业深度治理。全面开展锅炉和工业炉窑简易低效污染治理设施排查，通过清洁能源替代、升级改造、整合退出等方式实施分类处置。推进燃气锅炉低氮燃烧改造。生物质锅炉采用专用锅炉，配套布袋等高效除尘设施，禁止掺烧煤炭、生活垃圾等其他物料。推进整合小型生物质锅炉，积极引导城市建成区内生物质锅炉（含电力）超低排放改造。强化治污设施运行维护，减少非正常工况排放。重点涉气企业逐步取消烟气和含 VOCs 废气旁路，因安全生产需要无法取消的，安装在线监控系统及备用处置设施。</w:t>
                  </w:r>
                </w:p>
              </w:tc>
              <w:tc>
                <w:tcPr>
                  <w:tcW w:w="3030" w:type="dxa"/>
                  <w:tcBorders>
                    <w:top w:val="single" w:color="auto" w:sz="6" w:space="0"/>
                    <w:left w:val="single" w:color="auto" w:sz="6" w:space="0"/>
                    <w:bottom w:val="double" w:color="auto" w:sz="2" w:space="0"/>
                    <w:right w:val="single" w:color="auto" w:sz="6" w:space="0"/>
                  </w:tcBorders>
                  <w:vAlign w:val="center"/>
                </w:tcPr>
                <w:p w14:paraId="2C2D2A74">
                  <w:pPr>
                    <w:pStyle w:val="48"/>
                    <w:rPr>
                      <w:color w:val="auto"/>
                    </w:rPr>
                  </w:pPr>
                  <w:r>
                    <w:rPr>
                      <w:color w:val="auto"/>
                    </w:rPr>
                    <w:t>本项目属于废弃资源加工再利用项目，生产过程中产生的污染物主要为投料、混料、以及烘干炉排放废气，均通过环境保护措施减少污染物排放，最终达标排放。</w:t>
                  </w:r>
                </w:p>
              </w:tc>
              <w:tc>
                <w:tcPr>
                  <w:tcW w:w="736" w:type="dxa"/>
                  <w:tcBorders>
                    <w:top w:val="single" w:color="auto" w:sz="6" w:space="0"/>
                    <w:left w:val="single" w:color="auto" w:sz="6" w:space="0"/>
                    <w:bottom w:val="double" w:color="auto" w:sz="2" w:space="0"/>
                    <w:right w:val="nil"/>
                  </w:tcBorders>
                  <w:vAlign w:val="center"/>
                </w:tcPr>
                <w:p w14:paraId="5BC263AE">
                  <w:pPr>
                    <w:pStyle w:val="48"/>
                    <w:rPr>
                      <w:color w:val="auto"/>
                    </w:rPr>
                  </w:pPr>
                  <w:r>
                    <w:rPr>
                      <w:color w:val="auto"/>
                    </w:rPr>
                    <w:t>符合</w:t>
                  </w:r>
                </w:p>
              </w:tc>
            </w:tr>
          </w:tbl>
          <w:p w14:paraId="2B459654">
            <w:pPr>
              <w:pStyle w:val="65"/>
              <w:ind w:firstLine="482"/>
              <w:rPr>
                <w:rFonts w:eastAsiaTheme="minorEastAsia"/>
                <w:b/>
                <w:bCs/>
                <w:color w:val="auto"/>
              </w:rPr>
            </w:pPr>
            <w:r>
              <w:rPr>
                <w:rFonts w:eastAsiaTheme="minorEastAsia"/>
                <w:b/>
                <w:bCs/>
                <w:color w:val="auto"/>
              </w:rPr>
              <w:t>7、与《固体废物综合治理行动计划》（国务院印发国发〔2025〕14号）符合性分析</w:t>
            </w:r>
          </w:p>
          <w:p w14:paraId="27A4D255">
            <w:pPr>
              <w:pStyle w:val="92"/>
              <w:spacing w:before="156" w:beforeLines="50" w:line="240" w:lineRule="auto"/>
              <w:rPr>
                <w:rFonts w:eastAsiaTheme="minorEastAsia"/>
                <w:color w:val="auto"/>
              </w:rPr>
            </w:pPr>
            <w:r>
              <w:rPr>
                <w:rFonts w:eastAsiaTheme="minorEastAsia"/>
                <w:color w:val="auto"/>
              </w:rPr>
              <w:t>表1-7与《固体废物综合治理行动计划》（国务院印发国发〔2025〕14号）符合性分析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370"/>
              <w:gridCol w:w="2844"/>
              <w:gridCol w:w="702"/>
            </w:tblGrid>
            <w:tr w14:paraId="2BC9BFDC">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double" w:color="auto" w:sz="2" w:space="0"/>
                    <w:left w:val="nil"/>
                    <w:bottom w:val="single" w:color="auto" w:sz="6" w:space="0"/>
                    <w:right w:val="single" w:color="auto" w:sz="6" w:space="0"/>
                  </w:tcBorders>
                  <w:vAlign w:val="center"/>
                </w:tcPr>
                <w:p w14:paraId="7925DB18">
                  <w:pPr>
                    <w:pStyle w:val="48"/>
                    <w:rPr>
                      <w:color w:val="auto"/>
                    </w:rPr>
                  </w:pPr>
                  <w:r>
                    <w:rPr>
                      <w:color w:val="auto"/>
                    </w:rPr>
                    <w:t>相关计划要求</w:t>
                  </w:r>
                </w:p>
              </w:tc>
              <w:tc>
                <w:tcPr>
                  <w:tcW w:w="2848" w:type="dxa"/>
                  <w:tcBorders>
                    <w:top w:val="double" w:color="auto" w:sz="2" w:space="0"/>
                    <w:left w:val="single" w:color="auto" w:sz="6" w:space="0"/>
                    <w:bottom w:val="single" w:color="auto" w:sz="6" w:space="0"/>
                    <w:right w:val="single" w:color="auto" w:sz="6" w:space="0"/>
                  </w:tcBorders>
                  <w:vAlign w:val="center"/>
                </w:tcPr>
                <w:p w14:paraId="3C532E37">
                  <w:pPr>
                    <w:pStyle w:val="48"/>
                    <w:rPr>
                      <w:color w:val="auto"/>
                    </w:rPr>
                  </w:pPr>
                  <w:r>
                    <w:rPr>
                      <w:color w:val="auto"/>
                    </w:rPr>
                    <w:t>本项目情况</w:t>
                  </w:r>
                </w:p>
              </w:tc>
              <w:tc>
                <w:tcPr>
                  <w:tcW w:w="703" w:type="dxa"/>
                  <w:tcBorders>
                    <w:top w:val="double" w:color="auto" w:sz="2" w:space="0"/>
                    <w:left w:val="single" w:color="auto" w:sz="6" w:space="0"/>
                    <w:bottom w:val="single" w:color="auto" w:sz="6" w:space="0"/>
                    <w:right w:val="nil"/>
                  </w:tcBorders>
                  <w:vAlign w:val="center"/>
                </w:tcPr>
                <w:p w14:paraId="5E20CF9E">
                  <w:pPr>
                    <w:pStyle w:val="48"/>
                    <w:rPr>
                      <w:color w:val="auto"/>
                    </w:rPr>
                  </w:pPr>
                  <w:r>
                    <w:rPr>
                      <w:color w:val="auto"/>
                    </w:rPr>
                    <w:t>符合性</w:t>
                  </w:r>
                </w:p>
              </w:tc>
            </w:tr>
            <w:tr w14:paraId="1932FE2D">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60" w:hRule="atLeast"/>
                <w:jc w:val="center"/>
              </w:trPr>
              <w:tc>
                <w:tcPr>
                  <w:tcW w:w="3374" w:type="dxa"/>
                  <w:tcBorders>
                    <w:top w:val="single" w:color="auto" w:sz="6" w:space="0"/>
                    <w:left w:val="nil"/>
                    <w:bottom w:val="single" w:color="auto" w:sz="6" w:space="0"/>
                    <w:right w:val="single" w:color="auto" w:sz="6" w:space="0"/>
                  </w:tcBorders>
                  <w:vAlign w:val="center"/>
                </w:tcPr>
                <w:p w14:paraId="75D21E21">
                  <w:pPr>
                    <w:pStyle w:val="48"/>
                    <w:rPr>
                      <w:color w:val="auto"/>
                    </w:rPr>
                  </w:pPr>
                  <w:r>
                    <w:rPr>
                      <w:color w:val="auto"/>
                    </w:rPr>
                    <w:t>加强工业固体废物源头减量。严格落实产业、环保、节能等政策，依法依规淘汰落后产能。强化工业园区固体废物源头管控。大力推行绿色设计，支持企业改进生产工艺和装备，强化工业生产精细化管控，降低固体废物产生强度。推动重有色金属矿采选一体化建设，促进尾矿就近充填回填，原则上不再批准建设无自建矿山、无配套尾矿利用处置设施的选矿项目。推动重点行业固体废物产生量与综合消纳量逐步实现动态平衡。</w:t>
                  </w:r>
                </w:p>
              </w:tc>
              <w:tc>
                <w:tcPr>
                  <w:tcW w:w="2848" w:type="dxa"/>
                  <w:tcBorders>
                    <w:top w:val="single" w:color="auto" w:sz="6" w:space="0"/>
                    <w:left w:val="single" w:color="auto" w:sz="6" w:space="0"/>
                    <w:bottom w:val="single" w:color="auto" w:sz="6" w:space="0"/>
                    <w:right w:val="single" w:color="auto" w:sz="6" w:space="0"/>
                  </w:tcBorders>
                  <w:vAlign w:val="center"/>
                </w:tcPr>
                <w:p w14:paraId="18DAD592">
                  <w:pPr>
                    <w:pStyle w:val="48"/>
                    <w:rPr>
                      <w:color w:val="auto"/>
                    </w:rPr>
                  </w:pPr>
                  <w:r>
                    <w:rPr>
                      <w:color w:val="auto"/>
                    </w:rPr>
                    <w:t>本项目为固体废物加工再利用项目，位于朝阳县瓦房子镇工业园区中，建设目的是为园区处理部分使用锰矿石作为原料的生产企业产生的一般固废，为园区作整体的固体废物源头减量。</w:t>
                  </w:r>
                </w:p>
              </w:tc>
              <w:tc>
                <w:tcPr>
                  <w:tcW w:w="703" w:type="dxa"/>
                  <w:tcBorders>
                    <w:top w:val="single" w:color="auto" w:sz="6" w:space="0"/>
                    <w:left w:val="single" w:color="auto" w:sz="6" w:space="0"/>
                    <w:bottom w:val="single" w:color="auto" w:sz="6" w:space="0"/>
                    <w:right w:val="nil"/>
                  </w:tcBorders>
                  <w:vAlign w:val="center"/>
                </w:tcPr>
                <w:p w14:paraId="1E400600">
                  <w:pPr>
                    <w:pStyle w:val="48"/>
                    <w:rPr>
                      <w:color w:val="auto"/>
                    </w:rPr>
                  </w:pPr>
                  <w:r>
                    <w:rPr>
                      <w:color w:val="auto"/>
                    </w:rPr>
                    <w:t>符合</w:t>
                  </w:r>
                </w:p>
              </w:tc>
            </w:tr>
            <w:tr w14:paraId="7278AF9F">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single" w:color="auto" w:sz="6" w:space="0"/>
                    <w:right w:val="single" w:color="auto" w:sz="6" w:space="0"/>
                  </w:tcBorders>
                  <w:vAlign w:val="center"/>
                </w:tcPr>
                <w:p w14:paraId="544DC576">
                  <w:pPr>
                    <w:pStyle w:val="48"/>
                    <w:rPr>
                      <w:color w:val="auto"/>
                    </w:rPr>
                  </w:pPr>
                  <w:r>
                    <w:rPr>
                      <w:color w:val="auto"/>
                    </w:rPr>
                    <w:t>加强工业固体废物规范化管理。完善工业固体废物管理台账制度，强化全链条跟踪管控。推行工业固体废物分类收集贮存，防范混堆混排。禁止向生活垃圾收集设施中投放工业固体废物。严格执行工业固体废物、危险废物跨省转移审批制度。规范各类企业危险废物收集管理。</w:t>
                  </w:r>
                </w:p>
              </w:tc>
              <w:tc>
                <w:tcPr>
                  <w:tcW w:w="2848" w:type="dxa"/>
                  <w:tcBorders>
                    <w:top w:val="single" w:color="auto" w:sz="6" w:space="0"/>
                    <w:left w:val="single" w:color="auto" w:sz="6" w:space="0"/>
                    <w:bottom w:val="single" w:color="auto" w:sz="6" w:space="0"/>
                    <w:right w:val="single" w:color="auto" w:sz="6" w:space="0"/>
                  </w:tcBorders>
                  <w:vAlign w:val="center"/>
                </w:tcPr>
                <w:p w14:paraId="469D13C9">
                  <w:pPr>
                    <w:pStyle w:val="48"/>
                    <w:jc w:val="both"/>
                    <w:rPr>
                      <w:color w:val="auto"/>
                    </w:rPr>
                  </w:pPr>
                  <w:r>
                    <w:rPr>
                      <w:color w:val="auto"/>
                    </w:rPr>
                    <w:t>本项目建成后须按照《一般工业固体废物管理台账制定指南（试行）》要求，建立管理台账，全面、准确地记录一般工业固体废物种类、数量、流向、贮存、利用、处置等信息。</w:t>
                  </w:r>
                </w:p>
              </w:tc>
              <w:tc>
                <w:tcPr>
                  <w:tcW w:w="703" w:type="dxa"/>
                  <w:tcBorders>
                    <w:top w:val="single" w:color="auto" w:sz="6" w:space="0"/>
                    <w:left w:val="single" w:color="auto" w:sz="6" w:space="0"/>
                    <w:bottom w:val="single" w:color="auto" w:sz="6" w:space="0"/>
                    <w:right w:val="nil"/>
                  </w:tcBorders>
                  <w:vAlign w:val="center"/>
                </w:tcPr>
                <w:p w14:paraId="130CF0A5">
                  <w:pPr>
                    <w:pStyle w:val="48"/>
                    <w:rPr>
                      <w:color w:val="auto"/>
                    </w:rPr>
                  </w:pPr>
                  <w:r>
                    <w:rPr>
                      <w:color w:val="auto"/>
                    </w:rPr>
                    <w:t>符合</w:t>
                  </w:r>
                </w:p>
              </w:tc>
            </w:tr>
            <w:tr w14:paraId="3FF5B89C">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double" w:color="auto" w:sz="2" w:space="0"/>
                    <w:right w:val="single" w:color="auto" w:sz="6" w:space="0"/>
                  </w:tcBorders>
                  <w:vAlign w:val="center"/>
                </w:tcPr>
                <w:p w14:paraId="1AF6641F">
                  <w:pPr>
                    <w:pStyle w:val="48"/>
                    <w:rPr>
                      <w:color w:val="auto"/>
                    </w:rPr>
                  </w:pPr>
                  <w:r>
                    <w:rPr>
                      <w:color w:val="auto"/>
                    </w:rPr>
                    <w:t>加强大宗固体废弃物综合利用。提升冶炼渣、尾矿、共伴生矿、赤泥、建筑垃圾综合利用能力，加强有价组分高效提取及整体利用，因地制宜推动煤矸石多元化利用。拓宽秸秆综合利用途径，提高秸秆还田科学化、规范化水平。推进畜禽养殖废弃物资源化利用。</w:t>
                  </w:r>
                </w:p>
              </w:tc>
              <w:tc>
                <w:tcPr>
                  <w:tcW w:w="2848" w:type="dxa"/>
                  <w:tcBorders>
                    <w:top w:val="single" w:color="auto" w:sz="6" w:space="0"/>
                    <w:left w:val="single" w:color="auto" w:sz="6" w:space="0"/>
                    <w:bottom w:val="double" w:color="auto" w:sz="2" w:space="0"/>
                    <w:right w:val="single" w:color="auto" w:sz="6" w:space="0"/>
                  </w:tcBorders>
                  <w:vAlign w:val="center"/>
                </w:tcPr>
                <w:p w14:paraId="796BA863">
                  <w:pPr>
                    <w:pStyle w:val="48"/>
                    <w:rPr>
                      <w:color w:val="auto"/>
                    </w:rPr>
                  </w:pPr>
                  <w:r>
                    <w:rPr>
                      <w:color w:val="auto"/>
                    </w:rPr>
                    <w:t>本项目为固体废物加工再利用项目，使用原料为锰矿石废料，加强了固体废弃物综合利用。</w:t>
                  </w:r>
                </w:p>
              </w:tc>
              <w:tc>
                <w:tcPr>
                  <w:tcW w:w="703" w:type="dxa"/>
                  <w:tcBorders>
                    <w:top w:val="single" w:color="auto" w:sz="6" w:space="0"/>
                    <w:left w:val="single" w:color="auto" w:sz="6" w:space="0"/>
                    <w:bottom w:val="double" w:color="auto" w:sz="2" w:space="0"/>
                    <w:right w:val="nil"/>
                  </w:tcBorders>
                  <w:vAlign w:val="center"/>
                </w:tcPr>
                <w:p w14:paraId="3227E7D6">
                  <w:pPr>
                    <w:pStyle w:val="48"/>
                    <w:rPr>
                      <w:color w:val="auto"/>
                    </w:rPr>
                  </w:pPr>
                  <w:r>
                    <w:rPr>
                      <w:color w:val="auto"/>
                    </w:rPr>
                    <w:t>符合</w:t>
                  </w:r>
                </w:p>
              </w:tc>
            </w:tr>
          </w:tbl>
          <w:p w14:paraId="50B81788">
            <w:pPr>
              <w:pStyle w:val="65"/>
              <w:ind w:firstLine="482"/>
              <w:rPr>
                <w:rFonts w:eastAsiaTheme="minorEastAsia"/>
                <w:b/>
                <w:bCs/>
                <w:color w:val="auto"/>
              </w:rPr>
            </w:pPr>
            <w:r>
              <w:rPr>
                <w:rFonts w:eastAsiaTheme="minorEastAsia"/>
                <w:b/>
                <w:bCs/>
                <w:color w:val="auto"/>
              </w:rPr>
              <w:t>8、与《辽宁省深入打好污染防治攻坚战实施方案》（辽委发〔2022〕8号）符合性分析</w:t>
            </w:r>
          </w:p>
          <w:p w14:paraId="416B9499">
            <w:pPr>
              <w:pStyle w:val="92"/>
              <w:rPr>
                <w:rFonts w:eastAsiaTheme="minorEastAsia"/>
                <w:color w:val="auto"/>
              </w:rPr>
            </w:pPr>
            <w:r>
              <w:rPr>
                <w:rFonts w:eastAsiaTheme="minorEastAsia"/>
                <w:color w:val="auto"/>
              </w:rPr>
              <w:t>表1-8与《辽宁省深入打好污染防治攻坚战实施方案》符合性分析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369"/>
              <w:gridCol w:w="2844"/>
              <w:gridCol w:w="703"/>
            </w:tblGrid>
            <w:tr w14:paraId="102ACF2B">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68" w:type="dxa"/>
                  <w:tcBorders>
                    <w:top w:val="double" w:color="auto" w:sz="2" w:space="0"/>
                    <w:left w:val="nil"/>
                    <w:bottom w:val="single" w:color="auto" w:sz="6" w:space="0"/>
                    <w:right w:val="single" w:color="auto" w:sz="6" w:space="0"/>
                  </w:tcBorders>
                  <w:vAlign w:val="center"/>
                </w:tcPr>
                <w:p w14:paraId="57308367">
                  <w:pPr>
                    <w:pStyle w:val="48"/>
                    <w:rPr>
                      <w:color w:val="auto"/>
                    </w:rPr>
                  </w:pPr>
                  <w:r>
                    <w:rPr>
                      <w:color w:val="auto"/>
                    </w:rPr>
                    <w:t>相关方案要求</w:t>
                  </w:r>
                </w:p>
              </w:tc>
              <w:tc>
                <w:tcPr>
                  <w:tcW w:w="2843" w:type="dxa"/>
                  <w:tcBorders>
                    <w:top w:val="double" w:color="auto" w:sz="2" w:space="0"/>
                    <w:left w:val="single" w:color="auto" w:sz="6" w:space="0"/>
                    <w:bottom w:val="single" w:color="auto" w:sz="6" w:space="0"/>
                    <w:right w:val="single" w:color="auto" w:sz="6" w:space="0"/>
                  </w:tcBorders>
                  <w:vAlign w:val="center"/>
                </w:tcPr>
                <w:p w14:paraId="7B2DEDBE">
                  <w:pPr>
                    <w:pStyle w:val="48"/>
                    <w:rPr>
                      <w:color w:val="auto"/>
                    </w:rPr>
                  </w:pPr>
                  <w:r>
                    <w:rPr>
                      <w:color w:val="auto"/>
                    </w:rPr>
                    <w:t>本项目情况</w:t>
                  </w:r>
                </w:p>
              </w:tc>
              <w:tc>
                <w:tcPr>
                  <w:tcW w:w="703" w:type="dxa"/>
                  <w:tcBorders>
                    <w:top w:val="double" w:color="auto" w:sz="2" w:space="0"/>
                    <w:left w:val="single" w:color="auto" w:sz="6" w:space="0"/>
                    <w:bottom w:val="single" w:color="auto" w:sz="6" w:space="0"/>
                    <w:right w:val="nil"/>
                  </w:tcBorders>
                  <w:vAlign w:val="center"/>
                </w:tcPr>
                <w:p w14:paraId="2C067E5F">
                  <w:pPr>
                    <w:pStyle w:val="48"/>
                    <w:rPr>
                      <w:color w:val="auto"/>
                    </w:rPr>
                  </w:pPr>
                  <w:r>
                    <w:rPr>
                      <w:color w:val="auto"/>
                    </w:rPr>
                    <w:t>符合性</w:t>
                  </w:r>
                </w:p>
              </w:tc>
            </w:tr>
            <w:tr w14:paraId="2BA6593C">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68" w:type="dxa"/>
                  <w:tcBorders>
                    <w:top w:val="single" w:color="auto" w:sz="6" w:space="0"/>
                    <w:left w:val="nil"/>
                    <w:bottom w:val="single" w:color="auto" w:sz="6" w:space="0"/>
                    <w:right w:val="single" w:color="auto" w:sz="6" w:space="0"/>
                  </w:tcBorders>
                  <w:vAlign w:val="center"/>
                </w:tcPr>
                <w:p w14:paraId="555A5121">
                  <w:pPr>
                    <w:pStyle w:val="48"/>
                    <w:rPr>
                      <w:color w:val="auto"/>
                    </w:rPr>
                  </w:pPr>
                  <w:r>
                    <w:rPr>
                      <w:color w:val="auto"/>
                    </w:rPr>
                    <w:t>坚决遏制高耗能高排放项目盲目发展。对</w:t>
                  </w:r>
                  <w:r>
                    <w:rPr>
                      <w:rFonts w:hint="eastAsia"/>
                      <w:color w:val="auto"/>
                    </w:rPr>
                    <w:t>“</w:t>
                  </w:r>
                  <w:r>
                    <w:rPr>
                      <w:color w:val="auto"/>
                    </w:rPr>
                    <w:t>两高</w:t>
                  </w:r>
                  <w:r>
                    <w:rPr>
                      <w:rFonts w:hint="eastAsia"/>
                      <w:color w:val="auto"/>
                    </w:rPr>
                    <w:t>”</w:t>
                  </w:r>
                  <w:r>
                    <w:rPr>
                      <w:color w:val="auto"/>
                    </w:rPr>
                    <w:t>项目实行清单管理、分类处置、动态监控。严格把好新建、扩建钢铁、水泥熟料、平板玻璃、电解铝等高耗能高排放项目准入关。支持符合规定特别是生产国内短缺重要产品、有利于碳达峰碳中和目标实现的项目发展。稳妥做好存量</w:t>
                  </w:r>
                  <w:r>
                    <w:rPr>
                      <w:rFonts w:hint="eastAsia"/>
                      <w:color w:val="auto"/>
                    </w:rPr>
                    <w:t>“</w:t>
                  </w:r>
                  <w:r>
                    <w:rPr>
                      <w:color w:val="auto"/>
                    </w:rPr>
                    <w:t>两高</w:t>
                  </w:r>
                  <w:r>
                    <w:rPr>
                      <w:rFonts w:hint="eastAsia"/>
                      <w:color w:val="auto"/>
                    </w:rPr>
                    <w:t>”</w:t>
                  </w:r>
                  <w:r>
                    <w:rPr>
                      <w:color w:val="auto"/>
                    </w:rPr>
                    <w:t>项目管理，合理设置政策过渡期，积极推进有节能减排潜力的项目改造升级。强化常态化监管，坚决停批停建不符合规定的</w:t>
                  </w:r>
                  <w:r>
                    <w:rPr>
                      <w:rFonts w:hint="eastAsia"/>
                      <w:color w:val="auto"/>
                    </w:rPr>
                    <w:t>“</w:t>
                  </w:r>
                  <w:r>
                    <w:rPr>
                      <w:color w:val="auto"/>
                    </w:rPr>
                    <w:t>两高</w:t>
                  </w:r>
                  <w:r>
                    <w:rPr>
                      <w:rFonts w:hint="eastAsia"/>
                      <w:color w:val="auto"/>
                    </w:rPr>
                    <w:t>”</w:t>
                  </w:r>
                  <w:r>
                    <w:rPr>
                      <w:color w:val="auto"/>
                    </w:rPr>
                    <w:t>项目。</w:t>
                  </w:r>
                </w:p>
              </w:tc>
              <w:tc>
                <w:tcPr>
                  <w:tcW w:w="2843" w:type="dxa"/>
                  <w:tcBorders>
                    <w:top w:val="single" w:color="auto" w:sz="6" w:space="0"/>
                    <w:left w:val="single" w:color="auto" w:sz="6" w:space="0"/>
                    <w:bottom w:val="single" w:color="auto" w:sz="6" w:space="0"/>
                    <w:right w:val="single" w:color="auto" w:sz="6" w:space="0"/>
                  </w:tcBorders>
                  <w:vAlign w:val="center"/>
                </w:tcPr>
                <w:p w14:paraId="04E734C9">
                  <w:pPr>
                    <w:pStyle w:val="48"/>
                    <w:rPr>
                      <w:color w:val="auto"/>
                    </w:rPr>
                  </w:pPr>
                  <w:r>
                    <w:rPr>
                      <w:color w:val="auto"/>
                    </w:rPr>
                    <w:t>本项目属于废弃资源加工再利用项目，不属于</w:t>
                  </w:r>
                  <w:r>
                    <w:rPr>
                      <w:rFonts w:hint="eastAsia"/>
                      <w:color w:val="auto"/>
                    </w:rPr>
                    <w:t>“</w:t>
                  </w:r>
                  <w:r>
                    <w:rPr>
                      <w:color w:val="auto"/>
                    </w:rPr>
                    <w:t>两高</w:t>
                  </w:r>
                  <w:r>
                    <w:rPr>
                      <w:rFonts w:hint="eastAsia"/>
                      <w:color w:val="auto"/>
                    </w:rPr>
                    <w:t>”</w:t>
                  </w:r>
                  <w:r>
                    <w:rPr>
                      <w:color w:val="auto"/>
                    </w:rPr>
                    <w:t>项目。</w:t>
                  </w:r>
                </w:p>
              </w:tc>
              <w:tc>
                <w:tcPr>
                  <w:tcW w:w="703" w:type="dxa"/>
                  <w:tcBorders>
                    <w:top w:val="single" w:color="auto" w:sz="6" w:space="0"/>
                    <w:left w:val="single" w:color="auto" w:sz="6" w:space="0"/>
                    <w:bottom w:val="single" w:color="auto" w:sz="6" w:space="0"/>
                    <w:right w:val="nil"/>
                  </w:tcBorders>
                  <w:vAlign w:val="center"/>
                </w:tcPr>
                <w:p w14:paraId="34E0B5AC">
                  <w:pPr>
                    <w:pStyle w:val="48"/>
                    <w:rPr>
                      <w:color w:val="auto"/>
                    </w:rPr>
                  </w:pPr>
                  <w:r>
                    <w:rPr>
                      <w:color w:val="auto"/>
                    </w:rPr>
                    <w:t>符合</w:t>
                  </w:r>
                </w:p>
              </w:tc>
            </w:tr>
            <w:tr w14:paraId="04574C9D">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68" w:type="dxa"/>
                  <w:tcBorders>
                    <w:top w:val="single" w:color="auto" w:sz="6" w:space="0"/>
                    <w:left w:val="nil"/>
                    <w:bottom w:val="single" w:color="auto" w:sz="6" w:space="0"/>
                    <w:right w:val="single" w:color="auto" w:sz="6" w:space="0"/>
                  </w:tcBorders>
                  <w:vAlign w:val="center"/>
                </w:tcPr>
                <w:p w14:paraId="27BA0CCB">
                  <w:pPr>
                    <w:pStyle w:val="48"/>
                    <w:rPr>
                      <w:color w:val="auto"/>
                    </w:rPr>
                  </w:pPr>
                  <w:r>
                    <w:rPr>
                      <w:color w:val="auto"/>
                    </w:rPr>
                    <w:t>严格落实</w:t>
                  </w:r>
                  <w:r>
                    <w:rPr>
                      <w:rFonts w:hint="eastAsia"/>
                      <w:color w:val="auto"/>
                    </w:rPr>
                    <w:t>“</w:t>
                  </w:r>
                  <w:r>
                    <w:rPr>
                      <w:color w:val="auto"/>
                    </w:rPr>
                    <w:t>三线一单</w:t>
                  </w:r>
                  <w:r>
                    <w:rPr>
                      <w:rFonts w:hint="eastAsia"/>
                      <w:color w:val="auto"/>
                    </w:rPr>
                    <w:t>”</w:t>
                  </w:r>
                  <w:r>
                    <w:rPr>
                      <w:color w:val="auto"/>
                    </w:rPr>
                    <w:t>生态环境分区管控要求，优化区域生产力布局。健全以环评制度为主体的源头预防体系，严格规划环评审查和项目环评准入。开展重大经济技术政策的生态环境影响分析和重大生态环境政策的社会经济影响评估。</w:t>
                  </w:r>
                </w:p>
              </w:tc>
              <w:tc>
                <w:tcPr>
                  <w:tcW w:w="2843" w:type="dxa"/>
                  <w:tcBorders>
                    <w:top w:val="single" w:color="auto" w:sz="6" w:space="0"/>
                    <w:left w:val="single" w:color="auto" w:sz="6" w:space="0"/>
                    <w:bottom w:val="single" w:color="auto" w:sz="6" w:space="0"/>
                    <w:right w:val="single" w:color="auto" w:sz="6" w:space="0"/>
                  </w:tcBorders>
                  <w:vAlign w:val="center"/>
                </w:tcPr>
                <w:p w14:paraId="278991DA">
                  <w:pPr>
                    <w:pStyle w:val="48"/>
                    <w:rPr>
                      <w:color w:val="auto"/>
                    </w:rPr>
                  </w:pPr>
                  <w:r>
                    <w:rPr>
                      <w:color w:val="auto"/>
                    </w:rPr>
                    <w:t>根据前述分析，本项目符合</w:t>
                  </w:r>
                  <w:r>
                    <w:rPr>
                      <w:rFonts w:hint="eastAsia"/>
                      <w:color w:val="auto"/>
                    </w:rPr>
                    <w:t>“</w:t>
                  </w:r>
                  <w:r>
                    <w:rPr>
                      <w:color w:val="auto"/>
                    </w:rPr>
                    <w:t>三线一单</w:t>
                  </w:r>
                  <w:r>
                    <w:rPr>
                      <w:rFonts w:hint="eastAsia"/>
                      <w:color w:val="auto"/>
                    </w:rPr>
                    <w:t>”</w:t>
                  </w:r>
                  <w:r>
                    <w:rPr>
                      <w:color w:val="auto"/>
                    </w:rPr>
                    <w:t>生态环境分区管控要求。</w:t>
                  </w:r>
                </w:p>
              </w:tc>
              <w:tc>
                <w:tcPr>
                  <w:tcW w:w="703" w:type="dxa"/>
                  <w:tcBorders>
                    <w:top w:val="single" w:color="auto" w:sz="6" w:space="0"/>
                    <w:left w:val="single" w:color="auto" w:sz="6" w:space="0"/>
                    <w:bottom w:val="single" w:color="auto" w:sz="6" w:space="0"/>
                    <w:right w:val="nil"/>
                  </w:tcBorders>
                  <w:vAlign w:val="center"/>
                </w:tcPr>
                <w:p w14:paraId="63AD2452">
                  <w:pPr>
                    <w:pStyle w:val="48"/>
                    <w:rPr>
                      <w:color w:val="auto"/>
                    </w:rPr>
                  </w:pPr>
                  <w:r>
                    <w:rPr>
                      <w:color w:val="auto"/>
                    </w:rPr>
                    <w:t>符合</w:t>
                  </w:r>
                </w:p>
              </w:tc>
            </w:tr>
            <w:tr w14:paraId="4F3BDEDC">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68" w:type="dxa"/>
                  <w:tcBorders>
                    <w:top w:val="single" w:color="auto" w:sz="6" w:space="0"/>
                    <w:left w:val="nil"/>
                    <w:bottom w:val="double" w:color="auto" w:sz="2" w:space="0"/>
                    <w:right w:val="single" w:color="auto" w:sz="6" w:space="0"/>
                  </w:tcBorders>
                  <w:vAlign w:val="center"/>
                </w:tcPr>
                <w:p w14:paraId="2422C8F3">
                  <w:pPr>
                    <w:pStyle w:val="48"/>
                    <w:rPr>
                      <w:color w:val="auto"/>
                    </w:rPr>
                  </w:pPr>
                  <w:r>
                    <w:rPr>
                      <w:color w:val="auto"/>
                    </w:rPr>
                    <w:t>加强大气面源和噪声污染治理。强化施工、道路、堆场、裸露地面等扬尘管控，推进低尘机械化清扫作业，加</w:t>
                  </w:r>
                </w:p>
                <w:p w14:paraId="6583E8AB">
                  <w:pPr>
                    <w:pStyle w:val="48"/>
                    <w:rPr>
                      <w:color w:val="auto"/>
                    </w:rPr>
                  </w:pPr>
                  <w:r>
                    <w:rPr>
                      <w:color w:val="auto"/>
                    </w:rPr>
                    <w:t>大城市出入口、城乡结合部等城乡重要路段清扫保洁力度。加大餐饮油烟污染、恶臭异味治理力度。全面推进绿色矿山建设，开展绿色矿山建设三年行动（2022-2024年）。</w:t>
                  </w:r>
                </w:p>
              </w:tc>
              <w:tc>
                <w:tcPr>
                  <w:tcW w:w="2843" w:type="dxa"/>
                  <w:tcBorders>
                    <w:top w:val="single" w:color="auto" w:sz="6" w:space="0"/>
                    <w:left w:val="single" w:color="auto" w:sz="6" w:space="0"/>
                    <w:bottom w:val="double" w:color="auto" w:sz="2" w:space="0"/>
                    <w:right w:val="single" w:color="auto" w:sz="6" w:space="0"/>
                  </w:tcBorders>
                  <w:vAlign w:val="center"/>
                </w:tcPr>
                <w:p w14:paraId="1081D286">
                  <w:pPr>
                    <w:pStyle w:val="48"/>
                    <w:rPr>
                      <w:color w:val="auto"/>
                    </w:rPr>
                  </w:pPr>
                  <w:r>
                    <w:rPr>
                      <w:color w:val="auto"/>
                    </w:rPr>
                    <w:t>本项目租用朝阳县瓦房子镇宏兴锰矿场地；生产过程中产生的污染物主要为投料、混料、以及烘干炉排放废气，均通过环境保护措施减少污染物，最终达标排放。</w:t>
                  </w:r>
                </w:p>
              </w:tc>
              <w:tc>
                <w:tcPr>
                  <w:tcW w:w="703" w:type="dxa"/>
                  <w:tcBorders>
                    <w:top w:val="single" w:color="auto" w:sz="6" w:space="0"/>
                    <w:left w:val="single" w:color="auto" w:sz="6" w:space="0"/>
                    <w:bottom w:val="double" w:color="auto" w:sz="2" w:space="0"/>
                    <w:right w:val="nil"/>
                  </w:tcBorders>
                  <w:vAlign w:val="center"/>
                </w:tcPr>
                <w:p w14:paraId="5F760F75">
                  <w:pPr>
                    <w:pStyle w:val="48"/>
                    <w:rPr>
                      <w:color w:val="auto"/>
                    </w:rPr>
                  </w:pPr>
                  <w:r>
                    <w:rPr>
                      <w:color w:val="auto"/>
                    </w:rPr>
                    <w:t>符合</w:t>
                  </w:r>
                </w:p>
              </w:tc>
            </w:tr>
          </w:tbl>
          <w:p w14:paraId="46E17237">
            <w:pPr>
              <w:pStyle w:val="65"/>
              <w:ind w:firstLine="482"/>
              <w:rPr>
                <w:rFonts w:eastAsiaTheme="minorEastAsia"/>
                <w:b/>
                <w:bCs/>
                <w:color w:val="auto"/>
              </w:rPr>
            </w:pPr>
            <w:r>
              <w:rPr>
                <w:rFonts w:eastAsiaTheme="minorEastAsia"/>
                <w:b/>
                <w:bCs/>
                <w:color w:val="auto"/>
              </w:rPr>
              <w:t>9、与《朝阳市空气质量持续改善行动实施方案》（朝政办发[2024]46号）符合性分析</w:t>
            </w:r>
          </w:p>
          <w:p w14:paraId="51E78F15">
            <w:pPr>
              <w:pStyle w:val="92"/>
              <w:rPr>
                <w:rFonts w:eastAsiaTheme="minorEastAsia"/>
                <w:color w:val="auto"/>
              </w:rPr>
            </w:pPr>
            <w:r>
              <w:rPr>
                <w:rFonts w:eastAsiaTheme="minorEastAsia"/>
                <w:color w:val="auto"/>
              </w:rPr>
              <w:t>表1-9与《朝阳市空气质量持续改善行动实施方案》符合性分析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11"/>
              <w:gridCol w:w="1363"/>
              <w:gridCol w:w="842"/>
            </w:tblGrid>
            <w:tr w14:paraId="0C05B17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09" w:type="dxa"/>
                  <w:vAlign w:val="center"/>
                </w:tcPr>
                <w:p w14:paraId="3B68F012">
                  <w:pPr>
                    <w:pStyle w:val="48"/>
                    <w:rPr>
                      <w:color w:val="auto"/>
                    </w:rPr>
                  </w:pPr>
                  <w:r>
                    <w:rPr>
                      <w:color w:val="auto"/>
                    </w:rPr>
                    <w:t>相关方案要求</w:t>
                  </w:r>
                </w:p>
              </w:tc>
              <w:tc>
                <w:tcPr>
                  <w:tcW w:w="1363" w:type="dxa"/>
                  <w:vAlign w:val="center"/>
                </w:tcPr>
                <w:p w14:paraId="43CEBB67">
                  <w:pPr>
                    <w:pStyle w:val="48"/>
                    <w:rPr>
                      <w:color w:val="auto"/>
                    </w:rPr>
                  </w:pPr>
                  <w:r>
                    <w:rPr>
                      <w:color w:val="auto"/>
                    </w:rPr>
                    <w:t>本项目情况</w:t>
                  </w:r>
                </w:p>
              </w:tc>
              <w:tc>
                <w:tcPr>
                  <w:tcW w:w="842" w:type="dxa"/>
                  <w:vAlign w:val="center"/>
                </w:tcPr>
                <w:p w14:paraId="6CF84897">
                  <w:pPr>
                    <w:pStyle w:val="48"/>
                    <w:rPr>
                      <w:color w:val="auto"/>
                    </w:rPr>
                  </w:pPr>
                  <w:r>
                    <w:rPr>
                      <w:color w:val="auto"/>
                    </w:rPr>
                    <w:t>符合性</w:t>
                  </w:r>
                </w:p>
              </w:tc>
            </w:tr>
            <w:tr w14:paraId="2E697BB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709" w:type="dxa"/>
                  <w:vAlign w:val="center"/>
                </w:tcPr>
                <w:p w14:paraId="51759EDC">
                  <w:pPr>
                    <w:pStyle w:val="48"/>
                    <w:rPr>
                      <w:color w:val="auto"/>
                    </w:rPr>
                  </w:pPr>
                  <w:r>
                    <w:rPr>
                      <w:color w:val="auto"/>
                    </w:rPr>
                    <w:t>推动优化产业结构和布局。坚决遏制高耗能、高排放、低水平项目盲目上马。新改扩建项目必须落实国家产业规划、生态环境分区管控方案、碳排放达峰目标等相关要求。有序推动高炉—转炉长流程炼钢转型为电炉短流程炼钢，到2025年，废钢占炼钢原料比重达到15%以上。实施</w:t>
                  </w:r>
                  <w:r>
                    <w:rPr>
                      <w:rFonts w:hint="eastAsia"/>
                      <w:color w:val="auto"/>
                    </w:rPr>
                    <w:t>“</w:t>
                  </w:r>
                  <w:r>
                    <w:rPr>
                      <w:color w:val="auto"/>
                    </w:rPr>
                    <w:t>以钢定焦</w:t>
                  </w:r>
                  <w:r>
                    <w:rPr>
                      <w:rFonts w:hint="eastAsia"/>
                      <w:color w:val="auto"/>
                    </w:rPr>
                    <w:t>”</w:t>
                  </w:r>
                  <w:r>
                    <w:rPr>
                      <w:color w:val="auto"/>
                    </w:rPr>
                    <w:t>，炼焦产能与长流程炼钢产能比控制在0.4左右。开展粗钢产量目标调控，高标准完成粗钢产量压减任务。严格落实《产业结构调整指导目录（2024年本）》，加快退出工业重点行业落后产能，推动重点领域设备更新升级和工艺流程优化改造，加快淘汰落后低效设备、超期服役老旧设备。</w:t>
                  </w:r>
                </w:p>
              </w:tc>
              <w:tc>
                <w:tcPr>
                  <w:tcW w:w="1363" w:type="dxa"/>
                  <w:vAlign w:val="center"/>
                </w:tcPr>
                <w:p w14:paraId="285C3118">
                  <w:pPr>
                    <w:pStyle w:val="48"/>
                    <w:rPr>
                      <w:color w:val="auto"/>
                    </w:rPr>
                  </w:pPr>
                  <w:r>
                    <w:rPr>
                      <w:color w:val="auto"/>
                    </w:rPr>
                    <w:t>本项目不属于高耗能、高排放、低水平项目；且项目符合国家产业规划、生态环境分区管控方案等要求。</w:t>
                  </w:r>
                </w:p>
              </w:tc>
              <w:tc>
                <w:tcPr>
                  <w:tcW w:w="842" w:type="dxa"/>
                  <w:vAlign w:val="center"/>
                </w:tcPr>
                <w:p w14:paraId="73D43105">
                  <w:pPr>
                    <w:pStyle w:val="48"/>
                    <w:rPr>
                      <w:color w:val="auto"/>
                    </w:rPr>
                  </w:pPr>
                  <w:r>
                    <w:rPr>
                      <w:color w:val="auto"/>
                    </w:rPr>
                    <w:t>符合</w:t>
                  </w:r>
                </w:p>
              </w:tc>
            </w:tr>
            <w:tr w14:paraId="1C3B1C8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4709" w:type="dxa"/>
                  <w:vAlign w:val="center"/>
                </w:tcPr>
                <w:p w14:paraId="1FBBC85D">
                  <w:pPr>
                    <w:pStyle w:val="48"/>
                    <w:rPr>
                      <w:color w:val="auto"/>
                    </w:rPr>
                  </w:pPr>
                  <w:r>
                    <w:rPr>
                      <w:color w:val="auto"/>
                    </w:rPr>
                    <w:t>推动产业绿色低碳发展。铸造、膨润土、陶瓷、有色金属、化工等制造业集中的县（市）区，2025年底前制定产业集群发展规划。新建燃煤发电、钢铁、焦化、水泥项目及65蒸吨/小时以上燃煤锅炉应满足超低排放要求。以工业园区为重点，开展低效失效治理设施、废气排放旁路、无组织放散、物料露天堆放等突出环境问题排查整治。开展汽修、石材加工、废旧资源再生利用等行业污染问题排查整治。进一步排查整治不符合城市建设规划、行业发展规划、生态环境功能定位的重污染企业，严防</w:t>
                  </w:r>
                  <w:r>
                    <w:rPr>
                      <w:rFonts w:hint="eastAsia"/>
                      <w:color w:val="auto"/>
                    </w:rPr>
                    <w:t>“</w:t>
                  </w:r>
                  <w:r>
                    <w:rPr>
                      <w:color w:val="auto"/>
                    </w:rPr>
                    <w:t>散乱污</w:t>
                  </w:r>
                  <w:r>
                    <w:rPr>
                      <w:rFonts w:hint="eastAsia"/>
                      <w:color w:val="auto"/>
                    </w:rPr>
                    <w:t>”</w:t>
                  </w:r>
                  <w:r>
                    <w:rPr>
                      <w:color w:val="auto"/>
                    </w:rPr>
                    <w:t>企业反弹。积极创建绿色工厂、绿色工业园区。推动绿色环保产业健康发展。</w:t>
                  </w:r>
                </w:p>
              </w:tc>
              <w:tc>
                <w:tcPr>
                  <w:tcW w:w="1363" w:type="dxa"/>
                  <w:vAlign w:val="center"/>
                </w:tcPr>
                <w:p w14:paraId="02026A0F">
                  <w:pPr>
                    <w:pStyle w:val="48"/>
                    <w:rPr>
                      <w:color w:val="auto"/>
                    </w:rPr>
                  </w:pPr>
                  <w:r>
                    <w:rPr>
                      <w:color w:val="auto"/>
                    </w:rPr>
                    <w:t>根据前述分析，本项目符合《朝阳县国土空间总体规划（2021-2035）》以及辽宁省、朝阳市</w:t>
                  </w:r>
                  <w:r>
                    <w:rPr>
                      <w:rFonts w:hint="eastAsia"/>
                      <w:color w:val="auto"/>
                    </w:rPr>
                    <w:t>“</w:t>
                  </w:r>
                  <w:r>
                    <w:rPr>
                      <w:color w:val="auto"/>
                    </w:rPr>
                    <w:t>十四五</w:t>
                  </w:r>
                  <w:r>
                    <w:rPr>
                      <w:rFonts w:hint="eastAsia"/>
                      <w:color w:val="auto"/>
                    </w:rPr>
                    <w:t>”</w:t>
                  </w:r>
                  <w:r>
                    <w:rPr>
                      <w:color w:val="auto"/>
                    </w:rPr>
                    <w:t>生态环境保护规划。</w:t>
                  </w:r>
                </w:p>
              </w:tc>
              <w:tc>
                <w:tcPr>
                  <w:tcW w:w="842" w:type="dxa"/>
                  <w:vAlign w:val="center"/>
                </w:tcPr>
                <w:p w14:paraId="31AB85DC">
                  <w:pPr>
                    <w:pStyle w:val="48"/>
                    <w:rPr>
                      <w:color w:val="auto"/>
                    </w:rPr>
                  </w:pPr>
                  <w:r>
                    <w:rPr>
                      <w:color w:val="auto"/>
                    </w:rPr>
                    <w:t>符合</w:t>
                  </w:r>
                </w:p>
              </w:tc>
            </w:tr>
            <w:tr w14:paraId="47D67F8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4709" w:type="dxa"/>
                  <w:vAlign w:val="center"/>
                </w:tcPr>
                <w:p w14:paraId="22C2E640">
                  <w:pPr>
                    <w:pStyle w:val="48"/>
                    <w:rPr>
                      <w:color w:val="auto"/>
                    </w:rPr>
                  </w:pPr>
                  <w:r>
                    <w:rPr>
                      <w:color w:val="auto"/>
                    </w:rPr>
                    <w:t>大力发展新能源和清洁能源。原则上不再新增自备燃煤机组，支持自备燃煤机组实施清洁能源替代。加快推进风电、光伏、抽水蓄能、多能互补和氢能产业等重大项目建设。到2025年，全市清洁能源装机达到800万千瓦，装机占比达到75%，清洁能源发电量达到100亿千瓦时，发电占比达到65%，非化石能源消费比重、电能占终端能源消费比重稳步提高，达到省政府下达任务要求。稳步实施工业炉窑清洁能源替代，在用电、气源充分保障的前提下，有序推进以电代煤，积极稳妥推进以气代煤。</w:t>
                  </w:r>
                </w:p>
              </w:tc>
              <w:tc>
                <w:tcPr>
                  <w:tcW w:w="1363" w:type="dxa"/>
                  <w:vAlign w:val="center"/>
                </w:tcPr>
                <w:p w14:paraId="2A07F25A">
                  <w:pPr>
                    <w:pStyle w:val="48"/>
                    <w:rPr>
                      <w:color w:val="auto"/>
                    </w:rPr>
                  </w:pPr>
                  <w:r>
                    <w:rPr>
                      <w:color w:val="auto"/>
                    </w:rPr>
                    <w:t>本项目烘干炉使用高炉煤气，无设备使用煤炭。</w:t>
                  </w:r>
                </w:p>
              </w:tc>
              <w:tc>
                <w:tcPr>
                  <w:tcW w:w="842" w:type="dxa"/>
                  <w:vAlign w:val="center"/>
                </w:tcPr>
                <w:p w14:paraId="0DE93D04">
                  <w:pPr>
                    <w:pStyle w:val="48"/>
                    <w:rPr>
                      <w:color w:val="auto"/>
                    </w:rPr>
                  </w:pPr>
                  <w:r>
                    <w:rPr>
                      <w:color w:val="auto"/>
                    </w:rPr>
                    <w:t>符合</w:t>
                  </w:r>
                </w:p>
              </w:tc>
            </w:tr>
            <w:tr w14:paraId="6509073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4709" w:type="dxa"/>
                  <w:vAlign w:val="center"/>
                </w:tcPr>
                <w:p w14:paraId="0AE6EC95">
                  <w:pPr>
                    <w:pStyle w:val="48"/>
                    <w:rPr>
                      <w:color w:val="auto"/>
                    </w:rPr>
                  </w:pPr>
                  <w:r>
                    <w:rPr>
                      <w:color w:val="auto"/>
                    </w:rPr>
                    <w:t>加快提升机动车清洁化水平。在火电、钢铁、焦化、有色等行业和物流园区推广新能源或国六排放标准中重型货车，发展零排放货运车队。到2025年，大宗货物清洁方式运输比例达到省政府下达任务要求。强化对年检机构的监管执法，加大重型柴油货车路检路查和入户检查力度，严格低排放区管控，严厉打击检验机构弄虚作假、排放超标车辆违规上路、高排放车辆违规驶入低排放控制区等违法行为。</w:t>
                  </w:r>
                </w:p>
              </w:tc>
              <w:tc>
                <w:tcPr>
                  <w:tcW w:w="1363" w:type="dxa"/>
                  <w:vAlign w:val="center"/>
                </w:tcPr>
                <w:p w14:paraId="580ECCBF">
                  <w:pPr>
                    <w:pStyle w:val="48"/>
                    <w:rPr>
                      <w:color w:val="auto"/>
                    </w:rPr>
                  </w:pPr>
                  <w:r>
                    <w:rPr>
                      <w:color w:val="auto"/>
                    </w:rPr>
                    <w:t>本项目使用新能源或国六排放标准中重型货车进行运输。</w:t>
                  </w:r>
                </w:p>
              </w:tc>
              <w:tc>
                <w:tcPr>
                  <w:tcW w:w="842" w:type="dxa"/>
                  <w:vAlign w:val="center"/>
                </w:tcPr>
                <w:p w14:paraId="4AD19334">
                  <w:pPr>
                    <w:pStyle w:val="48"/>
                    <w:rPr>
                      <w:color w:val="auto"/>
                    </w:rPr>
                  </w:pPr>
                  <w:r>
                    <w:rPr>
                      <w:color w:val="auto"/>
                    </w:rPr>
                    <w:t>符合</w:t>
                  </w:r>
                </w:p>
              </w:tc>
            </w:tr>
            <w:tr w14:paraId="0F9CA53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709" w:type="dxa"/>
                  <w:vAlign w:val="center"/>
                </w:tcPr>
                <w:p w14:paraId="26675E5E">
                  <w:pPr>
                    <w:pStyle w:val="48"/>
                    <w:rPr>
                      <w:color w:val="auto"/>
                    </w:rPr>
                  </w:pPr>
                  <w:r>
                    <w:rPr>
                      <w:color w:val="auto"/>
                    </w:rPr>
                    <w:t>强化扬尘污染综合治理。常态化开展施工场地、工业企业堆场料场和城市道路、裸地扬尘污染综合治理。将扬尘污染防治费用纳入工程造价。加强建筑工地</w:t>
                  </w:r>
                  <w:r>
                    <w:rPr>
                      <w:rFonts w:hint="eastAsia"/>
                      <w:color w:val="auto"/>
                    </w:rPr>
                    <w:t>“</w:t>
                  </w:r>
                  <w:r>
                    <w:rPr>
                      <w:color w:val="auto"/>
                    </w:rPr>
                    <w:t>六个百分百</w:t>
                  </w:r>
                  <w:r>
                    <w:rPr>
                      <w:rFonts w:hint="eastAsia"/>
                      <w:color w:val="auto"/>
                    </w:rPr>
                    <w:t>”</w:t>
                  </w:r>
                  <w:r>
                    <w:rPr>
                      <w:color w:val="auto"/>
                    </w:rPr>
                    <w:t>监管，严格落实施工扬尘防治措施公示制度。合理规划道路施工作业时间和作业面，严格落实产尘作业洒水抑尘措施，沟槽回填后及时洒水、覆盖，有效降低扬尘污染。加强市区裸地硬化或绿化，清理取缔各类违规堆场。强化渣土车监管，防止带泥土上路。加大执法监督力度，强化工业企业堆场料场扬尘防控。加强城市道路机械化清扫，加大重点区域、城市出入口、施工工地周边道路冲洗与机扫联合作业，严禁道路积尘。主城区道路机械化清扫率达到80%左右，县级建成区道路机械化清扫率达到70%左右。持续推进装配式建筑发展，到2025年，装配式建筑占新建建筑面积比例达到30%。</w:t>
                  </w:r>
                </w:p>
              </w:tc>
              <w:tc>
                <w:tcPr>
                  <w:tcW w:w="1363" w:type="dxa"/>
                  <w:vAlign w:val="center"/>
                </w:tcPr>
                <w:p w14:paraId="669C0042">
                  <w:pPr>
                    <w:pStyle w:val="48"/>
                    <w:rPr>
                      <w:color w:val="auto"/>
                    </w:rPr>
                  </w:pPr>
                  <w:r>
                    <w:rPr>
                      <w:color w:val="auto"/>
                    </w:rPr>
                    <w:t>本项目租用朝阳县瓦房子镇宏兴锰矿场地，性质为工业用地；生产过程中产生的污染物主要为投料、混料、以及烘干炉排放废气，均通过环境保护措施减少污染物，最终达标排放。</w:t>
                  </w:r>
                </w:p>
              </w:tc>
              <w:tc>
                <w:tcPr>
                  <w:tcW w:w="842" w:type="dxa"/>
                  <w:vAlign w:val="center"/>
                </w:tcPr>
                <w:p w14:paraId="09C2C217">
                  <w:pPr>
                    <w:pStyle w:val="48"/>
                    <w:rPr>
                      <w:color w:val="auto"/>
                    </w:rPr>
                  </w:pPr>
                  <w:r>
                    <w:rPr>
                      <w:color w:val="auto"/>
                    </w:rPr>
                    <w:t>符合</w:t>
                  </w:r>
                </w:p>
              </w:tc>
            </w:tr>
          </w:tbl>
          <w:p w14:paraId="077B76BE">
            <w:pPr>
              <w:pStyle w:val="65"/>
              <w:ind w:firstLine="480"/>
              <w:rPr>
                <w:rFonts w:eastAsiaTheme="minorEastAsia"/>
                <w:color w:val="auto"/>
              </w:rPr>
            </w:pPr>
            <w:r>
              <w:rPr>
                <w:rFonts w:eastAsiaTheme="minorEastAsia"/>
                <w:color w:val="auto"/>
              </w:rPr>
              <w:t>10、与《辽宁省科尔沁沙地歼灭战和荒漠化综合防治行动方案（2023—2030年）》符合性分析</w:t>
            </w:r>
          </w:p>
          <w:p w14:paraId="2687143E">
            <w:pPr>
              <w:pStyle w:val="92"/>
              <w:spacing w:before="156" w:beforeLines="50" w:line="240" w:lineRule="auto"/>
              <w:rPr>
                <w:rFonts w:eastAsiaTheme="minorEastAsia"/>
                <w:color w:val="auto"/>
              </w:rPr>
            </w:pPr>
            <w:r>
              <w:rPr>
                <w:rFonts w:eastAsiaTheme="minorEastAsia"/>
                <w:color w:val="auto"/>
              </w:rPr>
              <w:t>表1-10与《辽宁省科尔沁沙地歼灭战和荒漠化综合防治行动方案（2023—2030年）》符合性分析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1963"/>
              <w:gridCol w:w="842"/>
            </w:tblGrid>
            <w:tr w14:paraId="577ABF2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110" w:type="dxa"/>
                  <w:tcBorders>
                    <w:top w:val="double" w:color="auto" w:sz="2" w:space="0"/>
                    <w:left w:val="nil"/>
                    <w:bottom w:val="single" w:color="auto" w:sz="4" w:space="0"/>
                    <w:right w:val="single" w:color="auto" w:sz="4" w:space="0"/>
                  </w:tcBorders>
                  <w:vAlign w:val="center"/>
                </w:tcPr>
                <w:p w14:paraId="2720515C">
                  <w:pPr>
                    <w:pStyle w:val="48"/>
                    <w:rPr>
                      <w:color w:val="auto"/>
                    </w:rPr>
                  </w:pPr>
                  <w:r>
                    <w:rPr>
                      <w:color w:val="auto"/>
                    </w:rPr>
                    <w:t>相关方案要求</w:t>
                  </w:r>
                </w:p>
              </w:tc>
              <w:tc>
                <w:tcPr>
                  <w:tcW w:w="1962" w:type="dxa"/>
                  <w:tcBorders>
                    <w:top w:val="double" w:color="auto" w:sz="2" w:space="0"/>
                    <w:left w:val="single" w:color="auto" w:sz="4" w:space="0"/>
                    <w:bottom w:val="single" w:color="auto" w:sz="4" w:space="0"/>
                    <w:right w:val="single" w:color="auto" w:sz="4" w:space="0"/>
                  </w:tcBorders>
                  <w:vAlign w:val="center"/>
                </w:tcPr>
                <w:p w14:paraId="1DDE112A">
                  <w:pPr>
                    <w:pStyle w:val="48"/>
                    <w:rPr>
                      <w:color w:val="auto"/>
                    </w:rPr>
                  </w:pPr>
                  <w:r>
                    <w:rPr>
                      <w:color w:val="auto"/>
                    </w:rPr>
                    <w:t>本项目情况</w:t>
                  </w:r>
                </w:p>
              </w:tc>
              <w:tc>
                <w:tcPr>
                  <w:tcW w:w="842" w:type="dxa"/>
                  <w:tcBorders>
                    <w:top w:val="double" w:color="auto" w:sz="2" w:space="0"/>
                    <w:left w:val="single" w:color="auto" w:sz="4" w:space="0"/>
                    <w:bottom w:val="single" w:color="auto" w:sz="4" w:space="0"/>
                    <w:right w:val="nil"/>
                  </w:tcBorders>
                  <w:vAlign w:val="center"/>
                </w:tcPr>
                <w:p w14:paraId="6B452A75">
                  <w:pPr>
                    <w:pStyle w:val="48"/>
                    <w:rPr>
                      <w:color w:val="auto"/>
                    </w:rPr>
                  </w:pPr>
                  <w:r>
                    <w:rPr>
                      <w:color w:val="auto"/>
                    </w:rPr>
                    <w:t>符合性</w:t>
                  </w:r>
                </w:p>
              </w:tc>
            </w:tr>
            <w:tr w14:paraId="44092A2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110" w:type="dxa"/>
                  <w:tcBorders>
                    <w:top w:val="single" w:color="auto" w:sz="4" w:space="0"/>
                    <w:left w:val="nil"/>
                    <w:bottom w:val="double" w:color="auto" w:sz="2" w:space="0"/>
                    <w:right w:val="single" w:color="auto" w:sz="4" w:space="0"/>
                  </w:tcBorders>
                  <w:vAlign w:val="center"/>
                </w:tcPr>
                <w:p w14:paraId="1B04A76B">
                  <w:pPr>
                    <w:pStyle w:val="48"/>
                    <w:ind w:firstLine="420" w:firstLineChars="200"/>
                    <w:jc w:val="both"/>
                    <w:rPr>
                      <w:color w:val="auto"/>
                    </w:rPr>
                  </w:pPr>
                  <w:r>
                    <w:rPr>
                      <w:color w:val="auto"/>
                    </w:rPr>
                    <w:t>明确了指导思想和基本原则。依据整体工作安排，科学量化目标任务，分阶段提出了近期目标（2025年）和远期目标（2030年）。到2030年，全面打赢科尔沁沙地歼灭战，荒漠化综合防治取得决定性进展，区域生态系统稳定性显著提高。</w:t>
                  </w:r>
                </w:p>
                <w:p w14:paraId="1C9782B3">
                  <w:pPr>
                    <w:pStyle w:val="48"/>
                    <w:ind w:firstLine="420" w:firstLineChars="200"/>
                    <w:jc w:val="both"/>
                    <w:rPr>
                      <w:color w:val="auto"/>
                    </w:rPr>
                  </w:pPr>
                  <w:r>
                    <w:rPr>
                      <w:color w:val="auto"/>
                    </w:rPr>
                    <w:t>一是持续提升植被综合盖度。2030年现有沙化林草用地植被综合盖度达到80%以上。</w:t>
                  </w:r>
                </w:p>
                <w:p w14:paraId="7B7DC3CC">
                  <w:pPr>
                    <w:pStyle w:val="48"/>
                    <w:ind w:firstLine="420" w:firstLineChars="200"/>
                    <w:jc w:val="both"/>
                    <w:rPr>
                      <w:color w:val="auto"/>
                    </w:rPr>
                  </w:pPr>
                  <w:r>
                    <w:rPr>
                      <w:color w:val="auto"/>
                    </w:rPr>
                    <w:t>二是加大沙化耕地治理力度。对具备灌溉条件的沙化荒漠化耕地，农田防护林配置率2030年不低于70%；沙化耕地治理覆盖率2030年达到100%。</w:t>
                  </w:r>
                </w:p>
                <w:p w14:paraId="22CD60D9">
                  <w:pPr>
                    <w:pStyle w:val="48"/>
                    <w:ind w:firstLine="420" w:firstLineChars="200"/>
                    <w:jc w:val="both"/>
                    <w:rPr>
                      <w:color w:val="auto"/>
                    </w:rPr>
                  </w:pPr>
                  <w:r>
                    <w:rPr>
                      <w:color w:val="auto"/>
                    </w:rPr>
                    <w:t>三是提高荒漠化林草用地植被综合覆盖度。2030年达到70%以上。</w:t>
                  </w:r>
                </w:p>
                <w:p w14:paraId="3C092280">
                  <w:pPr>
                    <w:pStyle w:val="48"/>
                    <w:ind w:firstLine="420" w:firstLineChars="200"/>
                    <w:jc w:val="both"/>
                    <w:rPr>
                      <w:color w:val="auto"/>
                    </w:rPr>
                  </w:pPr>
                  <w:r>
                    <w:rPr>
                      <w:color w:val="auto"/>
                    </w:rPr>
                    <w:t>四是合理利用水资源。区域水土保持率目标值2030年为77.68%。10条重点河流15个控制断面的生态流量保证率不低于90%，生态水量保证率不低于75%。</w:t>
                  </w:r>
                </w:p>
                <w:p w14:paraId="457D4EC8">
                  <w:pPr>
                    <w:pStyle w:val="48"/>
                    <w:ind w:firstLine="420" w:firstLineChars="200"/>
                    <w:jc w:val="both"/>
                    <w:rPr>
                      <w:color w:val="auto"/>
                    </w:rPr>
                  </w:pPr>
                  <w:r>
                    <w:rPr>
                      <w:color w:val="auto"/>
                    </w:rPr>
                    <w:t>五是扭转林草资源保护形势。2030年林草资源保护形势实现根本性扭转，建立完善的林草资源保护长效机制。</w:t>
                  </w:r>
                </w:p>
                <w:p w14:paraId="73443707">
                  <w:pPr>
                    <w:pStyle w:val="48"/>
                    <w:ind w:firstLine="420" w:firstLineChars="200"/>
                    <w:jc w:val="both"/>
                    <w:rPr>
                      <w:color w:val="auto"/>
                    </w:rPr>
                  </w:pPr>
                  <w:r>
                    <w:rPr>
                      <w:color w:val="auto"/>
                    </w:rPr>
                    <w:t>六是推广应用绿色惠民模式。新能源开发、生态修复和产业发展相结合的绿色惠民模式在2030年得到广泛应用。</w:t>
                  </w:r>
                </w:p>
                <w:p w14:paraId="1B0008B9">
                  <w:pPr>
                    <w:pStyle w:val="48"/>
                    <w:ind w:firstLine="420" w:firstLineChars="200"/>
                    <w:jc w:val="both"/>
                    <w:rPr>
                      <w:color w:val="auto"/>
                    </w:rPr>
                  </w:pPr>
                  <w:r>
                    <w:rPr>
                      <w:color w:val="auto"/>
                    </w:rPr>
                    <w:t>科尔沁沙地歼灭战攻坚区。包括沈阳市、阜新市和朝阳市的康平县、阜蒙县、彰武县、建平县、北票市5个县（市）。沙化土地面积427万亩，占全省沙化土地面积的63.4%。主要以沙化土地全面治理为重点，实施退化林草修复、沙化耕地治理和小流域综合治理等，实现治理全覆盖。</w:t>
                  </w:r>
                </w:p>
                <w:p w14:paraId="6B5B5A60">
                  <w:pPr>
                    <w:pStyle w:val="48"/>
                    <w:ind w:firstLine="420" w:firstLineChars="200"/>
                    <w:jc w:val="both"/>
                    <w:rPr>
                      <w:color w:val="auto"/>
                    </w:rPr>
                  </w:pPr>
                  <w:r>
                    <w:rPr>
                      <w:color w:val="auto"/>
                    </w:rPr>
                    <w:t>荒漠化综合防治区。包括朝阳市的双塔区、龙城区、朝阳县、建平县、喀左县、北票市、凌源市7个县（市、区，建平县、北票市与科尔沁沙地歼灭战攻坚区重叠）。荒漠化土地总面积742.53万亩。加强以水土保持林草建设为主的综合治理，提升植被综合盖度，防止水土流失，改善生态环境，有效遏制土地荒漠化。</w:t>
                  </w:r>
                </w:p>
              </w:tc>
              <w:tc>
                <w:tcPr>
                  <w:tcW w:w="1962" w:type="dxa"/>
                  <w:tcBorders>
                    <w:top w:val="single" w:color="auto" w:sz="4" w:space="0"/>
                    <w:left w:val="single" w:color="auto" w:sz="4" w:space="0"/>
                    <w:bottom w:val="double" w:color="auto" w:sz="2" w:space="0"/>
                    <w:right w:val="single" w:color="auto" w:sz="4" w:space="0"/>
                  </w:tcBorders>
                  <w:vAlign w:val="center"/>
                </w:tcPr>
                <w:p w14:paraId="2AA7056B">
                  <w:pPr>
                    <w:pStyle w:val="48"/>
                    <w:rPr>
                      <w:color w:val="auto"/>
                    </w:rPr>
                  </w:pPr>
                  <w:r>
                    <w:rPr>
                      <w:color w:val="auto"/>
                    </w:rPr>
                    <w:t>本项目位于辽宁省朝阳市朝阳县瓦房子镇上三家子村（朝阳县瓦房子镇宏兴锰矿厂区内），属于科尔沁沙地歼灭战荒漠化综合防治区，运营过程中强化环境绿化建设生态厂区，绿化应见缝插针，注意边角结合部的绿化，采取立体绿化，以起到防沙治沙调节气候、美化环境、防尘、降噪的目的。</w:t>
                  </w:r>
                </w:p>
              </w:tc>
              <w:tc>
                <w:tcPr>
                  <w:tcW w:w="842" w:type="dxa"/>
                  <w:tcBorders>
                    <w:top w:val="single" w:color="auto" w:sz="4" w:space="0"/>
                    <w:left w:val="single" w:color="auto" w:sz="4" w:space="0"/>
                    <w:bottom w:val="double" w:color="auto" w:sz="2" w:space="0"/>
                    <w:right w:val="nil"/>
                  </w:tcBorders>
                  <w:vAlign w:val="center"/>
                </w:tcPr>
                <w:p w14:paraId="6487AD1D">
                  <w:pPr>
                    <w:pStyle w:val="48"/>
                    <w:rPr>
                      <w:color w:val="auto"/>
                    </w:rPr>
                  </w:pPr>
                  <w:r>
                    <w:rPr>
                      <w:color w:val="auto"/>
                    </w:rPr>
                    <w:t>符合</w:t>
                  </w:r>
                </w:p>
              </w:tc>
            </w:tr>
          </w:tbl>
          <w:p w14:paraId="2EA39E65">
            <w:pPr>
              <w:pStyle w:val="65"/>
              <w:ind w:firstLine="482"/>
              <w:rPr>
                <w:rFonts w:eastAsiaTheme="minorEastAsia"/>
                <w:b/>
                <w:bCs/>
                <w:color w:val="auto"/>
              </w:rPr>
            </w:pPr>
            <w:r>
              <w:rPr>
                <w:rFonts w:eastAsiaTheme="minorEastAsia"/>
                <w:b/>
                <w:bCs/>
                <w:color w:val="auto"/>
              </w:rPr>
              <w:t>11、与《辽宁省防沙治沙条例》符合性分析</w:t>
            </w:r>
          </w:p>
          <w:p w14:paraId="56005C4F">
            <w:pPr>
              <w:pStyle w:val="92"/>
              <w:rPr>
                <w:rFonts w:eastAsiaTheme="minorEastAsia"/>
                <w:color w:val="auto"/>
              </w:rPr>
            </w:pPr>
            <w:r>
              <w:rPr>
                <w:rFonts w:eastAsiaTheme="minorEastAsia"/>
                <w:color w:val="auto"/>
              </w:rPr>
              <w:t>表1-11与《辽宁省防沙治沙条例》符合性分析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370"/>
              <w:gridCol w:w="2905"/>
              <w:gridCol w:w="641"/>
            </w:tblGrid>
            <w:tr w14:paraId="2D23A41B">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double" w:color="auto" w:sz="2" w:space="0"/>
                    <w:left w:val="nil"/>
                    <w:bottom w:val="single" w:color="auto" w:sz="6" w:space="0"/>
                    <w:right w:val="single" w:color="auto" w:sz="6" w:space="0"/>
                  </w:tcBorders>
                  <w:vAlign w:val="center"/>
                </w:tcPr>
                <w:p w14:paraId="66E237CF">
                  <w:pPr>
                    <w:pStyle w:val="48"/>
                    <w:rPr>
                      <w:color w:val="auto"/>
                    </w:rPr>
                  </w:pPr>
                  <w:r>
                    <w:rPr>
                      <w:color w:val="auto"/>
                    </w:rPr>
                    <w:t>条例相关要求</w:t>
                  </w:r>
                </w:p>
              </w:tc>
              <w:tc>
                <w:tcPr>
                  <w:tcW w:w="2909" w:type="dxa"/>
                  <w:tcBorders>
                    <w:top w:val="double" w:color="auto" w:sz="2" w:space="0"/>
                    <w:left w:val="single" w:color="auto" w:sz="6" w:space="0"/>
                    <w:bottom w:val="single" w:color="auto" w:sz="6" w:space="0"/>
                    <w:right w:val="single" w:color="auto" w:sz="6" w:space="0"/>
                  </w:tcBorders>
                  <w:vAlign w:val="center"/>
                </w:tcPr>
                <w:p w14:paraId="0F83FCBC">
                  <w:pPr>
                    <w:pStyle w:val="48"/>
                    <w:rPr>
                      <w:color w:val="auto"/>
                    </w:rPr>
                  </w:pPr>
                  <w:r>
                    <w:rPr>
                      <w:color w:val="auto"/>
                    </w:rPr>
                    <w:t>本项目情况</w:t>
                  </w:r>
                </w:p>
              </w:tc>
              <w:tc>
                <w:tcPr>
                  <w:tcW w:w="642" w:type="dxa"/>
                  <w:tcBorders>
                    <w:top w:val="double" w:color="auto" w:sz="2" w:space="0"/>
                    <w:left w:val="single" w:color="auto" w:sz="6" w:space="0"/>
                    <w:bottom w:val="single" w:color="auto" w:sz="6" w:space="0"/>
                    <w:right w:val="nil"/>
                  </w:tcBorders>
                  <w:vAlign w:val="center"/>
                </w:tcPr>
                <w:p w14:paraId="5583676D">
                  <w:pPr>
                    <w:pStyle w:val="48"/>
                    <w:rPr>
                      <w:color w:val="auto"/>
                    </w:rPr>
                  </w:pPr>
                  <w:r>
                    <w:rPr>
                      <w:color w:val="auto"/>
                    </w:rPr>
                    <w:t>符合性</w:t>
                  </w:r>
                </w:p>
              </w:tc>
            </w:tr>
            <w:tr w14:paraId="2A94FABD">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single" w:color="auto" w:sz="6" w:space="0"/>
                    <w:right w:val="single" w:color="auto" w:sz="6" w:space="0"/>
                  </w:tcBorders>
                  <w:vAlign w:val="center"/>
                </w:tcPr>
                <w:p w14:paraId="4B5B5BAD">
                  <w:pPr>
                    <w:pStyle w:val="48"/>
                    <w:rPr>
                      <w:color w:val="auto"/>
                    </w:rPr>
                  </w:pPr>
                  <w:r>
                    <w:rPr>
                      <w:color w:val="auto"/>
                    </w:rPr>
                    <w:t>第十一条：沙化土地实行分类保护。沙化土地分为封禁保护区、综合治理区、适度利用区。</w:t>
                  </w:r>
                </w:p>
              </w:tc>
              <w:tc>
                <w:tcPr>
                  <w:tcW w:w="2909" w:type="dxa"/>
                  <w:vMerge w:val="restart"/>
                  <w:tcBorders>
                    <w:top w:val="single" w:color="auto" w:sz="6" w:space="0"/>
                    <w:left w:val="single" w:color="auto" w:sz="6" w:space="0"/>
                    <w:bottom w:val="single" w:color="auto" w:sz="6" w:space="0"/>
                    <w:right w:val="single" w:color="auto" w:sz="6" w:space="0"/>
                  </w:tcBorders>
                  <w:vAlign w:val="center"/>
                </w:tcPr>
                <w:p w14:paraId="0AD8DAB6">
                  <w:pPr>
                    <w:pStyle w:val="48"/>
                    <w:rPr>
                      <w:color w:val="auto"/>
                    </w:rPr>
                  </w:pPr>
                  <w:r>
                    <w:rPr>
                      <w:color w:val="auto"/>
                    </w:rPr>
                    <w:t>本项目位于辽宁省朝阳市朝阳县瓦房子镇上三家子村（朝阳县瓦房子镇宏兴锰矿厂区内），项目用地区域不属于沙化土地，不属于封禁保护区，用地性质为工业用地。本项目废气经处理后能够达标排放、脱硫废水处理后循环使用不外排、固体废物均得到合理处置。厂内地面硬化，不会造成土壤沙化等生态环境问题。本项目运营过程中应加强环境绿化，注意边角结合部的绿化，采取立体绿化，以起到防沙治沙、调节气候、美化环境、防尘、降噪的目的。</w:t>
                  </w:r>
                </w:p>
              </w:tc>
              <w:tc>
                <w:tcPr>
                  <w:tcW w:w="642" w:type="dxa"/>
                  <w:vMerge w:val="restart"/>
                  <w:tcBorders>
                    <w:top w:val="single" w:color="auto" w:sz="6" w:space="0"/>
                    <w:left w:val="single" w:color="auto" w:sz="6" w:space="0"/>
                    <w:bottom w:val="single" w:color="auto" w:sz="6" w:space="0"/>
                    <w:right w:val="nil"/>
                  </w:tcBorders>
                  <w:vAlign w:val="center"/>
                </w:tcPr>
                <w:p w14:paraId="3C4B29F2">
                  <w:pPr>
                    <w:pStyle w:val="48"/>
                    <w:rPr>
                      <w:color w:val="auto"/>
                    </w:rPr>
                  </w:pPr>
                  <w:r>
                    <w:rPr>
                      <w:color w:val="auto"/>
                    </w:rPr>
                    <w:t>符合</w:t>
                  </w:r>
                </w:p>
              </w:tc>
            </w:tr>
            <w:tr w14:paraId="637D30C8">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single" w:color="auto" w:sz="6" w:space="0"/>
                    <w:right w:val="single" w:color="auto" w:sz="6" w:space="0"/>
                  </w:tcBorders>
                  <w:vAlign w:val="center"/>
                </w:tcPr>
                <w:p w14:paraId="3063E5A0">
                  <w:pPr>
                    <w:pStyle w:val="48"/>
                    <w:rPr>
                      <w:color w:val="auto"/>
                    </w:rPr>
                  </w:pPr>
                  <w:r>
                    <w:rPr>
                      <w:color w:val="auto"/>
                    </w:rPr>
                    <w:t>第十二条：在封禁保护区内禁止一切破坏植被的活动。</w:t>
                  </w:r>
                </w:p>
              </w:tc>
              <w:tc>
                <w:tcPr>
                  <w:tcW w:w="2909" w:type="dxa"/>
                  <w:vMerge w:val="continue"/>
                  <w:tcBorders>
                    <w:top w:val="single" w:color="auto" w:sz="6" w:space="0"/>
                    <w:left w:val="single" w:color="auto" w:sz="6" w:space="0"/>
                    <w:bottom w:val="single" w:color="auto" w:sz="6" w:space="0"/>
                    <w:right w:val="single" w:color="auto" w:sz="6" w:space="0"/>
                  </w:tcBorders>
                  <w:vAlign w:val="center"/>
                </w:tcPr>
                <w:p w14:paraId="036CF11D">
                  <w:pPr>
                    <w:pStyle w:val="48"/>
                    <w:rPr>
                      <w:color w:val="auto"/>
                      <w:kern w:val="0"/>
                    </w:rPr>
                  </w:pPr>
                </w:p>
              </w:tc>
              <w:tc>
                <w:tcPr>
                  <w:tcW w:w="642" w:type="dxa"/>
                  <w:vMerge w:val="continue"/>
                  <w:tcBorders>
                    <w:top w:val="single" w:color="auto" w:sz="6" w:space="0"/>
                    <w:left w:val="single" w:color="auto" w:sz="6" w:space="0"/>
                    <w:bottom w:val="single" w:color="auto" w:sz="6" w:space="0"/>
                    <w:right w:val="nil"/>
                  </w:tcBorders>
                  <w:vAlign w:val="center"/>
                </w:tcPr>
                <w:p w14:paraId="056A8BAD">
                  <w:pPr>
                    <w:pStyle w:val="48"/>
                    <w:rPr>
                      <w:color w:val="auto"/>
                      <w:kern w:val="0"/>
                    </w:rPr>
                  </w:pPr>
                </w:p>
              </w:tc>
            </w:tr>
            <w:tr w14:paraId="15594B70">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single" w:color="auto" w:sz="6" w:space="0"/>
                    <w:right w:val="single" w:color="auto" w:sz="6" w:space="0"/>
                  </w:tcBorders>
                  <w:vAlign w:val="center"/>
                </w:tcPr>
                <w:p w14:paraId="54C546B1">
                  <w:pPr>
                    <w:pStyle w:val="48"/>
                    <w:rPr>
                      <w:color w:val="auto"/>
                    </w:rPr>
                  </w:pPr>
                  <w:r>
                    <w:rPr>
                      <w:color w:val="auto"/>
                    </w:rPr>
                    <w:t>第十三条：在综合治理区内禁止放牧、开垦、挖沙，禁止采伐天然林和砍伐灌木、野生药材及其他固沙植物，禁止对人工林进行除依法可以抚育更新性质之外的采伐。</w:t>
                  </w:r>
                </w:p>
              </w:tc>
              <w:tc>
                <w:tcPr>
                  <w:tcW w:w="2909" w:type="dxa"/>
                  <w:vMerge w:val="continue"/>
                  <w:tcBorders>
                    <w:top w:val="single" w:color="auto" w:sz="6" w:space="0"/>
                    <w:left w:val="single" w:color="auto" w:sz="6" w:space="0"/>
                    <w:bottom w:val="single" w:color="auto" w:sz="6" w:space="0"/>
                    <w:right w:val="single" w:color="auto" w:sz="6" w:space="0"/>
                  </w:tcBorders>
                  <w:vAlign w:val="center"/>
                </w:tcPr>
                <w:p w14:paraId="2F35CC91">
                  <w:pPr>
                    <w:pStyle w:val="48"/>
                    <w:rPr>
                      <w:color w:val="auto"/>
                      <w:kern w:val="0"/>
                    </w:rPr>
                  </w:pPr>
                </w:p>
              </w:tc>
              <w:tc>
                <w:tcPr>
                  <w:tcW w:w="642" w:type="dxa"/>
                  <w:vMerge w:val="continue"/>
                  <w:tcBorders>
                    <w:top w:val="single" w:color="auto" w:sz="6" w:space="0"/>
                    <w:left w:val="single" w:color="auto" w:sz="6" w:space="0"/>
                    <w:bottom w:val="single" w:color="auto" w:sz="6" w:space="0"/>
                    <w:right w:val="nil"/>
                  </w:tcBorders>
                  <w:vAlign w:val="center"/>
                </w:tcPr>
                <w:p w14:paraId="3DF5AF77">
                  <w:pPr>
                    <w:pStyle w:val="48"/>
                    <w:rPr>
                      <w:color w:val="auto"/>
                      <w:kern w:val="0"/>
                    </w:rPr>
                  </w:pPr>
                </w:p>
              </w:tc>
            </w:tr>
            <w:tr w14:paraId="2F91A698">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74" w:type="dxa"/>
                  <w:tcBorders>
                    <w:top w:val="single" w:color="auto" w:sz="6" w:space="0"/>
                    <w:left w:val="nil"/>
                    <w:bottom w:val="double" w:color="auto" w:sz="2" w:space="0"/>
                    <w:right w:val="single" w:color="auto" w:sz="6" w:space="0"/>
                  </w:tcBorders>
                  <w:vAlign w:val="center"/>
                </w:tcPr>
                <w:p w14:paraId="1DAFCE0C">
                  <w:pPr>
                    <w:pStyle w:val="48"/>
                    <w:rPr>
                      <w:color w:val="auto"/>
                    </w:rPr>
                  </w:pPr>
                  <w:r>
                    <w:rPr>
                      <w:color w:val="auto"/>
                    </w:rPr>
                    <w:t>第十四条：在适度利用区内禁止砍伐灌木、野生药材及固沙植物。需要通过平茬等技术措施促进更新的，或是按照治理方案合理利用的，应当遵守有关法律法规和技术规程。</w:t>
                  </w:r>
                </w:p>
              </w:tc>
              <w:tc>
                <w:tcPr>
                  <w:tcW w:w="2909" w:type="dxa"/>
                  <w:vMerge w:val="continue"/>
                  <w:tcBorders>
                    <w:top w:val="single" w:color="auto" w:sz="6" w:space="0"/>
                    <w:left w:val="single" w:color="auto" w:sz="6" w:space="0"/>
                    <w:bottom w:val="single" w:color="auto" w:sz="6" w:space="0"/>
                    <w:right w:val="single" w:color="auto" w:sz="6" w:space="0"/>
                  </w:tcBorders>
                  <w:vAlign w:val="center"/>
                </w:tcPr>
                <w:p w14:paraId="7C806B56">
                  <w:pPr>
                    <w:pStyle w:val="48"/>
                    <w:rPr>
                      <w:color w:val="auto"/>
                      <w:kern w:val="0"/>
                    </w:rPr>
                  </w:pPr>
                </w:p>
              </w:tc>
              <w:tc>
                <w:tcPr>
                  <w:tcW w:w="642" w:type="dxa"/>
                  <w:vMerge w:val="continue"/>
                  <w:tcBorders>
                    <w:top w:val="single" w:color="auto" w:sz="6" w:space="0"/>
                    <w:left w:val="single" w:color="auto" w:sz="6" w:space="0"/>
                    <w:bottom w:val="single" w:color="auto" w:sz="6" w:space="0"/>
                    <w:right w:val="nil"/>
                  </w:tcBorders>
                  <w:vAlign w:val="center"/>
                </w:tcPr>
                <w:p w14:paraId="65A2BF4C">
                  <w:pPr>
                    <w:pStyle w:val="48"/>
                    <w:rPr>
                      <w:color w:val="auto"/>
                      <w:kern w:val="0"/>
                    </w:rPr>
                  </w:pPr>
                </w:p>
              </w:tc>
            </w:tr>
          </w:tbl>
          <w:p w14:paraId="01B0E2D9">
            <w:pPr>
              <w:pStyle w:val="65"/>
              <w:ind w:firstLine="482"/>
              <w:rPr>
                <w:rFonts w:eastAsiaTheme="minorEastAsia"/>
                <w:b/>
                <w:bCs/>
                <w:color w:val="auto"/>
              </w:rPr>
            </w:pPr>
            <w:r>
              <w:rPr>
                <w:rFonts w:eastAsiaTheme="minorEastAsia"/>
                <w:b/>
                <w:bCs/>
                <w:color w:val="auto"/>
              </w:rPr>
              <w:t>12、与《国家污染防治技术指导目录》符合性分析</w:t>
            </w:r>
          </w:p>
          <w:p w14:paraId="79FB5933">
            <w:pPr>
              <w:pStyle w:val="65"/>
              <w:ind w:firstLine="480"/>
              <w:rPr>
                <w:rFonts w:eastAsiaTheme="minorEastAsia"/>
                <w:color w:val="auto"/>
              </w:rPr>
            </w:pPr>
            <w:r>
              <w:rPr>
                <w:rFonts w:eastAsiaTheme="minorEastAsia"/>
                <w:color w:val="auto"/>
              </w:rPr>
              <w:t>本项目采用湿法脱硫（石灰石-石膏法），经对比不属于《国家污染防治技术指导目录（2025年）》中低效类技术，《目录》中对湿法脱硫（石灰石-石膏法）无要求。</w:t>
            </w:r>
          </w:p>
          <w:p w14:paraId="3A99E67A">
            <w:pPr>
              <w:pStyle w:val="92"/>
              <w:rPr>
                <w:rFonts w:eastAsiaTheme="minorEastAsia"/>
                <w:color w:val="auto"/>
              </w:rPr>
            </w:pPr>
            <w:r>
              <w:rPr>
                <w:rFonts w:eastAsiaTheme="minorEastAsia"/>
                <w:color w:val="auto"/>
              </w:rPr>
              <w:t>表1-12与《国家污染防治技术指导目录》符合性分析</w:t>
            </w:r>
          </w:p>
          <w:tbl>
            <w:tblPr>
              <w:tblStyle w:val="36"/>
              <w:tblW w:w="6974" w:type="dxa"/>
              <w:tblInd w:w="0"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276"/>
              <w:gridCol w:w="992"/>
              <w:gridCol w:w="1132"/>
              <w:gridCol w:w="2126"/>
              <w:gridCol w:w="663"/>
            </w:tblGrid>
            <w:tr w14:paraId="375CF51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5" w:type="dxa"/>
                  <w:tcBorders>
                    <w:top w:val="double" w:color="auto" w:sz="2" w:space="0"/>
                    <w:left w:val="nil"/>
                    <w:bottom w:val="single" w:color="auto" w:sz="4" w:space="0"/>
                    <w:right w:val="single" w:color="auto" w:sz="4" w:space="0"/>
                  </w:tcBorders>
                  <w:vAlign w:val="center"/>
                </w:tcPr>
                <w:p w14:paraId="3D2BA4EC">
                  <w:pPr>
                    <w:pStyle w:val="48"/>
                    <w:rPr>
                      <w:color w:val="auto"/>
                    </w:rPr>
                  </w:pPr>
                  <w:r>
                    <w:rPr>
                      <w:color w:val="auto"/>
                    </w:rPr>
                    <w:t>低效技术名称</w:t>
                  </w:r>
                </w:p>
              </w:tc>
              <w:tc>
                <w:tcPr>
                  <w:tcW w:w="1276" w:type="dxa"/>
                  <w:tcBorders>
                    <w:top w:val="double" w:color="auto" w:sz="2" w:space="0"/>
                    <w:left w:val="nil"/>
                    <w:bottom w:val="single" w:color="auto" w:sz="4" w:space="0"/>
                    <w:right w:val="single" w:color="auto" w:sz="4" w:space="0"/>
                  </w:tcBorders>
                  <w:vAlign w:val="center"/>
                </w:tcPr>
                <w:p w14:paraId="4E62B9F7">
                  <w:pPr>
                    <w:pStyle w:val="48"/>
                    <w:rPr>
                      <w:color w:val="auto"/>
                    </w:rPr>
                  </w:pPr>
                  <w:r>
                    <w:rPr>
                      <w:color w:val="auto"/>
                    </w:rPr>
                    <w:t>工艺、设施简介</w:t>
                  </w:r>
                </w:p>
              </w:tc>
              <w:tc>
                <w:tcPr>
                  <w:tcW w:w="992" w:type="dxa"/>
                  <w:tcBorders>
                    <w:top w:val="double" w:color="auto" w:sz="2" w:space="0"/>
                    <w:left w:val="nil"/>
                    <w:bottom w:val="single" w:color="auto" w:sz="4" w:space="0"/>
                    <w:right w:val="single" w:color="auto" w:sz="4" w:space="0"/>
                  </w:tcBorders>
                  <w:vAlign w:val="center"/>
                </w:tcPr>
                <w:p w14:paraId="3C851677">
                  <w:pPr>
                    <w:pStyle w:val="48"/>
                    <w:rPr>
                      <w:color w:val="auto"/>
                    </w:rPr>
                  </w:pPr>
                  <w:r>
                    <w:rPr>
                      <w:color w:val="auto"/>
                    </w:rPr>
                    <w:t>技术缺陷</w:t>
                  </w:r>
                </w:p>
              </w:tc>
              <w:tc>
                <w:tcPr>
                  <w:tcW w:w="1132" w:type="dxa"/>
                  <w:tcBorders>
                    <w:top w:val="double" w:color="auto" w:sz="2" w:space="0"/>
                    <w:left w:val="nil"/>
                    <w:bottom w:val="single" w:color="auto" w:sz="4" w:space="0"/>
                    <w:right w:val="single" w:color="auto" w:sz="4" w:space="0"/>
                  </w:tcBorders>
                  <w:vAlign w:val="center"/>
                </w:tcPr>
                <w:p w14:paraId="58BBB5FC">
                  <w:pPr>
                    <w:pStyle w:val="48"/>
                    <w:rPr>
                      <w:color w:val="auto"/>
                    </w:rPr>
                  </w:pPr>
                  <w:r>
                    <w:rPr>
                      <w:color w:val="auto"/>
                    </w:rPr>
                    <w:t>应用（排除）范围</w:t>
                  </w:r>
                </w:p>
              </w:tc>
              <w:tc>
                <w:tcPr>
                  <w:tcW w:w="2126" w:type="dxa"/>
                  <w:tcBorders>
                    <w:top w:val="double" w:color="auto" w:sz="2" w:space="0"/>
                    <w:left w:val="nil"/>
                    <w:bottom w:val="single" w:color="auto" w:sz="4" w:space="0"/>
                    <w:right w:val="single" w:color="auto" w:sz="4" w:space="0"/>
                  </w:tcBorders>
                  <w:vAlign w:val="center"/>
                </w:tcPr>
                <w:p w14:paraId="34416DD2">
                  <w:pPr>
                    <w:pStyle w:val="48"/>
                    <w:rPr>
                      <w:color w:val="auto"/>
                    </w:rPr>
                  </w:pPr>
                  <w:r>
                    <w:rPr>
                      <w:color w:val="auto"/>
                    </w:rPr>
                    <w:t>本项目情况</w:t>
                  </w:r>
                </w:p>
              </w:tc>
              <w:tc>
                <w:tcPr>
                  <w:tcW w:w="663" w:type="dxa"/>
                  <w:tcBorders>
                    <w:top w:val="double" w:color="auto" w:sz="2" w:space="0"/>
                    <w:left w:val="nil"/>
                    <w:bottom w:val="single" w:color="auto" w:sz="4" w:space="0"/>
                    <w:right w:val="nil"/>
                  </w:tcBorders>
                  <w:vAlign w:val="center"/>
                </w:tcPr>
                <w:p w14:paraId="4D1EF2FF">
                  <w:pPr>
                    <w:pStyle w:val="48"/>
                    <w:rPr>
                      <w:color w:val="auto"/>
                    </w:rPr>
                  </w:pPr>
                  <w:r>
                    <w:rPr>
                      <w:color w:val="auto"/>
                    </w:rPr>
                    <w:t>符合性</w:t>
                  </w:r>
                </w:p>
              </w:tc>
            </w:tr>
            <w:tr w14:paraId="4073BCF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5" w:type="dxa"/>
                  <w:tcBorders>
                    <w:top w:val="double" w:color="auto" w:sz="2" w:space="0"/>
                    <w:left w:val="nil"/>
                    <w:bottom w:val="single" w:color="auto" w:sz="4" w:space="0"/>
                    <w:right w:val="single" w:color="auto" w:sz="4" w:space="0"/>
                  </w:tcBorders>
                  <w:vAlign w:val="center"/>
                </w:tcPr>
                <w:p w14:paraId="0432F54F">
                  <w:pPr>
                    <w:pStyle w:val="48"/>
                    <w:rPr>
                      <w:color w:val="auto"/>
                    </w:rPr>
                  </w:pPr>
                  <w:r>
                    <w:rPr>
                      <w:color w:val="auto"/>
                    </w:rPr>
                    <w:t>烟气湿法除尘脱硫一体化技术</w:t>
                  </w:r>
                </w:p>
              </w:tc>
              <w:tc>
                <w:tcPr>
                  <w:tcW w:w="1276" w:type="dxa"/>
                  <w:tcBorders>
                    <w:top w:val="double" w:color="auto" w:sz="2" w:space="0"/>
                    <w:left w:val="nil"/>
                    <w:bottom w:val="single" w:color="auto" w:sz="4" w:space="0"/>
                    <w:right w:val="single" w:color="auto" w:sz="4" w:space="0"/>
                  </w:tcBorders>
                  <w:vAlign w:val="center"/>
                </w:tcPr>
                <w:p w14:paraId="31F98089">
                  <w:pPr>
                    <w:pStyle w:val="48"/>
                    <w:rPr>
                      <w:color w:val="auto"/>
                    </w:rPr>
                  </w:pPr>
                  <w:r>
                    <w:rPr>
                      <w:color w:val="auto"/>
                    </w:rPr>
                    <w:t>技术湿法除尘与湿法脱硫在一个装置内进行，前后端无其他除尘设施。</w:t>
                  </w:r>
                </w:p>
              </w:tc>
              <w:tc>
                <w:tcPr>
                  <w:tcW w:w="992" w:type="dxa"/>
                  <w:tcBorders>
                    <w:top w:val="double" w:color="auto" w:sz="2" w:space="0"/>
                    <w:left w:val="nil"/>
                    <w:bottom w:val="single" w:color="auto" w:sz="4" w:space="0"/>
                    <w:right w:val="single" w:color="auto" w:sz="4" w:space="0"/>
                  </w:tcBorders>
                  <w:vAlign w:val="center"/>
                </w:tcPr>
                <w:p w14:paraId="4BC4E162">
                  <w:pPr>
                    <w:pStyle w:val="48"/>
                    <w:rPr>
                      <w:color w:val="auto"/>
                    </w:rPr>
                  </w:pPr>
                  <w:r>
                    <w:rPr>
                      <w:color w:val="auto"/>
                    </w:rPr>
                    <w:t>尘效率低，单独使用颗粒物难以稳定达标排放。</w:t>
                  </w:r>
                </w:p>
              </w:tc>
              <w:tc>
                <w:tcPr>
                  <w:tcW w:w="1132" w:type="dxa"/>
                  <w:tcBorders>
                    <w:top w:val="double" w:color="auto" w:sz="2" w:space="0"/>
                    <w:left w:val="nil"/>
                    <w:bottom w:val="single" w:color="auto" w:sz="4" w:space="0"/>
                    <w:right w:val="single" w:color="auto" w:sz="4" w:space="0"/>
                  </w:tcBorders>
                  <w:vAlign w:val="center"/>
                </w:tcPr>
                <w:p w14:paraId="5B074FBB">
                  <w:pPr>
                    <w:pStyle w:val="48"/>
                    <w:rPr>
                      <w:color w:val="auto"/>
                    </w:rPr>
                  </w:pPr>
                  <w:r>
                    <w:rPr>
                      <w:color w:val="auto"/>
                    </w:rPr>
                    <w:t>除范围：低浓度除尘。</w:t>
                  </w:r>
                </w:p>
              </w:tc>
              <w:tc>
                <w:tcPr>
                  <w:tcW w:w="2126" w:type="dxa"/>
                  <w:tcBorders>
                    <w:top w:val="double" w:color="auto" w:sz="2" w:space="0"/>
                    <w:left w:val="nil"/>
                    <w:bottom w:val="single" w:color="auto" w:sz="4" w:space="0"/>
                    <w:right w:val="single" w:color="auto" w:sz="4" w:space="0"/>
                  </w:tcBorders>
                  <w:vAlign w:val="center"/>
                </w:tcPr>
                <w:p w14:paraId="428A9EB0">
                  <w:pPr>
                    <w:pStyle w:val="48"/>
                    <w:rPr>
                      <w:color w:val="auto"/>
                    </w:rPr>
                  </w:pPr>
                  <w:r>
                    <w:rPr>
                      <w:color w:val="auto"/>
                    </w:rPr>
                    <w:t>本项目使用石灰石-石膏法脱硫（湿法脱硫），建设独立的脱硫设施；除尘使用独立的布袋除尘器。</w:t>
                  </w:r>
                </w:p>
              </w:tc>
              <w:tc>
                <w:tcPr>
                  <w:tcW w:w="663" w:type="dxa"/>
                  <w:tcBorders>
                    <w:top w:val="double" w:color="auto" w:sz="2" w:space="0"/>
                    <w:left w:val="nil"/>
                    <w:bottom w:val="single" w:color="auto" w:sz="4" w:space="0"/>
                    <w:right w:val="nil"/>
                  </w:tcBorders>
                  <w:vAlign w:val="center"/>
                </w:tcPr>
                <w:p w14:paraId="5AF6930A">
                  <w:pPr>
                    <w:pStyle w:val="48"/>
                    <w:rPr>
                      <w:color w:val="auto"/>
                    </w:rPr>
                  </w:pPr>
                  <w:r>
                    <w:rPr>
                      <w:color w:val="auto"/>
                    </w:rPr>
                    <w:t>不属于低效技术</w:t>
                  </w:r>
                </w:p>
              </w:tc>
            </w:tr>
            <w:tr w14:paraId="31738E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5" w:type="dxa"/>
                  <w:tcBorders>
                    <w:top w:val="single" w:color="auto" w:sz="4" w:space="0"/>
                    <w:left w:val="nil"/>
                    <w:bottom w:val="double" w:color="auto" w:sz="2" w:space="0"/>
                    <w:right w:val="single" w:color="auto" w:sz="4" w:space="0"/>
                  </w:tcBorders>
                  <w:vAlign w:val="center"/>
                </w:tcPr>
                <w:p w14:paraId="332499B5">
                  <w:pPr>
                    <w:pStyle w:val="48"/>
                    <w:rPr>
                      <w:color w:val="auto"/>
                    </w:rPr>
                  </w:pPr>
                  <w:r>
                    <w:rPr>
                      <w:color w:val="auto"/>
                    </w:rPr>
                    <w:t>喷淋脱硫技术</w:t>
                  </w:r>
                </w:p>
              </w:tc>
              <w:tc>
                <w:tcPr>
                  <w:tcW w:w="1276" w:type="dxa"/>
                  <w:tcBorders>
                    <w:top w:val="single" w:color="auto" w:sz="4" w:space="0"/>
                    <w:left w:val="nil"/>
                    <w:bottom w:val="double" w:color="auto" w:sz="2" w:space="0"/>
                    <w:right w:val="single" w:color="auto" w:sz="4" w:space="0"/>
                  </w:tcBorders>
                  <w:vAlign w:val="center"/>
                </w:tcPr>
                <w:p w14:paraId="1E299005">
                  <w:pPr>
                    <w:pStyle w:val="48"/>
                    <w:rPr>
                      <w:color w:val="auto"/>
                    </w:rPr>
                  </w:pPr>
                  <w:r>
                    <w:rPr>
                      <w:color w:val="auto"/>
                    </w:rPr>
                    <w:t>该技术以水为吸收剂（不含脱硫剂），与烟气接触吸收烟气中的二氧化硫。海水脱硫工艺除外。</w:t>
                  </w:r>
                </w:p>
              </w:tc>
              <w:tc>
                <w:tcPr>
                  <w:tcW w:w="992" w:type="dxa"/>
                  <w:tcBorders>
                    <w:top w:val="single" w:color="auto" w:sz="4" w:space="0"/>
                    <w:left w:val="nil"/>
                    <w:bottom w:val="double" w:color="auto" w:sz="2" w:space="0"/>
                    <w:right w:val="single" w:color="auto" w:sz="4" w:space="0"/>
                  </w:tcBorders>
                  <w:vAlign w:val="center"/>
                </w:tcPr>
                <w:p w14:paraId="3B86CC6F">
                  <w:pPr>
                    <w:pStyle w:val="48"/>
                    <w:rPr>
                      <w:color w:val="auto"/>
                    </w:rPr>
                  </w:pPr>
                  <w:r>
                    <w:rPr>
                      <w:color w:val="auto"/>
                    </w:rPr>
                    <w:t>水对二氧化硫的吸收率很低且不稳定，吸收的二氧化硫易重新析出。</w:t>
                  </w:r>
                </w:p>
              </w:tc>
              <w:tc>
                <w:tcPr>
                  <w:tcW w:w="1132" w:type="dxa"/>
                  <w:tcBorders>
                    <w:top w:val="single" w:color="auto" w:sz="4" w:space="0"/>
                    <w:left w:val="nil"/>
                    <w:bottom w:val="double" w:color="auto" w:sz="2" w:space="0"/>
                    <w:right w:val="single" w:color="auto" w:sz="4" w:space="0"/>
                  </w:tcBorders>
                  <w:vAlign w:val="center"/>
                </w:tcPr>
                <w:p w14:paraId="3D5D9624">
                  <w:pPr>
                    <w:pStyle w:val="48"/>
                    <w:rPr>
                      <w:color w:val="auto"/>
                    </w:rPr>
                  </w:pPr>
                  <w:r>
                    <w:rPr>
                      <w:color w:val="auto"/>
                    </w:rPr>
                    <w:t>应用范围：全行业烟气脱硫。</w:t>
                  </w:r>
                </w:p>
              </w:tc>
              <w:tc>
                <w:tcPr>
                  <w:tcW w:w="2126" w:type="dxa"/>
                  <w:tcBorders>
                    <w:top w:val="single" w:color="auto" w:sz="4" w:space="0"/>
                    <w:left w:val="nil"/>
                    <w:bottom w:val="double" w:color="auto" w:sz="2" w:space="0"/>
                    <w:right w:val="single" w:color="auto" w:sz="4" w:space="0"/>
                  </w:tcBorders>
                  <w:vAlign w:val="center"/>
                </w:tcPr>
                <w:p w14:paraId="4A55B86C">
                  <w:pPr>
                    <w:pStyle w:val="48"/>
                    <w:rPr>
                      <w:color w:val="auto"/>
                    </w:rPr>
                  </w:pPr>
                  <w:r>
                    <w:rPr>
                      <w:color w:val="auto"/>
                    </w:rPr>
                    <w:t>本项目使用石灰石-石膏法脱硫（湿法脱硫）。</w:t>
                  </w:r>
                </w:p>
              </w:tc>
              <w:tc>
                <w:tcPr>
                  <w:tcW w:w="663" w:type="dxa"/>
                  <w:tcBorders>
                    <w:top w:val="single" w:color="auto" w:sz="4" w:space="0"/>
                    <w:left w:val="nil"/>
                    <w:bottom w:val="double" w:color="auto" w:sz="2" w:space="0"/>
                    <w:right w:val="nil"/>
                  </w:tcBorders>
                  <w:vAlign w:val="center"/>
                </w:tcPr>
                <w:p w14:paraId="5590DCCD">
                  <w:pPr>
                    <w:pStyle w:val="48"/>
                    <w:rPr>
                      <w:color w:val="auto"/>
                    </w:rPr>
                  </w:pPr>
                  <w:r>
                    <w:rPr>
                      <w:color w:val="auto"/>
                    </w:rPr>
                    <w:t>不属于低效技术</w:t>
                  </w:r>
                </w:p>
              </w:tc>
            </w:tr>
          </w:tbl>
          <w:p w14:paraId="393FB806">
            <w:pPr>
              <w:pStyle w:val="65"/>
              <w:ind w:firstLine="480"/>
              <w:rPr>
                <w:rFonts w:eastAsiaTheme="minorEastAsia"/>
                <w:color w:val="auto"/>
              </w:rPr>
            </w:pPr>
            <w:r>
              <w:rPr>
                <w:rFonts w:eastAsiaTheme="minorEastAsia"/>
                <w:color w:val="auto"/>
              </w:rPr>
              <w:t xml:space="preserve"> </w:t>
            </w:r>
          </w:p>
          <w:p w14:paraId="5C839D6A">
            <w:pPr>
              <w:pStyle w:val="65"/>
              <w:ind w:firstLine="480"/>
              <w:rPr>
                <w:rFonts w:eastAsiaTheme="minorEastAsia"/>
                <w:color w:val="auto"/>
              </w:rPr>
            </w:pPr>
          </w:p>
          <w:p w14:paraId="403AC02D">
            <w:pPr>
              <w:pStyle w:val="65"/>
              <w:ind w:firstLine="480"/>
              <w:rPr>
                <w:rFonts w:eastAsiaTheme="minorEastAsia"/>
                <w:color w:val="auto"/>
              </w:rPr>
            </w:pPr>
          </w:p>
          <w:p w14:paraId="28EB61EE">
            <w:pPr>
              <w:pStyle w:val="65"/>
              <w:ind w:firstLine="480"/>
              <w:rPr>
                <w:rFonts w:eastAsiaTheme="minorEastAsia"/>
                <w:color w:val="auto"/>
              </w:rPr>
            </w:pPr>
          </w:p>
          <w:p w14:paraId="6918AA4B">
            <w:pPr>
              <w:pStyle w:val="65"/>
              <w:ind w:firstLine="480"/>
              <w:rPr>
                <w:rFonts w:eastAsiaTheme="minorEastAsia"/>
                <w:color w:val="auto"/>
              </w:rPr>
            </w:pPr>
          </w:p>
          <w:p w14:paraId="724A0058">
            <w:pPr>
              <w:pStyle w:val="65"/>
              <w:ind w:firstLine="480"/>
              <w:rPr>
                <w:rFonts w:eastAsiaTheme="minorEastAsia"/>
                <w:color w:val="auto"/>
              </w:rPr>
            </w:pPr>
          </w:p>
          <w:p w14:paraId="1BFC2EE6">
            <w:pPr>
              <w:pStyle w:val="65"/>
              <w:ind w:firstLine="480"/>
              <w:rPr>
                <w:rFonts w:eastAsiaTheme="minorEastAsia"/>
                <w:color w:val="auto"/>
              </w:rPr>
            </w:pPr>
          </w:p>
          <w:p w14:paraId="349FFC01">
            <w:pPr>
              <w:pStyle w:val="65"/>
              <w:ind w:firstLine="199" w:firstLineChars="83"/>
              <w:rPr>
                <w:rFonts w:eastAsiaTheme="minorEastAsia"/>
                <w:color w:val="auto"/>
              </w:rPr>
            </w:pPr>
          </w:p>
          <w:p w14:paraId="78939305">
            <w:pPr>
              <w:pStyle w:val="65"/>
              <w:ind w:firstLine="480"/>
              <w:rPr>
                <w:rFonts w:eastAsiaTheme="minorEastAsia"/>
                <w:color w:val="auto"/>
              </w:rPr>
            </w:pPr>
          </w:p>
          <w:p w14:paraId="507C0CCB">
            <w:pPr>
              <w:pStyle w:val="65"/>
              <w:ind w:firstLine="480"/>
              <w:rPr>
                <w:rFonts w:eastAsiaTheme="minorEastAsia"/>
                <w:color w:val="auto"/>
              </w:rPr>
            </w:pPr>
          </w:p>
          <w:p w14:paraId="4203A9D4">
            <w:pPr>
              <w:pStyle w:val="65"/>
              <w:ind w:firstLine="0" w:firstLineChars="0"/>
              <w:rPr>
                <w:rFonts w:eastAsiaTheme="minorEastAsia"/>
                <w:color w:val="auto"/>
              </w:rPr>
            </w:pPr>
          </w:p>
          <w:p w14:paraId="2196FAF1">
            <w:pPr>
              <w:pStyle w:val="65"/>
              <w:ind w:firstLine="480"/>
              <w:rPr>
                <w:rFonts w:eastAsiaTheme="minorEastAsia"/>
                <w:color w:val="auto"/>
              </w:rPr>
            </w:pPr>
          </w:p>
          <w:p w14:paraId="3825A99F">
            <w:pPr>
              <w:pStyle w:val="65"/>
              <w:ind w:firstLine="480"/>
              <w:rPr>
                <w:rFonts w:eastAsiaTheme="minorEastAsia"/>
                <w:color w:val="auto"/>
              </w:rPr>
            </w:pPr>
          </w:p>
          <w:p w14:paraId="17E909D6">
            <w:pPr>
              <w:pStyle w:val="65"/>
              <w:ind w:firstLine="480"/>
              <w:rPr>
                <w:rFonts w:eastAsiaTheme="minorEastAsia"/>
                <w:color w:val="auto"/>
              </w:rPr>
            </w:pPr>
          </w:p>
          <w:p w14:paraId="622B1EBF">
            <w:pPr>
              <w:pStyle w:val="65"/>
              <w:ind w:firstLine="480"/>
              <w:rPr>
                <w:rFonts w:eastAsiaTheme="minorEastAsia"/>
                <w:color w:val="auto"/>
              </w:rPr>
            </w:pPr>
          </w:p>
          <w:p w14:paraId="2B477495">
            <w:pPr>
              <w:pStyle w:val="65"/>
              <w:ind w:firstLine="480"/>
              <w:rPr>
                <w:rFonts w:eastAsiaTheme="minorEastAsia"/>
                <w:color w:val="auto"/>
              </w:rPr>
            </w:pPr>
          </w:p>
          <w:p w14:paraId="6F5040E2">
            <w:pPr>
              <w:pStyle w:val="65"/>
              <w:ind w:firstLine="480"/>
              <w:rPr>
                <w:rFonts w:eastAsiaTheme="minorEastAsia"/>
                <w:color w:val="auto"/>
              </w:rPr>
            </w:pPr>
          </w:p>
          <w:p w14:paraId="74D60640">
            <w:pPr>
              <w:pStyle w:val="65"/>
              <w:ind w:firstLine="480"/>
              <w:rPr>
                <w:rFonts w:eastAsiaTheme="minorEastAsia"/>
                <w:color w:val="auto"/>
              </w:rPr>
            </w:pPr>
          </w:p>
        </w:tc>
      </w:tr>
      <w:bookmarkEnd w:id="1"/>
    </w:tbl>
    <w:p w14:paraId="023EE709">
      <w:pPr>
        <w:pStyle w:val="32"/>
        <w:pageBreakBefore/>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二、建设项目工程分析</w:t>
      </w:r>
    </w:p>
    <w:tbl>
      <w:tblPr>
        <w:tblStyle w:val="35"/>
        <w:tblW w:w="94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990"/>
      </w:tblGrid>
      <w:tr w14:paraId="28732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456" w:type="dxa"/>
            <w:tcBorders>
              <w:top w:val="single" w:color="auto" w:sz="8" w:space="0"/>
              <w:left w:val="single" w:color="auto" w:sz="8" w:space="0"/>
              <w:bottom w:val="single" w:color="auto" w:sz="4" w:space="0"/>
              <w:right w:val="single" w:color="auto" w:sz="4" w:space="0"/>
            </w:tcBorders>
            <w:vAlign w:val="center"/>
          </w:tcPr>
          <w:p w14:paraId="4231E5B0">
            <w:pPr>
              <w:pStyle w:val="129"/>
              <w:snapToGrid w:val="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建设内容</w:t>
            </w:r>
          </w:p>
        </w:tc>
        <w:tc>
          <w:tcPr>
            <w:tcW w:w="8990" w:type="dxa"/>
            <w:tcBorders>
              <w:top w:val="single" w:color="auto" w:sz="8" w:space="0"/>
              <w:left w:val="single" w:color="auto" w:sz="4" w:space="0"/>
              <w:bottom w:val="single" w:color="auto" w:sz="4" w:space="0"/>
              <w:right w:val="single" w:color="auto" w:sz="8" w:space="0"/>
            </w:tcBorders>
          </w:tcPr>
          <w:p w14:paraId="0F456B3B">
            <w:pPr>
              <w:spacing w:before="156" w:beforeLines="50"/>
              <w:ind w:firstLine="482"/>
              <w:rPr>
                <w:rFonts w:eastAsiaTheme="minorEastAsia"/>
                <w:b/>
                <w:bCs/>
                <w:color w:val="000000" w:themeColor="text1"/>
                <w:sz w:val="24"/>
                <w14:textFill>
                  <w14:solidFill>
                    <w14:schemeClr w14:val="tx1"/>
                  </w14:solidFill>
                </w14:textFill>
              </w:rPr>
            </w:pPr>
            <w:r>
              <w:rPr>
                <w:rFonts w:eastAsiaTheme="minorEastAsia"/>
                <w:b/>
                <w:bCs/>
                <w:color w:val="000000" w:themeColor="text1"/>
                <w:sz w:val="24"/>
                <w14:textFill>
                  <w14:solidFill>
                    <w14:schemeClr w14:val="tx1"/>
                  </w14:solidFill>
                </w14:textFill>
              </w:rPr>
              <w:t>1、项目概况</w:t>
            </w:r>
          </w:p>
          <w:p w14:paraId="752F7C30">
            <w:pPr>
              <w:pStyle w:val="43"/>
              <w:ind w:firstLine="480"/>
              <w:rPr>
                <w:rFonts w:cs="Times New Roman" w:eastAsiaTheme="minorEastAsia"/>
                <w:color w:val="000000" w:themeColor="text1"/>
                <w:szCs w:val="24"/>
                <w14:textFill>
                  <w14:solidFill>
                    <w14:schemeClr w14:val="tx1"/>
                  </w14:solidFill>
                </w14:textFill>
              </w:rPr>
            </w:pPr>
            <w:r>
              <w:rPr>
                <w:rFonts w:cs="Times New Roman" w:eastAsiaTheme="minorEastAsia"/>
                <w:color w:val="000000" w:themeColor="text1"/>
                <w:szCs w:val="24"/>
                <w14:textFill>
                  <w14:solidFill>
                    <w14:schemeClr w14:val="tx1"/>
                  </w14:solidFill>
                </w14:textFill>
              </w:rPr>
              <w:t>朝阳县瓦房子镇工业园区规划定位是以锰合金冶炼、精深加工及设备制造为主，锰合金冶炼企业对其原料锰矿石进行破碎、筛分加工时会产生粒度过细导致不能入炉的废弃锰矿散料，重新入炉冶炼会严重破坏冶炼过程的稳定、高效和安全运行，产生破坏炉料透气性、影响炉内热量分布与炉衬寿命等问题。</w:t>
            </w:r>
          </w:p>
          <w:p w14:paraId="39BC41C3">
            <w:pPr>
              <w:pStyle w:val="43"/>
              <w:ind w:firstLine="480"/>
              <w:rPr>
                <w:rFonts w:cs="Times New Roman" w:eastAsiaTheme="minorEastAsia"/>
                <w:color w:val="000000" w:themeColor="text1"/>
                <w:szCs w:val="24"/>
                <w14:textFill>
                  <w14:solidFill>
                    <w14:schemeClr w14:val="tx1"/>
                  </w14:solidFill>
                </w14:textFill>
              </w:rPr>
            </w:pPr>
            <w:r>
              <w:rPr>
                <w:rFonts w:cs="Times New Roman" w:eastAsiaTheme="minorEastAsia"/>
                <w:color w:val="000000" w:themeColor="text1"/>
                <w:szCs w:val="24"/>
                <w14:textFill>
                  <w14:solidFill>
                    <w14:schemeClr w14:val="tx1"/>
                  </w14:solidFill>
                </w14:textFill>
              </w:rPr>
              <w:t>本项目利用锰合金冶炼企业破碎产生的粒度过细导致不能入炉的锰矿石废料，通过混料、造球、烘干加工，使其成为大小相对统一、状态稳定的球块状产品，能够重新作为冶炼原料入炉，出售回提供锰矿石废料的冶炼企业作为冶炼原料进一步加工，为朝阳县瓦房子镇工业园区减少一般固体废物的产出，多余产能从园区外购进锰矿石废料。</w:t>
            </w:r>
          </w:p>
          <w:p w14:paraId="0633A74A">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szCs w:val="24"/>
                <w14:textFill>
                  <w14:solidFill>
                    <w14:schemeClr w14:val="tx1"/>
                  </w14:solidFill>
                </w14:textFill>
              </w:rPr>
              <w:t>根据市场需求，</w:t>
            </w:r>
            <w:r>
              <w:rPr>
                <w:rFonts w:cs="Times New Roman" w:eastAsiaTheme="minorEastAsia"/>
                <w:color w:val="000000" w:themeColor="text1"/>
                <w14:textFill>
                  <w14:solidFill>
                    <w14:schemeClr w14:val="tx1"/>
                  </w14:solidFill>
                </w14:textFill>
              </w:rPr>
              <w:t>朝阳县佳云奇金属材料有限公司在朝阳县瓦房子镇宏兴锰矿厂区内租赁部分土地建设本项目。使用</w:t>
            </w:r>
            <w:r>
              <w:rPr>
                <w:rFonts w:cs="Times New Roman" w:eastAsiaTheme="minorEastAsia"/>
                <w:color w:val="000000" w:themeColor="text1"/>
                <w:kern w:val="0"/>
                <w:szCs w:val="21"/>
                <w14:textFill>
                  <w14:solidFill>
                    <w14:schemeClr w14:val="tx1"/>
                  </w14:solidFill>
                </w14:textFill>
              </w:rPr>
              <w:t>锰矿石废料</w:t>
            </w:r>
            <w:r>
              <w:rPr>
                <w:rFonts w:cs="Times New Roman" w:eastAsiaTheme="minorEastAsia"/>
                <w:color w:val="000000" w:themeColor="text1"/>
                <w14:textFill>
                  <w14:solidFill>
                    <w14:schemeClr w14:val="tx1"/>
                  </w14:solidFill>
                </w14:textFill>
              </w:rPr>
              <w:t>，经过加水混料、造球、烘干加工成为可以用于冶炼的热造块原料，生产能力为4.5万t/a。</w:t>
            </w:r>
          </w:p>
          <w:p w14:paraId="06A5865F">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项目名称：朝阳县佳云奇金属材料有限公司固体废物加工再利用项目</w:t>
            </w:r>
          </w:p>
          <w:p w14:paraId="17209EBD">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建设单位：朝阳县佳云奇金属材料有限公司</w:t>
            </w:r>
          </w:p>
          <w:p w14:paraId="5976834A">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建设地点：辽宁省朝阳市朝阳县瓦房子镇上三家子村（朝阳县瓦房子镇宏兴锰矿厂区内），占地均位于朝阳县瓦房子镇工业园区内。用地性质为工业用地。地理位置图见附图一。</w:t>
            </w:r>
          </w:p>
          <w:p w14:paraId="3297846D">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占地面积：</w:t>
            </w:r>
            <w:r>
              <w:rPr>
                <w:rFonts w:cs="Times New Roman" w:eastAsiaTheme="minorEastAsia"/>
                <w:color w:val="0000FF"/>
              </w:rPr>
              <w:t>1000</w:t>
            </w:r>
            <w:r>
              <w:rPr>
                <w:rFonts w:cs="Times New Roman" w:eastAsiaTheme="minorEastAsia"/>
                <w:color w:val="000000" w:themeColor="text1"/>
                <w14:textFill>
                  <w14:solidFill>
                    <w14:schemeClr w14:val="tx1"/>
                  </w14:solidFill>
                </w14:textFill>
              </w:rPr>
              <w:t>m</w:t>
            </w:r>
            <w:r>
              <w:rPr>
                <w:rFonts w:cs="Times New Roman" w:eastAsiaTheme="minorEastAsia"/>
                <w:color w:val="000000" w:themeColor="text1"/>
                <w:vertAlign w:val="superscript"/>
                <w14:textFill>
                  <w14:solidFill>
                    <w14:schemeClr w14:val="tx1"/>
                  </w14:solidFill>
                </w14:textFill>
              </w:rPr>
              <w:t>2</w:t>
            </w:r>
            <w:r>
              <w:rPr>
                <w:rFonts w:cs="Times New Roman" w:eastAsiaTheme="minorEastAsia"/>
                <w:color w:val="000000" w:themeColor="text1"/>
                <w14:textFill>
                  <w14:solidFill>
                    <w14:schemeClr w14:val="tx1"/>
                  </w14:solidFill>
                </w14:textFill>
              </w:rPr>
              <w:t>（全部为租用）</w:t>
            </w:r>
          </w:p>
          <w:p w14:paraId="79C01B91">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建设性质：新建</w:t>
            </w:r>
          </w:p>
          <w:p w14:paraId="59EE7EF0">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劳动定员：劳动定员7人，3班2运转。</w:t>
            </w:r>
          </w:p>
          <w:p w14:paraId="2D88A15E">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操作时间：180天，每天16小时，每年2880小时</w:t>
            </w:r>
          </w:p>
          <w:p w14:paraId="6DA3675E">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项目投资：总投资600万元</w:t>
            </w:r>
          </w:p>
          <w:p w14:paraId="30C16148">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建设工期：建设工期为3个月</w:t>
            </w:r>
          </w:p>
          <w:p w14:paraId="05BDE2CC">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原料来源:朝阳县瓦房子镇宏兴锰矿、葫芦岛市八家子经济开发区安胜矿产品综合利用有限公司、辽宁鑫方成新材料有限公司。</w:t>
            </w:r>
          </w:p>
          <w:p w14:paraId="60B26534">
            <w:pPr>
              <w:pStyle w:val="43"/>
              <w:ind w:firstLine="480"/>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本项目原辅材料（固体废物）相关的环保资料详见下表。</w:t>
            </w:r>
          </w:p>
          <w:p w14:paraId="36E16577">
            <w:pPr>
              <w:pStyle w:val="49"/>
              <w:rPr>
                <w:rFonts w:eastAsiaTheme="minorEastAsia"/>
              </w:rPr>
            </w:pPr>
            <w:r>
              <w:rPr>
                <w:rFonts w:eastAsiaTheme="minorEastAsia"/>
              </w:rPr>
              <w:t>表2-1主要原辅材料（固体废物）来源</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44"/>
              <w:gridCol w:w="783"/>
              <w:gridCol w:w="1330"/>
              <w:gridCol w:w="851"/>
              <w:gridCol w:w="850"/>
              <w:gridCol w:w="2693"/>
              <w:gridCol w:w="993"/>
              <w:gridCol w:w="942"/>
            </w:tblGrid>
            <w:tr w14:paraId="4AA6A5C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244" w:type="dxa"/>
                  <w:tcBorders>
                    <w:top w:val="double" w:color="auto" w:sz="2" w:space="0"/>
                    <w:left w:val="nil"/>
                    <w:bottom w:val="single" w:color="auto" w:sz="4" w:space="0"/>
                    <w:right w:val="single" w:color="auto" w:sz="4" w:space="0"/>
                  </w:tcBorders>
                  <w:vAlign w:val="center"/>
                </w:tcPr>
                <w:p w14:paraId="7FFE5D72">
                  <w:pPr>
                    <w:pStyle w:val="122"/>
                    <w:widowControl/>
                    <w:rPr>
                      <w:rFonts w:eastAsiaTheme="minorEastAsia"/>
                      <w:color w:val="000000"/>
                    </w:rPr>
                  </w:pPr>
                  <w:r>
                    <w:rPr>
                      <w:rFonts w:eastAsiaTheme="minorEastAsia"/>
                      <w:color w:val="000000"/>
                    </w:rPr>
                    <w:t>序号</w:t>
                  </w:r>
                </w:p>
              </w:tc>
              <w:tc>
                <w:tcPr>
                  <w:tcW w:w="783" w:type="dxa"/>
                  <w:tcBorders>
                    <w:top w:val="double" w:color="auto" w:sz="2" w:space="0"/>
                    <w:left w:val="nil"/>
                    <w:bottom w:val="single" w:color="auto" w:sz="4" w:space="0"/>
                    <w:right w:val="single" w:color="auto" w:sz="4" w:space="0"/>
                  </w:tcBorders>
                  <w:vAlign w:val="center"/>
                </w:tcPr>
                <w:p w14:paraId="5C53C8BC">
                  <w:pPr>
                    <w:pStyle w:val="122"/>
                    <w:widowControl/>
                    <w:rPr>
                      <w:rFonts w:eastAsiaTheme="minorEastAsia"/>
                      <w:color w:val="000000"/>
                    </w:rPr>
                  </w:pPr>
                  <w:r>
                    <w:rPr>
                      <w:rFonts w:eastAsiaTheme="minorEastAsia"/>
                      <w:color w:val="000000"/>
                    </w:rPr>
                    <w:t>原辅材料名称</w:t>
                  </w:r>
                </w:p>
              </w:tc>
              <w:tc>
                <w:tcPr>
                  <w:tcW w:w="1330" w:type="dxa"/>
                  <w:tcBorders>
                    <w:top w:val="double" w:color="auto" w:sz="2" w:space="0"/>
                    <w:left w:val="nil"/>
                    <w:bottom w:val="single" w:color="auto" w:sz="4" w:space="0"/>
                    <w:right w:val="single" w:color="auto" w:sz="4" w:space="0"/>
                  </w:tcBorders>
                  <w:vAlign w:val="center"/>
                </w:tcPr>
                <w:p w14:paraId="1548CAE9">
                  <w:pPr>
                    <w:pStyle w:val="122"/>
                    <w:widowControl/>
                    <w:rPr>
                      <w:rFonts w:eastAsiaTheme="minorEastAsia"/>
                      <w:color w:val="000000"/>
                    </w:rPr>
                  </w:pPr>
                  <w:r>
                    <w:rPr>
                      <w:rFonts w:eastAsiaTheme="minorEastAsia"/>
                      <w:color w:val="000000"/>
                    </w:rPr>
                    <w:t>来源</w:t>
                  </w:r>
                </w:p>
              </w:tc>
              <w:tc>
                <w:tcPr>
                  <w:tcW w:w="851" w:type="dxa"/>
                  <w:tcBorders>
                    <w:top w:val="double" w:color="auto" w:sz="2" w:space="0"/>
                    <w:left w:val="nil"/>
                    <w:bottom w:val="single" w:color="auto" w:sz="4" w:space="0"/>
                    <w:right w:val="single" w:color="auto" w:sz="4" w:space="0"/>
                  </w:tcBorders>
                  <w:vAlign w:val="center"/>
                </w:tcPr>
                <w:p w14:paraId="249D14BA">
                  <w:pPr>
                    <w:pStyle w:val="122"/>
                    <w:widowControl/>
                    <w:rPr>
                      <w:rFonts w:eastAsiaTheme="minorEastAsia"/>
                      <w:color w:val="000000"/>
                    </w:rPr>
                  </w:pPr>
                  <w:r>
                    <w:rPr>
                      <w:rFonts w:eastAsiaTheme="minorEastAsia"/>
                      <w:color w:val="000000"/>
                    </w:rPr>
                    <w:t>原料供给能力（t/a）</w:t>
                  </w:r>
                </w:p>
              </w:tc>
              <w:tc>
                <w:tcPr>
                  <w:tcW w:w="850" w:type="dxa"/>
                  <w:tcBorders>
                    <w:top w:val="double" w:color="auto" w:sz="2" w:space="0"/>
                    <w:left w:val="nil"/>
                    <w:bottom w:val="single" w:color="auto" w:sz="4" w:space="0"/>
                    <w:right w:val="single" w:color="auto" w:sz="4" w:space="0"/>
                  </w:tcBorders>
                  <w:vAlign w:val="center"/>
                </w:tcPr>
                <w:p w14:paraId="3930F35F">
                  <w:pPr>
                    <w:pStyle w:val="122"/>
                    <w:widowControl/>
                    <w:rPr>
                      <w:rFonts w:eastAsiaTheme="minorEastAsia"/>
                      <w:color w:val="000000"/>
                    </w:rPr>
                  </w:pPr>
                  <w:r>
                    <w:rPr>
                      <w:rFonts w:eastAsiaTheme="minorEastAsia"/>
                      <w:color w:val="000000"/>
                    </w:rPr>
                    <w:t>本项目用量</w:t>
                  </w:r>
                </w:p>
                <w:p w14:paraId="25F54826">
                  <w:pPr>
                    <w:pStyle w:val="122"/>
                    <w:widowControl/>
                    <w:rPr>
                      <w:rFonts w:eastAsiaTheme="minorEastAsia"/>
                      <w:color w:val="000000"/>
                    </w:rPr>
                  </w:pPr>
                  <w:r>
                    <w:rPr>
                      <w:rFonts w:eastAsiaTheme="minorEastAsia"/>
                      <w:color w:val="000000"/>
                    </w:rPr>
                    <w:t>（t/a）</w:t>
                  </w:r>
                </w:p>
              </w:tc>
              <w:tc>
                <w:tcPr>
                  <w:tcW w:w="2693" w:type="dxa"/>
                  <w:tcBorders>
                    <w:top w:val="double" w:color="auto" w:sz="2" w:space="0"/>
                    <w:left w:val="nil"/>
                    <w:bottom w:val="single" w:color="auto" w:sz="4" w:space="0"/>
                    <w:right w:val="single" w:color="auto" w:sz="4" w:space="0"/>
                  </w:tcBorders>
                  <w:vAlign w:val="center"/>
                </w:tcPr>
                <w:p w14:paraId="4DDD9BF7">
                  <w:pPr>
                    <w:pStyle w:val="122"/>
                    <w:widowControl/>
                    <w:rPr>
                      <w:rFonts w:eastAsiaTheme="minorEastAsia"/>
                      <w:color w:val="000000"/>
                    </w:rPr>
                  </w:pPr>
                  <w:r>
                    <w:rPr>
                      <w:rFonts w:eastAsiaTheme="minorEastAsia"/>
                      <w:color w:val="000000"/>
                    </w:rPr>
                    <w:t>相关环保手续</w:t>
                  </w:r>
                </w:p>
              </w:tc>
              <w:tc>
                <w:tcPr>
                  <w:tcW w:w="993" w:type="dxa"/>
                  <w:tcBorders>
                    <w:top w:val="double" w:color="auto" w:sz="2" w:space="0"/>
                    <w:left w:val="nil"/>
                    <w:bottom w:val="single" w:color="auto" w:sz="4" w:space="0"/>
                    <w:right w:val="nil"/>
                  </w:tcBorders>
                  <w:vAlign w:val="center"/>
                </w:tcPr>
                <w:p w14:paraId="49B53B7B">
                  <w:pPr>
                    <w:pStyle w:val="122"/>
                    <w:widowControl/>
                    <w:rPr>
                      <w:rFonts w:eastAsiaTheme="minorEastAsia"/>
                      <w:color w:val="000000"/>
                    </w:rPr>
                  </w:pPr>
                  <w:r>
                    <w:rPr>
                      <w:rFonts w:eastAsiaTheme="minorEastAsia"/>
                      <w:color w:val="000000"/>
                    </w:rPr>
                    <w:t>固体废物属性</w:t>
                  </w:r>
                </w:p>
              </w:tc>
              <w:tc>
                <w:tcPr>
                  <w:tcW w:w="942" w:type="dxa"/>
                  <w:tcBorders>
                    <w:top w:val="double" w:color="auto" w:sz="2" w:space="0"/>
                    <w:left w:val="single" w:color="auto" w:sz="4" w:space="0"/>
                    <w:bottom w:val="single" w:color="auto" w:sz="4" w:space="0"/>
                    <w:right w:val="nil"/>
                  </w:tcBorders>
                  <w:vAlign w:val="center"/>
                </w:tcPr>
                <w:p w14:paraId="48B7B4FA">
                  <w:pPr>
                    <w:pStyle w:val="122"/>
                    <w:widowControl/>
                    <w:rPr>
                      <w:rFonts w:eastAsiaTheme="minorEastAsia"/>
                      <w:color w:val="000000"/>
                    </w:rPr>
                  </w:pPr>
                  <w:r>
                    <w:rPr>
                      <w:rFonts w:eastAsiaTheme="minorEastAsia"/>
                      <w:color w:val="000000"/>
                    </w:rPr>
                    <w:t>备注</w:t>
                  </w:r>
                </w:p>
              </w:tc>
            </w:tr>
            <w:tr w14:paraId="161970E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44" w:type="dxa"/>
                  <w:vMerge w:val="restart"/>
                  <w:tcBorders>
                    <w:top w:val="nil"/>
                    <w:left w:val="nil"/>
                    <w:bottom w:val="single" w:color="auto" w:sz="4" w:space="0"/>
                    <w:right w:val="single" w:color="auto" w:sz="4" w:space="0"/>
                  </w:tcBorders>
                  <w:vAlign w:val="center"/>
                </w:tcPr>
                <w:p w14:paraId="763182CD">
                  <w:pPr>
                    <w:pStyle w:val="122"/>
                    <w:widowControl/>
                    <w:rPr>
                      <w:rFonts w:eastAsiaTheme="minorEastAsia"/>
                      <w:color w:val="000000"/>
                    </w:rPr>
                  </w:pPr>
                  <w:r>
                    <w:rPr>
                      <w:rFonts w:eastAsiaTheme="minorEastAsia"/>
                      <w:color w:val="000000"/>
                    </w:rPr>
                    <w:t>1</w:t>
                  </w:r>
                </w:p>
              </w:tc>
              <w:tc>
                <w:tcPr>
                  <w:tcW w:w="783" w:type="dxa"/>
                  <w:vMerge w:val="restart"/>
                  <w:tcBorders>
                    <w:top w:val="nil"/>
                    <w:left w:val="nil"/>
                    <w:bottom w:val="single" w:color="auto" w:sz="4" w:space="0"/>
                    <w:right w:val="single" w:color="auto" w:sz="4" w:space="0"/>
                  </w:tcBorders>
                  <w:vAlign w:val="center"/>
                </w:tcPr>
                <w:p w14:paraId="6473DA52">
                  <w:pPr>
                    <w:pStyle w:val="122"/>
                    <w:widowControl/>
                    <w:rPr>
                      <w:rFonts w:eastAsiaTheme="minorEastAsia"/>
                      <w:color w:val="000000"/>
                    </w:rPr>
                  </w:pPr>
                  <w:r>
                    <w:rPr>
                      <w:rFonts w:eastAsiaTheme="minorEastAsia"/>
                      <w:color w:val="000000"/>
                    </w:rPr>
                    <w:t>锰矿石废料</w:t>
                  </w:r>
                </w:p>
              </w:tc>
              <w:tc>
                <w:tcPr>
                  <w:tcW w:w="1330" w:type="dxa"/>
                  <w:vMerge w:val="restart"/>
                  <w:tcBorders>
                    <w:top w:val="nil"/>
                    <w:left w:val="nil"/>
                    <w:bottom w:val="single" w:color="auto" w:sz="4" w:space="0"/>
                    <w:right w:val="single" w:color="auto" w:sz="4" w:space="0"/>
                  </w:tcBorders>
                  <w:vAlign w:val="center"/>
                </w:tcPr>
                <w:p w14:paraId="4B8B72B3">
                  <w:pPr>
                    <w:pStyle w:val="122"/>
                    <w:widowControl/>
                    <w:rPr>
                      <w:rFonts w:eastAsiaTheme="minorEastAsia"/>
                      <w:color w:val="000000"/>
                    </w:rPr>
                  </w:pPr>
                  <w:r>
                    <w:rPr>
                      <w:rFonts w:eastAsiaTheme="minorEastAsia"/>
                      <w:color w:val="000000"/>
                    </w:rPr>
                    <w:t>朝阳县瓦房子镇宏兴锰矿</w:t>
                  </w:r>
                </w:p>
              </w:tc>
              <w:tc>
                <w:tcPr>
                  <w:tcW w:w="851" w:type="dxa"/>
                  <w:vMerge w:val="restart"/>
                  <w:tcBorders>
                    <w:top w:val="nil"/>
                    <w:left w:val="nil"/>
                    <w:bottom w:val="single" w:color="auto" w:sz="4" w:space="0"/>
                    <w:right w:val="single" w:color="auto" w:sz="4" w:space="0"/>
                  </w:tcBorders>
                  <w:vAlign w:val="center"/>
                </w:tcPr>
                <w:p w14:paraId="3FBC20FB">
                  <w:pPr>
                    <w:pStyle w:val="122"/>
                    <w:widowControl/>
                    <w:rPr>
                      <w:rFonts w:eastAsiaTheme="minorEastAsia"/>
                      <w:color w:val="000000"/>
                    </w:rPr>
                  </w:pPr>
                  <w:r>
                    <w:rPr>
                      <w:rFonts w:eastAsiaTheme="minorEastAsia"/>
                      <w:color w:val="000000"/>
                    </w:rPr>
                    <w:t>30000</w:t>
                  </w:r>
                </w:p>
              </w:tc>
              <w:tc>
                <w:tcPr>
                  <w:tcW w:w="850" w:type="dxa"/>
                  <w:vMerge w:val="restart"/>
                  <w:tcBorders>
                    <w:top w:val="nil"/>
                    <w:left w:val="nil"/>
                    <w:bottom w:val="single" w:color="auto" w:sz="4" w:space="0"/>
                    <w:right w:val="single" w:color="auto" w:sz="4" w:space="0"/>
                  </w:tcBorders>
                  <w:vAlign w:val="center"/>
                </w:tcPr>
                <w:p w14:paraId="2F4A22DD">
                  <w:pPr>
                    <w:pStyle w:val="122"/>
                    <w:widowControl/>
                    <w:rPr>
                      <w:rFonts w:eastAsiaTheme="minorEastAsia"/>
                      <w:color w:val="000000"/>
                    </w:rPr>
                  </w:pPr>
                  <w:r>
                    <w:rPr>
                      <w:rFonts w:eastAsiaTheme="minorEastAsia"/>
                      <w:color w:val="000000"/>
                    </w:rPr>
                    <w:t>30000</w:t>
                  </w:r>
                </w:p>
              </w:tc>
              <w:tc>
                <w:tcPr>
                  <w:tcW w:w="2693" w:type="dxa"/>
                  <w:tcBorders>
                    <w:top w:val="single" w:color="auto" w:sz="4" w:space="0"/>
                    <w:left w:val="nil"/>
                    <w:bottom w:val="single" w:color="auto" w:sz="4" w:space="0"/>
                    <w:right w:val="single" w:color="auto" w:sz="4" w:space="0"/>
                  </w:tcBorders>
                  <w:vAlign w:val="center"/>
                </w:tcPr>
                <w:p w14:paraId="4A283E6B">
                  <w:pPr>
                    <w:pStyle w:val="122"/>
                    <w:widowControl/>
                    <w:rPr>
                      <w:rFonts w:eastAsiaTheme="minorEastAsia"/>
                      <w:color w:val="000000"/>
                    </w:rPr>
                  </w:pPr>
                  <w:r>
                    <w:rPr>
                      <w:rFonts w:eastAsiaTheme="minorEastAsia"/>
                      <w:color w:val="000000"/>
                    </w:rPr>
                    <w:t>《朝阳县瓦房子镇宏兴锰矿年产3万吨富锰渣建设项目环境影响报告书》批复</w:t>
                  </w:r>
                </w:p>
              </w:tc>
              <w:tc>
                <w:tcPr>
                  <w:tcW w:w="993" w:type="dxa"/>
                  <w:vMerge w:val="restart"/>
                  <w:tcBorders>
                    <w:top w:val="nil"/>
                    <w:left w:val="nil"/>
                    <w:bottom w:val="single" w:color="auto" w:sz="4" w:space="0"/>
                    <w:right w:val="nil"/>
                  </w:tcBorders>
                  <w:vAlign w:val="center"/>
                </w:tcPr>
                <w:p w14:paraId="04EF6950">
                  <w:pPr>
                    <w:pStyle w:val="122"/>
                    <w:widowControl/>
                    <w:rPr>
                      <w:rFonts w:eastAsiaTheme="minorEastAsia"/>
                      <w:color w:val="000000"/>
                    </w:rPr>
                  </w:pPr>
                  <w:r>
                    <w:rPr>
                      <w:rFonts w:eastAsiaTheme="minorEastAsia"/>
                      <w:color w:val="000000"/>
                    </w:rPr>
                    <w:t>一般固废</w:t>
                  </w:r>
                </w:p>
              </w:tc>
              <w:tc>
                <w:tcPr>
                  <w:tcW w:w="942" w:type="dxa"/>
                  <w:vMerge w:val="restart"/>
                  <w:tcBorders>
                    <w:top w:val="nil"/>
                    <w:left w:val="single" w:color="auto" w:sz="4" w:space="0"/>
                    <w:bottom w:val="single" w:color="auto" w:sz="4" w:space="0"/>
                    <w:right w:val="nil"/>
                  </w:tcBorders>
                  <w:vAlign w:val="center"/>
                </w:tcPr>
                <w:p w14:paraId="6FA7DEC0">
                  <w:pPr>
                    <w:pStyle w:val="122"/>
                    <w:widowControl/>
                    <w:rPr>
                      <w:rFonts w:eastAsiaTheme="minorEastAsia"/>
                      <w:color w:val="000000"/>
                    </w:rPr>
                  </w:pPr>
                  <w:r>
                    <w:rPr>
                      <w:rFonts w:eastAsiaTheme="minorEastAsia"/>
                      <w:color w:val="000000"/>
                    </w:rPr>
                    <w:t>-</w:t>
                  </w:r>
                </w:p>
              </w:tc>
            </w:tr>
            <w:tr w14:paraId="5CE2F47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44" w:type="dxa"/>
                  <w:vMerge w:val="continue"/>
                  <w:tcBorders>
                    <w:top w:val="nil"/>
                    <w:left w:val="nil"/>
                    <w:bottom w:val="single" w:color="auto" w:sz="4" w:space="0"/>
                    <w:right w:val="single" w:color="auto" w:sz="4" w:space="0"/>
                  </w:tcBorders>
                  <w:vAlign w:val="center"/>
                </w:tcPr>
                <w:p w14:paraId="690CF8DA">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31B3A01C">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53120EA3">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76C87374">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03022D18">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0588A041">
                  <w:pPr>
                    <w:pStyle w:val="122"/>
                    <w:widowControl/>
                    <w:rPr>
                      <w:rFonts w:eastAsiaTheme="minorEastAsia"/>
                      <w:color w:val="000000"/>
                    </w:rPr>
                  </w:pPr>
                  <w:r>
                    <w:rPr>
                      <w:rFonts w:eastAsiaTheme="minorEastAsia"/>
                      <w:color w:val="000000"/>
                    </w:rPr>
                    <w:t>朝阳县瓦房子镇宏兴锰矿《排污许可证》</w:t>
                  </w:r>
                </w:p>
              </w:tc>
              <w:tc>
                <w:tcPr>
                  <w:tcW w:w="993" w:type="dxa"/>
                  <w:vMerge w:val="continue"/>
                  <w:tcBorders>
                    <w:top w:val="nil"/>
                    <w:left w:val="nil"/>
                    <w:bottom w:val="single" w:color="auto" w:sz="4" w:space="0"/>
                    <w:right w:val="nil"/>
                  </w:tcBorders>
                  <w:vAlign w:val="center"/>
                </w:tcPr>
                <w:p w14:paraId="6578895F">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5C3AF557">
                  <w:pPr>
                    <w:widowControl/>
                    <w:jc w:val="left"/>
                    <w:rPr>
                      <w:rFonts w:eastAsiaTheme="minorEastAsia"/>
                      <w:color w:val="000000"/>
                      <w:szCs w:val="21"/>
                    </w:rPr>
                  </w:pPr>
                </w:p>
              </w:tc>
            </w:tr>
            <w:tr w14:paraId="42AE951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44" w:type="dxa"/>
                  <w:vMerge w:val="continue"/>
                  <w:tcBorders>
                    <w:top w:val="nil"/>
                    <w:left w:val="nil"/>
                    <w:bottom w:val="single" w:color="auto" w:sz="4" w:space="0"/>
                    <w:right w:val="single" w:color="auto" w:sz="4" w:space="0"/>
                  </w:tcBorders>
                  <w:vAlign w:val="center"/>
                </w:tcPr>
                <w:p w14:paraId="09C9DF6A">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208C98FC">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4CD5CD38">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412EB6BC">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38251886">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022A9870">
                  <w:pPr>
                    <w:pStyle w:val="122"/>
                    <w:widowControl/>
                    <w:rPr>
                      <w:rFonts w:eastAsiaTheme="minorEastAsia"/>
                      <w:color w:val="000000"/>
                    </w:rPr>
                  </w:pPr>
                  <w:r>
                    <w:rPr>
                      <w:rFonts w:eastAsiaTheme="minorEastAsia"/>
                      <w:color w:val="000000"/>
                    </w:rPr>
                    <w:t>朝阳县瓦房子镇宏兴锰矿年产3万吨富锰渣建设项目验收意见</w:t>
                  </w:r>
                </w:p>
              </w:tc>
              <w:tc>
                <w:tcPr>
                  <w:tcW w:w="993" w:type="dxa"/>
                  <w:vMerge w:val="continue"/>
                  <w:tcBorders>
                    <w:top w:val="nil"/>
                    <w:left w:val="nil"/>
                    <w:bottom w:val="single" w:color="auto" w:sz="4" w:space="0"/>
                    <w:right w:val="nil"/>
                  </w:tcBorders>
                  <w:vAlign w:val="center"/>
                </w:tcPr>
                <w:p w14:paraId="3726A64D">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60C6B8DB">
                  <w:pPr>
                    <w:widowControl/>
                    <w:jc w:val="left"/>
                    <w:rPr>
                      <w:rFonts w:eastAsiaTheme="minorEastAsia"/>
                      <w:color w:val="000000"/>
                      <w:szCs w:val="21"/>
                    </w:rPr>
                  </w:pPr>
                </w:p>
              </w:tc>
            </w:tr>
            <w:tr w14:paraId="51DB8D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244" w:type="dxa"/>
                  <w:vMerge w:val="restart"/>
                  <w:tcBorders>
                    <w:top w:val="nil"/>
                    <w:left w:val="nil"/>
                    <w:bottom w:val="single" w:color="auto" w:sz="4" w:space="0"/>
                    <w:right w:val="single" w:color="auto" w:sz="4" w:space="0"/>
                  </w:tcBorders>
                  <w:vAlign w:val="center"/>
                </w:tcPr>
                <w:p w14:paraId="3E9A1335">
                  <w:pPr>
                    <w:pStyle w:val="122"/>
                    <w:widowControl/>
                    <w:rPr>
                      <w:rFonts w:eastAsiaTheme="minorEastAsia"/>
                      <w:color w:val="000000"/>
                    </w:rPr>
                  </w:pPr>
                  <w:r>
                    <w:rPr>
                      <w:rFonts w:eastAsiaTheme="minorEastAsia"/>
                      <w:color w:val="000000"/>
                    </w:rPr>
                    <w:t>2</w:t>
                  </w:r>
                </w:p>
              </w:tc>
              <w:tc>
                <w:tcPr>
                  <w:tcW w:w="783" w:type="dxa"/>
                  <w:vMerge w:val="restart"/>
                  <w:tcBorders>
                    <w:top w:val="nil"/>
                    <w:left w:val="nil"/>
                    <w:bottom w:val="single" w:color="auto" w:sz="4" w:space="0"/>
                    <w:right w:val="single" w:color="auto" w:sz="4" w:space="0"/>
                  </w:tcBorders>
                  <w:vAlign w:val="center"/>
                </w:tcPr>
                <w:p w14:paraId="37DFA428">
                  <w:pPr>
                    <w:pStyle w:val="122"/>
                    <w:widowControl/>
                    <w:rPr>
                      <w:rFonts w:eastAsiaTheme="minorEastAsia"/>
                      <w:color w:val="000000"/>
                    </w:rPr>
                  </w:pPr>
                  <w:r>
                    <w:rPr>
                      <w:rFonts w:eastAsiaTheme="minorEastAsia"/>
                      <w:color w:val="000000"/>
                    </w:rPr>
                    <w:t>锰矿石废料</w:t>
                  </w:r>
                </w:p>
              </w:tc>
              <w:tc>
                <w:tcPr>
                  <w:tcW w:w="1330" w:type="dxa"/>
                  <w:vMerge w:val="restart"/>
                  <w:tcBorders>
                    <w:top w:val="nil"/>
                    <w:left w:val="nil"/>
                    <w:bottom w:val="single" w:color="auto" w:sz="4" w:space="0"/>
                    <w:right w:val="single" w:color="auto" w:sz="4" w:space="0"/>
                  </w:tcBorders>
                  <w:vAlign w:val="center"/>
                </w:tcPr>
                <w:p w14:paraId="19A96C73">
                  <w:pPr>
                    <w:pStyle w:val="122"/>
                    <w:widowControl/>
                    <w:rPr>
                      <w:rFonts w:eastAsiaTheme="minorEastAsia"/>
                      <w:color w:val="000000"/>
                    </w:rPr>
                  </w:pPr>
                  <w:r>
                    <w:rPr>
                      <w:rFonts w:eastAsiaTheme="minorEastAsia"/>
                      <w:color w:val="000000"/>
                    </w:rPr>
                    <w:t>葫芦岛市八家子经济开发区安胜矿产品综合利用有限公司</w:t>
                  </w:r>
                </w:p>
              </w:tc>
              <w:tc>
                <w:tcPr>
                  <w:tcW w:w="851" w:type="dxa"/>
                  <w:vMerge w:val="restart"/>
                  <w:tcBorders>
                    <w:top w:val="nil"/>
                    <w:left w:val="nil"/>
                    <w:bottom w:val="single" w:color="auto" w:sz="4" w:space="0"/>
                    <w:right w:val="single" w:color="auto" w:sz="4" w:space="0"/>
                  </w:tcBorders>
                  <w:vAlign w:val="center"/>
                </w:tcPr>
                <w:p w14:paraId="13B22A0F">
                  <w:pPr>
                    <w:pStyle w:val="122"/>
                    <w:widowControl/>
                    <w:rPr>
                      <w:rFonts w:eastAsiaTheme="minorEastAsia"/>
                      <w:color w:val="000000"/>
                    </w:rPr>
                  </w:pPr>
                  <w:r>
                    <w:rPr>
                      <w:rFonts w:eastAsiaTheme="minorEastAsia"/>
                      <w:color w:val="000000"/>
                    </w:rPr>
                    <w:t>25000</w:t>
                  </w:r>
                </w:p>
              </w:tc>
              <w:tc>
                <w:tcPr>
                  <w:tcW w:w="850" w:type="dxa"/>
                  <w:vMerge w:val="restart"/>
                  <w:tcBorders>
                    <w:top w:val="nil"/>
                    <w:left w:val="nil"/>
                    <w:bottom w:val="single" w:color="auto" w:sz="4" w:space="0"/>
                    <w:right w:val="single" w:color="auto" w:sz="4" w:space="0"/>
                  </w:tcBorders>
                  <w:vAlign w:val="center"/>
                </w:tcPr>
                <w:p w14:paraId="3504305B">
                  <w:pPr>
                    <w:pStyle w:val="122"/>
                    <w:widowControl/>
                    <w:rPr>
                      <w:rFonts w:eastAsiaTheme="minorEastAsia"/>
                      <w:color w:val="000000"/>
                    </w:rPr>
                  </w:pPr>
                  <w:r>
                    <w:rPr>
                      <w:rFonts w:eastAsiaTheme="minorEastAsia"/>
                      <w:color w:val="000000"/>
                    </w:rPr>
                    <w:t>10000</w:t>
                  </w:r>
                </w:p>
              </w:tc>
              <w:tc>
                <w:tcPr>
                  <w:tcW w:w="2693" w:type="dxa"/>
                  <w:tcBorders>
                    <w:top w:val="single" w:color="auto" w:sz="4" w:space="0"/>
                    <w:left w:val="nil"/>
                    <w:bottom w:val="single" w:color="auto" w:sz="4" w:space="0"/>
                    <w:right w:val="single" w:color="auto" w:sz="4" w:space="0"/>
                  </w:tcBorders>
                  <w:vAlign w:val="center"/>
                </w:tcPr>
                <w:p w14:paraId="7CBFE1A8">
                  <w:pPr>
                    <w:pStyle w:val="122"/>
                    <w:widowControl/>
                    <w:rPr>
                      <w:rFonts w:eastAsiaTheme="minorEastAsia"/>
                      <w:color w:val="000000"/>
                    </w:rPr>
                  </w:pPr>
                  <w:r>
                    <w:rPr>
                      <w:rFonts w:eastAsiaTheme="minorEastAsia"/>
                      <w:color w:val="000000"/>
                    </w:rPr>
                    <w:t>葫芦岛市八家子经济开发区安胜矿产品综合利用有限公司现状评估报告及备案审查意见表</w:t>
                  </w:r>
                </w:p>
              </w:tc>
              <w:tc>
                <w:tcPr>
                  <w:tcW w:w="993" w:type="dxa"/>
                  <w:vMerge w:val="restart"/>
                  <w:tcBorders>
                    <w:top w:val="nil"/>
                    <w:left w:val="nil"/>
                    <w:bottom w:val="single" w:color="auto" w:sz="4" w:space="0"/>
                    <w:right w:val="nil"/>
                  </w:tcBorders>
                  <w:vAlign w:val="center"/>
                </w:tcPr>
                <w:p w14:paraId="6840D8A0">
                  <w:pPr>
                    <w:pStyle w:val="122"/>
                    <w:widowControl/>
                    <w:rPr>
                      <w:rFonts w:eastAsiaTheme="minorEastAsia"/>
                      <w:color w:val="000000"/>
                    </w:rPr>
                  </w:pPr>
                  <w:r>
                    <w:rPr>
                      <w:rFonts w:eastAsiaTheme="minorEastAsia"/>
                      <w:color w:val="000000"/>
                    </w:rPr>
                    <w:t>一般固废</w:t>
                  </w:r>
                </w:p>
              </w:tc>
              <w:tc>
                <w:tcPr>
                  <w:tcW w:w="942" w:type="dxa"/>
                  <w:vMerge w:val="restart"/>
                  <w:tcBorders>
                    <w:top w:val="nil"/>
                    <w:left w:val="single" w:color="auto" w:sz="4" w:space="0"/>
                    <w:bottom w:val="single" w:color="auto" w:sz="4" w:space="0"/>
                    <w:right w:val="nil"/>
                  </w:tcBorders>
                  <w:vAlign w:val="center"/>
                </w:tcPr>
                <w:p w14:paraId="1AC34FDD">
                  <w:pPr>
                    <w:pStyle w:val="122"/>
                    <w:widowControl/>
                    <w:rPr>
                      <w:rFonts w:eastAsiaTheme="minorEastAsia"/>
                      <w:color w:val="000000"/>
                    </w:rPr>
                  </w:pPr>
                  <w:r>
                    <w:rPr>
                      <w:rFonts w:eastAsiaTheme="minorEastAsia"/>
                      <w:color w:val="000000"/>
                    </w:rPr>
                    <w:t>-</w:t>
                  </w:r>
                </w:p>
              </w:tc>
            </w:tr>
            <w:tr w14:paraId="59EEFC7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244" w:type="dxa"/>
                  <w:vMerge w:val="continue"/>
                  <w:tcBorders>
                    <w:top w:val="nil"/>
                    <w:left w:val="nil"/>
                    <w:bottom w:val="single" w:color="auto" w:sz="4" w:space="0"/>
                    <w:right w:val="single" w:color="auto" w:sz="4" w:space="0"/>
                  </w:tcBorders>
                  <w:vAlign w:val="center"/>
                </w:tcPr>
                <w:p w14:paraId="6ED70F1F">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4B6BF9F8">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0861738B">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1D9A43CF">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42282B66">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1A15C1AC">
                  <w:pPr>
                    <w:pStyle w:val="122"/>
                    <w:widowControl/>
                    <w:rPr>
                      <w:rFonts w:eastAsiaTheme="minorEastAsia"/>
                      <w:color w:val="000000"/>
                    </w:rPr>
                  </w:pPr>
                  <w:r>
                    <w:rPr>
                      <w:rFonts w:eastAsiaTheme="minorEastAsia"/>
                      <w:color w:val="000000"/>
                    </w:rPr>
                    <w:t>葫芦岛市八家子经济开发区安胜矿产品综合利用有限公司排污许可证</w:t>
                  </w:r>
                </w:p>
              </w:tc>
              <w:tc>
                <w:tcPr>
                  <w:tcW w:w="993" w:type="dxa"/>
                  <w:vMerge w:val="continue"/>
                  <w:tcBorders>
                    <w:top w:val="nil"/>
                    <w:left w:val="nil"/>
                    <w:bottom w:val="single" w:color="auto" w:sz="4" w:space="0"/>
                    <w:right w:val="nil"/>
                  </w:tcBorders>
                  <w:vAlign w:val="center"/>
                </w:tcPr>
                <w:p w14:paraId="4FB3A040">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39179D01">
                  <w:pPr>
                    <w:widowControl/>
                    <w:jc w:val="left"/>
                    <w:rPr>
                      <w:rFonts w:eastAsiaTheme="minorEastAsia"/>
                      <w:color w:val="000000"/>
                      <w:szCs w:val="21"/>
                    </w:rPr>
                  </w:pPr>
                </w:p>
              </w:tc>
            </w:tr>
            <w:tr w14:paraId="1592EA4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44" w:type="dxa"/>
                  <w:vMerge w:val="restart"/>
                  <w:tcBorders>
                    <w:top w:val="nil"/>
                    <w:left w:val="nil"/>
                    <w:bottom w:val="single" w:color="auto" w:sz="4" w:space="0"/>
                    <w:right w:val="single" w:color="auto" w:sz="4" w:space="0"/>
                  </w:tcBorders>
                  <w:vAlign w:val="center"/>
                </w:tcPr>
                <w:p w14:paraId="4058378C">
                  <w:pPr>
                    <w:pStyle w:val="122"/>
                    <w:widowControl/>
                    <w:rPr>
                      <w:rFonts w:eastAsiaTheme="minorEastAsia"/>
                      <w:color w:val="000000"/>
                    </w:rPr>
                  </w:pPr>
                  <w:r>
                    <w:rPr>
                      <w:rFonts w:eastAsiaTheme="minorEastAsia"/>
                      <w:color w:val="000000"/>
                    </w:rPr>
                    <w:t>3</w:t>
                  </w:r>
                </w:p>
              </w:tc>
              <w:tc>
                <w:tcPr>
                  <w:tcW w:w="783" w:type="dxa"/>
                  <w:vMerge w:val="restart"/>
                  <w:tcBorders>
                    <w:top w:val="nil"/>
                    <w:left w:val="nil"/>
                    <w:bottom w:val="single" w:color="auto" w:sz="4" w:space="0"/>
                    <w:right w:val="single" w:color="auto" w:sz="4" w:space="0"/>
                  </w:tcBorders>
                  <w:vAlign w:val="center"/>
                </w:tcPr>
                <w:p w14:paraId="1357D94B">
                  <w:pPr>
                    <w:pStyle w:val="122"/>
                    <w:widowControl/>
                    <w:rPr>
                      <w:rFonts w:eastAsiaTheme="minorEastAsia"/>
                      <w:color w:val="000000"/>
                    </w:rPr>
                  </w:pPr>
                  <w:r>
                    <w:rPr>
                      <w:rFonts w:eastAsiaTheme="minorEastAsia"/>
                      <w:color w:val="000000"/>
                    </w:rPr>
                    <w:t>锰矿石废料</w:t>
                  </w:r>
                </w:p>
              </w:tc>
              <w:tc>
                <w:tcPr>
                  <w:tcW w:w="1330" w:type="dxa"/>
                  <w:vMerge w:val="restart"/>
                  <w:tcBorders>
                    <w:top w:val="nil"/>
                    <w:left w:val="nil"/>
                    <w:bottom w:val="single" w:color="auto" w:sz="4" w:space="0"/>
                    <w:right w:val="single" w:color="auto" w:sz="4" w:space="0"/>
                  </w:tcBorders>
                  <w:vAlign w:val="center"/>
                </w:tcPr>
                <w:p w14:paraId="2C37C726">
                  <w:pPr>
                    <w:pStyle w:val="122"/>
                    <w:widowControl/>
                    <w:rPr>
                      <w:rFonts w:eastAsiaTheme="minorEastAsia"/>
                      <w:color w:val="000000"/>
                    </w:rPr>
                  </w:pPr>
                  <w:r>
                    <w:rPr>
                      <w:rFonts w:eastAsiaTheme="minorEastAsia"/>
                      <w:color w:val="000000"/>
                    </w:rPr>
                    <w:t>辽宁鑫方成新材料有限公司</w:t>
                  </w:r>
                </w:p>
              </w:tc>
              <w:tc>
                <w:tcPr>
                  <w:tcW w:w="851" w:type="dxa"/>
                  <w:vMerge w:val="restart"/>
                  <w:tcBorders>
                    <w:top w:val="nil"/>
                    <w:left w:val="nil"/>
                    <w:bottom w:val="single" w:color="auto" w:sz="4" w:space="0"/>
                    <w:right w:val="single" w:color="auto" w:sz="4" w:space="0"/>
                  </w:tcBorders>
                  <w:vAlign w:val="center"/>
                </w:tcPr>
                <w:p w14:paraId="72DFB96B">
                  <w:pPr>
                    <w:pStyle w:val="122"/>
                    <w:widowControl/>
                    <w:rPr>
                      <w:rFonts w:eastAsiaTheme="minorEastAsia"/>
                      <w:color w:val="000000"/>
                    </w:rPr>
                  </w:pPr>
                  <w:r>
                    <w:rPr>
                      <w:rFonts w:eastAsiaTheme="minorEastAsia"/>
                      <w:color w:val="000000"/>
                    </w:rPr>
                    <w:t>25000</w:t>
                  </w:r>
                </w:p>
              </w:tc>
              <w:tc>
                <w:tcPr>
                  <w:tcW w:w="850" w:type="dxa"/>
                  <w:vMerge w:val="restart"/>
                  <w:tcBorders>
                    <w:top w:val="nil"/>
                    <w:left w:val="nil"/>
                    <w:bottom w:val="single" w:color="auto" w:sz="4" w:space="0"/>
                    <w:right w:val="single" w:color="auto" w:sz="4" w:space="0"/>
                  </w:tcBorders>
                  <w:vAlign w:val="center"/>
                </w:tcPr>
                <w:p w14:paraId="0BD93C0E">
                  <w:pPr>
                    <w:pStyle w:val="122"/>
                    <w:widowControl/>
                    <w:rPr>
                      <w:rFonts w:eastAsiaTheme="minorEastAsia"/>
                      <w:color w:val="000000"/>
                    </w:rPr>
                  </w:pPr>
                  <w:r>
                    <w:rPr>
                      <w:rFonts w:eastAsiaTheme="minorEastAsia"/>
                      <w:color w:val="000000"/>
                    </w:rPr>
                    <w:t>10000</w:t>
                  </w:r>
                </w:p>
              </w:tc>
              <w:tc>
                <w:tcPr>
                  <w:tcW w:w="2693" w:type="dxa"/>
                  <w:tcBorders>
                    <w:top w:val="single" w:color="auto" w:sz="4" w:space="0"/>
                    <w:left w:val="nil"/>
                    <w:bottom w:val="single" w:color="auto" w:sz="4" w:space="0"/>
                    <w:right w:val="single" w:color="auto" w:sz="4" w:space="0"/>
                  </w:tcBorders>
                  <w:vAlign w:val="center"/>
                </w:tcPr>
                <w:p w14:paraId="27E19411">
                  <w:pPr>
                    <w:pStyle w:val="122"/>
                    <w:widowControl/>
                    <w:rPr>
                      <w:rFonts w:eastAsiaTheme="minorEastAsia"/>
                      <w:color w:val="000000"/>
                    </w:rPr>
                  </w:pPr>
                  <w:r>
                    <w:rPr>
                      <w:rFonts w:eastAsiaTheme="minorEastAsia"/>
                      <w:color w:val="000000"/>
                    </w:rPr>
                    <w:t>情况说明</w:t>
                  </w:r>
                  <w:r>
                    <w:rPr>
                      <w:rFonts w:eastAsiaTheme="minorEastAsia"/>
                      <w:color w:val="0000FF"/>
                    </w:rPr>
                    <w:t>（包括辽宁鑫方成新材料有限公司收购朝阳振兴冶炼有限公司等内容）</w:t>
                  </w:r>
                </w:p>
              </w:tc>
              <w:tc>
                <w:tcPr>
                  <w:tcW w:w="993" w:type="dxa"/>
                  <w:vMerge w:val="restart"/>
                  <w:tcBorders>
                    <w:top w:val="nil"/>
                    <w:left w:val="nil"/>
                    <w:bottom w:val="single" w:color="auto" w:sz="4" w:space="0"/>
                    <w:right w:val="nil"/>
                  </w:tcBorders>
                  <w:vAlign w:val="center"/>
                </w:tcPr>
                <w:p w14:paraId="13FA25BF">
                  <w:pPr>
                    <w:pStyle w:val="122"/>
                    <w:widowControl/>
                    <w:rPr>
                      <w:rFonts w:eastAsiaTheme="minorEastAsia"/>
                      <w:color w:val="000000"/>
                    </w:rPr>
                  </w:pPr>
                  <w:r>
                    <w:rPr>
                      <w:rFonts w:eastAsiaTheme="minorEastAsia"/>
                      <w:color w:val="000000"/>
                    </w:rPr>
                    <w:t>一般固废</w:t>
                  </w:r>
                </w:p>
              </w:tc>
              <w:tc>
                <w:tcPr>
                  <w:tcW w:w="942" w:type="dxa"/>
                  <w:vMerge w:val="restart"/>
                  <w:tcBorders>
                    <w:top w:val="nil"/>
                    <w:left w:val="single" w:color="auto" w:sz="4" w:space="0"/>
                    <w:bottom w:val="single" w:color="auto" w:sz="4" w:space="0"/>
                    <w:right w:val="nil"/>
                  </w:tcBorders>
                  <w:vAlign w:val="center"/>
                </w:tcPr>
                <w:p w14:paraId="7E86D47E">
                  <w:pPr>
                    <w:pStyle w:val="122"/>
                    <w:widowControl/>
                    <w:rPr>
                      <w:rFonts w:eastAsiaTheme="minorEastAsia"/>
                      <w:color w:val="000000"/>
                    </w:rPr>
                  </w:pPr>
                  <w:r>
                    <w:rPr>
                      <w:rFonts w:eastAsiaTheme="minorEastAsia"/>
                      <w:color w:val="0000FF"/>
                    </w:rPr>
                    <w:t>朝阳振兴冶炼有限公司已被辽宁鑫方成新材料有限公司收购</w:t>
                  </w:r>
                </w:p>
              </w:tc>
            </w:tr>
            <w:tr w14:paraId="75DFE70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44" w:type="dxa"/>
                  <w:vMerge w:val="continue"/>
                  <w:tcBorders>
                    <w:top w:val="nil"/>
                    <w:left w:val="nil"/>
                    <w:bottom w:val="single" w:color="auto" w:sz="4" w:space="0"/>
                    <w:right w:val="single" w:color="auto" w:sz="4" w:space="0"/>
                  </w:tcBorders>
                  <w:vAlign w:val="center"/>
                </w:tcPr>
                <w:p w14:paraId="4031521F">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3F2843EE">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06C2E50B">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7DD999D4">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1FEF5B1F">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3C87668A">
                  <w:pPr>
                    <w:pStyle w:val="122"/>
                    <w:widowControl/>
                    <w:rPr>
                      <w:rFonts w:eastAsiaTheme="minorEastAsia"/>
                      <w:color w:val="000000"/>
                    </w:rPr>
                  </w:pPr>
                  <w:r>
                    <w:rPr>
                      <w:rFonts w:eastAsiaTheme="minorEastAsia"/>
                      <w:color w:val="0000FF"/>
                    </w:rPr>
                    <w:t>《朝阳振兴冶炼厂锰矿石加工项目环境影响报告表》的批复</w:t>
                  </w:r>
                </w:p>
              </w:tc>
              <w:tc>
                <w:tcPr>
                  <w:tcW w:w="993" w:type="dxa"/>
                  <w:vMerge w:val="continue"/>
                  <w:tcBorders>
                    <w:top w:val="nil"/>
                    <w:left w:val="nil"/>
                    <w:bottom w:val="single" w:color="auto" w:sz="4" w:space="0"/>
                    <w:right w:val="nil"/>
                  </w:tcBorders>
                  <w:vAlign w:val="center"/>
                </w:tcPr>
                <w:p w14:paraId="31759167">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0657EB06">
                  <w:pPr>
                    <w:widowControl/>
                    <w:jc w:val="left"/>
                    <w:rPr>
                      <w:rFonts w:eastAsiaTheme="minorEastAsia"/>
                      <w:color w:val="000000"/>
                      <w:szCs w:val="21"/>
                    </w:rPr>
                  </w:pPr>
                </w:p>
              </w:tc>
            </w:tr>
            <w:tr w14:paraId="2DA177E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44" w:type="dxa"/>
                  <w:vMerge w:val="continue"/>
                  <w:tcBorders>
                    <w:top w:val="nil"/>
                    <w:left w:val="nil"/>
                    <w:bottom w:val="single" w:color="auto" w:sz="4" w:space="0"/>
                    <w:right w:val="single" w:color="auto" w:sz="4" w:space="0"/>
                  </w:tcBorders>
                  <w:vAlign w:val="center"/>
                </w:tcPr>
                <w:p w14:paraId="29AF9519">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4FF79C8C">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693D971A">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7ADA9E07">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2FED6DBA">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429743B9">
                  <w:pPr>
                    <w:pStyle w:val="48"/>
                  </w:pPr>
                  <w:r>
                    <w:t>辽宁鑫方成新材料有限公司《排污许可证》</w:t>
                  </w:r>
                </w:p>
              </w:tc>
              <w:tc>
                <w:tcPr>
                  <w:tcW w:w="993" w:type="dxa"/>
                  <w:vMerge w:val="continue"/>
                  <w:tcBorders>
                    <w:top w:val="nil"/>
                    <w:left w:val="nil"/>
                    <w:bottom w:val="single" w:color="auto" w:sz="4" w:space="0"/>
                    <w:right w:val="nil"/>
                  </w:tcBorders>
                  <w:vAlign w:val="center"/>
                </w:tcPr>
                <w:p w14:paraId="400DF12A">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71E9B3BE">
                  <w:pPr>
                    <w:widowControl/>
                    <w:jc w:val="left"/>
                    <w:rPr>
                      <w:rFonts w:eastAsiaTheme="minorEastAsia"/>
                      <w:color w:val="000000"/>
                      <w:szCs w:val="21"/>
                    </w:rPr>
                  </w:pPr>
                </w:p>
              </w:tc>
            </w:tr>
            <w:tr w14:paraId="65CCB83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44" w:type="dxa"/>
                  <w:vMerge w:val="continue"/>
                  <w:tcBorders>
                    <w:top w:val="nil"/>
                    <w:left w:val="nil"/>
                    <w:bottom w:val="single" w:color="auto" w:sz="4" w:space="0"/>
                    <w:right w:val="single" w:color="auto" w:sz="4" w:space="0"/>
                  </w:tcBorders>
                  <w:vAlign w:val="center"/>
                </w:tcPr>
                <w:p w14:paraId="2681F119">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620B228C">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60394639">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1047F218">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331F4016">
                  <w:pPr>
                    <w:widowControl/>
                    <w:jc w:val="left"/>
                    <w:rPr>
                      <w:rFonts w:eastAsiaTheme="minorEastAsia"/>
                      <w:color w:val="000000"/>
                      <w:szCs w:val="21"/>
                    </w:rPr>
                  </w:pPr>
                </w:p>
              </w:tc>
              <w:tc>
                <w:tcPr>
                  <w:tcW w:w="2693" w:type="dxa"/>
                  <w:tcBorders>
                    <w:top w:val="single" w:color="auto" w:sz="4" w:space="0"/>
                    <w:left w:val="nil"/>
                    <w:bottom w:val="single" w:color="auto" w:sz="4" w:space="0"/>
                    <w:right w:val="single" w:color="auto" w:sz="4" w:space="0"/>
                  </w:tcBorders>
                  <w:vAlign w:val="center"/>
                </w:tcPr>
                <w:p w14:paraId="50EA5CC4">
                  <w:pPr>
                    <w:pStyle w:val="48"/>
                  </w:pPr>
                  <w:r>
                    <w:t>验收情况说明</w:t>
                  </w:r>
                </w:p>
              </w:tc>
              <w:tc>
                <w:tcPr>
                  <w:tcW w:w="993" w:type="dxa"/>
                  <w:vMerge w:val="continue"/>
                  <w:tcBorders>
                    <w:top w:val="nil"/>
                    <w:left w:val="nil"/>
                    <w:bottom w:val="single" w:color="auto" w:sz="4" w:space="0"/>
                    <w:right w:val="nil"/>
                  </w:tcBorders>
                  <w:vAlign w:val="center"/>
                </w:tcPr>
                <w:p w14:paraId="49F59DB3">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6EAFB557">
                  <w:pPr>
                    <w:widowControl/>
                    <w:jc w:val="left"/>
                    <w:rPr>
                      <w:rFonts w:eastAsiaTheme="minorEastAsia"/>
                      <w:color w:val="000000"/>
                      <w:szCs w:val="21"/>
                    </w:rPr>
                  </w:pPr>
                </w:p>
              </w:tc>
            </w:tr>
            <w:tr w14:paraId="7EABD6D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44" w:type="dxa"/>
                  <w:vMerge w:val="continue"/>
                  <w:tcBorders>
                    <w:top w:val="nil"/>
                    <w:left w:val="nil"/>
                    <w:bottom w:val="single" w:color="auto" w:sz="4" w:space="0"/>
                    <w:right w:val="single" w:color="auto" w:sz="4" w:space="0"/>
                  </w:tcBorders>
                  <w:vAlign w:val="center"/>
                </w:tcPr>
                <w:p w14:paraId="79C45904">
                  <w:pPr>
                    <w:widowControl/>
                    <w:jc w:val="left"/>
                    <w:rPr>
                      <w:rFonts w:eastAsiaTheme="minorEastAsia"/>
                      <w:color w:val="000000"/>
                      <w:szCs w:val="21"/>
                    </w:rPr>
                  </w:pPr>
                </w:p>
              </w:tc>
              <w:tc>
                <w:tcPr>
                  <w:tcW w:w="783" w:type="dxa"/>
                  <w:vMerge w:val="continue"/>
                  <w:tcBorders>
                    <w:top w:val="nil"/>
                    <w:left w:val="nil"/>
                    <w:bottom w:val="single" w:color="auto" w:sz="4" w:space="0"/>
                    <w:right w:val="single" w:color="auto" w:sz="4" w:space="0"/>
                  </w:tcBorders>
                  <w:vAlign w:val="center"/>
                </w:tcPr>
                <w:p w14:paraId="7C97E762">
                  <w:pPr>
                    <w:widowControl/>
                    <w:jc w:val="left"/>
                    <w:rPr>
                      <w:rFonts w:eastAsiaTheme="minorEastAsia"/>
                      <w:color w:val="000000"/>
                      <w:szCs w:val="21"/>
                    </w:rPr>
                  </w:pPr>
                </w:p>
              </w:tc>
              <w:tc>
                <w:tcPr>
                  <w:tcW w:w="1330" w:type="dxa"/>
                  <w:vMerge w:val="continue"/>
                  <w:tcBorders>
                    <w:top w:val="nil"/>
                    <w:left w:val="nil"/>
                    <w:bottom w:val="single" w:color="auto" w:sz="4" w:space="0"/>
                    <w:right w:val="single" w:color="auto" w:sz="4" w:space="0"/>
                  </w:tcBorders>
                  <w:vAlign w:val="center"/>
                </w:tcPr>
                <w:p w14:paraId="6A94A165">
                  <w:pPr>
                    <w:widowControl/>
                    <w:jc w:val="left"/>
                    <w:rPr>
                      <w:rFonts w:eastAsiaTheme="minorEastAsia"/>
                      <w:color w:val="000000"/>
                      <w:szCs w:val="21"/>
                    </w:rPr>
                  </w:pPr>
                </w:p>
              </w:tc>
              <w:tc>
                <w:tcPr>
                  <w:tcW w:w="851" w:type="dxa"/>
                  <w:vMerge w:val="continue"/>
                  <w:tcBorders>
                    <w:top w:val="nil"/>
                    <w:left w:val="nil"/>
                    <w:bottom w:val="single" w:color="auto" w:sz="4" w:space="0"/>
                    <w:right w:val="single" w:color="auto" w:sz="4" w:space="0"/>
                  </w:tcBorders>
                  <w:vAlign w:val="center"/>
                </w:tcPr>
                <w:p w14:paraId="63009733">
                  <w:pPr>
                    <w:widowControl/>
                    <w:jc w:val="left"/>
                    <w:rPr>
                      <w:rFonts w:eastAsiaTheme="minorEastAsia"/>
                      <w:color w:val="000000"/>
                      <w:szCs w:val="21"/>
                    </w:rPr>
                  </w:pPr>
                </w:p>
              </w:tc>
              <w:tc>
                <w:tcPr>
                  <w:tcW w:w="850" w:type="dxa"/>
                  <w:vMerge w:val="continue"/>
                  <w:tcBorders>
                    <w:top w:val="nil"/>
                    <w:left w:val="nil"/>
                    <w:bottom w:val="single" w:color="auto" w:sz="4" w:space="0"/>
                    <w:right w:val="single" w:color="auto" w:sz="4" w:space="0"/>
                  </w:tcBorders>
                  <w:vAlign w:val="center"/>
                </w:tcPr>
                <w:p w14:paraId="28B574DE">
                  <w:pPr>
                    <w:widowControl/>
                    <w:jc w:val="left"/>
                    <w:rPr>
                      <w:rFonts w:eastAsiaTheme="minorEastAsia"/>
                      <w:color w:val="000000"/>
                      <w:szCs w:val="21"/>
                    </w:rPr>
                  </w:pPr>
                </w:p>
              </w:tc>
              <w:tc>
                <w:tcPr>
                  <w:tcW w:w="2693" w:type="dxa"/>
                  <w:tcBorders>
                    <w:top w:val="single" w:color="auto" w:sz="4" w:space="0"/>
                    <w:left w:val="nil"/>
                    <w:bottom w:val="double" w:color="auto" w:sz="2" w:space="0"/>
                    <w:right w:val="single" w:color="auto" w:sz="4" w:space="0"/>
                  </w:tcBorders>
                  <w:vAlign w:val="center"/>
                </w:tcPr>
                <w:p w14:paraId="54512D5B">
                  <w:pPr>
                    <w:pStyle w:val="122"/>
                    <w:widowControl/>
                    <w:rPr>
                      <w:rFonts w:eastAsiaTheme="minorEastAsia"/>
                      <w:color w:val="000000"/>
                    </w:rPr>
                  </w:pPr>
                  <w:r>
                    <w:rPr>
                      <w:rFonts w:eastAsiaTheme="minorEastAsia"/>
                      <w:color w:val="0000FF"/>
                    </w:rPr>
                    <w:t>废气企业在线监控系统联网申请表（2026.7.12）</w:t>
                  </w:r>
                </w:p>
              </w:tc>
              <w:tc>
                <w:tcPr>
                  <w:tcW w:w="993" w:type="dxa"/>
                  <w:vMerge w:val="continue"/>
                  <w:tcBorders>
                    <w:top w:val="nil"/>
                    <w:left w:val="nil"/>
                    <w:bottom w:val="single" w:color="auto" w:sz="4" w:space="0"/>
                    <w:right w:val="nil"/>
                  </w:tcBorders>
                  <w:vAlign w:val="center"/>
                </w:tcPr>
                <w:p w14:paraId="4945EB8D">
                  <w:pPr>
                    <w:widowControl/>
                    <w:jc w:val="left"/>
                    <w:rPr>
                      <w:rFonts w:eastAsiaTheme="minorEastAsia"/>
                      <w:color w:val="000000"/>
                      <w:szCs w:val="21"/>
                    </w:rPr>
                  </w:pPr>
                </w:p>
              </w:tc>
              <w:tc>
                <w:tcPr>
                  <w:tcW w:w="942" w:type="dxa"/>
                  <w:vMerge w:val="continue"/>
                  <w:tcBorders>
                    <w:top w:val="nil"/>
                    <w:left w:val="single" w:color="auto" w:sz="4" w:space="0"/>
                    <w:bottom w:val="single" w:color="auto" w:sz="4" w:space="0"/>
                    <w:right w:val="nil"/>
                  </w:tcBorders>
                  <w:vAlign w:val="center"/>
                </w:tcPr>
                <w:p w14:paraId="1A6A64DB">
                  <w:pPr>
                    <w:widowControl/>
                    <w:jc w:val="left"/>
                    <w:rPr>
                      <w:rFonts w:eastAsiaTheme="minorEastAsia"/>
                      <w:color w:val="000000"/>
                      <w:szCs w:val="21"/>
                    </w:rPr>
                  </w:pPr>
                </w:p>
              </w:tc>
            </w:tr>
          </w:tbl>
          <w:p w14:paraId="215EA3B2">
            <w:pPr>
              <w:pStyle w:val="43"/>
              <w:ind w:firstLine="482"/>
              <w:rPr>
                <w:rFonts w:cs="Times New Roman" w:eastAsiaTheme="minorEastAsia"/>
                <w:b/>
                <w:bCs/>
                <w:color w:val="000000" w:themeColor="text1"/>
                <w14:textFill>
                  <w14:solidFill>
                    <w14:schemeClr w14:val="tx1"/>
                  </w14:solidFill>
                </w14:textFill>
              </w:rPr>
            </w:pPr>
            <w:r>
              <w:rPr>
                <w:rFonts w:cs="Times New Roman" w:eastAsiaTheme="minorEastAsia"/>
                <w:b/>
                <w:bCs/>
                <w:color w:val="000000" w:themeColor="text1"/>
                <w14:textFill>
                  <w14:solidFill>
                    <w14:schemeClr w14:val="tx1"/>
                  </w14:solidFill>
                </w14:textFill>
              </w:rPr>
              <w:t>2.项目组成</w:t>
            </w:r>
          </w:p>
          <w:p w14:paraId="46BA9B3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本项目占地面积</w:t>
            </w:r>
            <w:r>
              <w:rPr>
                <w:rFonts w:eastAsiaTheme="minorEastAsia"/>
                <w:color w:val="0000FF"/>
              </w:rPr>
              <w:t>1000 m</w:t>
            </w:r>
            <w:r>
              <w:rPr>
                <w:rFonts w:eastAsiaTheme="minorEastAsia"/>
                <w:color w:val="0000FF"/>
                <w:vertAlign w:val="superscript"/>
              </w:rPr>
              <w:t>2</w:t>
            </w:r>
            <w:r>
              <w:rPr>
                <w:rFonts w:eastAsiaTheme="minorEastAsia"/>
                <w:color w:val="0000FF"/>
              </w:rPr>
              <w:t>，</w:t>
            </w:r>
            <w:r>
              <w:rPr>
                <w:rFonts w:eastAsiaTheme="minorEastAsia"/>
                <w:color w:val="000000" w:themeColor="text1"/>
                <w14:textFill>
                  <w14:solidFill>
                    <w14:schemeClr w14:val="tx1"/>
                  </w14:solidFill>
                </w14:textFill>
              </w:rPr>
              <w:t>全部租用朝阳县瓦房子镇宏兴锰矿厂区占地，建设固体废物回收利用生产线一条。建筑面积</w:t>
            </w:r>
            <w:r>
              <w:rPr>
                <w:rFonts w:eastAsiaTheme="minorEastAsia"/>
                <w:color w:val="0000FF"/>
              </w:rPr>
              <w:t>820m</w:t>
            </w:r>
            <w:r>
              <w:rPr>
                <w:rFonts w:eastAsiaTheme="minorEastAsia"/>
                <w:color w:val="0000FF"/>
                <w:vertAlign w:val="superscript"/>
              </w:rPr>
              <w:t>2</w:t>
            </w:r>
            <w:r>
              <w:rPr>
                <w:rFonts w:eastAsiaTheme="minorEastAsia"/>
                <w:color w:val="0000FF"/>
              </w:rPr>
              <w:t>。建筑面积</w:t>
            </w:r>
            <w:r>
              <w:rPr>
                <w:rFonts w:eastAsiaTheme="minorEastAsia"/>
                <w:color w:val="000000" w:themeColor="text1"/>
                <w14:textFill>
                  <w14:solidFill>
                    <w14:schemeClr w14:val="tx1"/>
                  </w14:solidFill>
                </w14:textFill>
              </w:rPr>
              <w:t>包含烘干车间（2层，每层</w:t>
            </w:r>
            <w:r>
              <w:rPr>
                <w:rFonts w:eastAsiaTheme="minorEastAsia"/>
                <w:color w:val="0000FF"/>
              </w:rPr>
              <w:t>110 m</w:t>
            </w:r>
            <w:r>
              <w:rPr>
                <w:rFonts w:eastAsiaTheme="minorEastAsia"/>
                <w:color w:val="0000FF"/>
                <w:vertAlign w:val="superscript"/>
              </w:rPr>
              <w:t>2</w:t>
            </w:r>
            <w:r>
              <w:rPr>
                <w:rFonts w:eastAsiaTheme="minorEastAsia"/>
                <w:color w:val="0000FF"/>
              </w:rPr>
              <w:t>）220m</w:t>
            </w:r>
            <w:r>
              <w:rPr>
                <w:rFonts w:eastAsiaTheme="minorEastAsia"/>
                <w:color w:val="0000FF"/>
                <w:vertAlign w:val="superscript"/>
              </w:rPr>
              <w:t>2</w:t>
            </w:r>
            <w:r>
              <w:rPr>
                <w:rFonts w:eastAsiaTheme="minorEastAsia"/>
                <w:color w:val="000000" w:themeColor="text1"/>
                <w14:textFill>
                  <w14:solidFill>
                    <w14:schemeClr w14:val="tx1"/>
                  </w14:solidFill>
                </w14:textFill>
              </w:rPr>
              <w:t>，生产车间</w:t>
            </w:r>
            <w:r>
              <w:rPr>
                <w:rFonts w:eastAsiaTheme="minorEastAsia"/>
                <w:color w:val="0000FF"/>
              </w:rPr>
              <w:t>110m</w:t>
            </w:r>
            <w:r>
              <w:rPr>
                <w:rFonts w:eastAsiaTheme="minorEastAsia"/>
                <w:color w:val="0000FF"/>
                <w:vertAlign w:val="superscript"/>
              </w:rPr>
              <w:t>2</w:t>
            </w:r>
            <w:r>
              <w:rPr>
                <w:rFonts w:eastAsiaTheme="minorEastAsia"/>
                <w:color w:val="000000" w:themeColor="text1"/>
                <w14:textFill>
                  <w14:solidFill>
                    <w14:schemeClr w14:val="tx1"/>
                  </w14:solidFill>
                </w14:textFill>
              </w:rPr>
              <w:t>，原料库</w:t>
            </w:r>
            <w:r>
              <w:rPr>
                <w:rFonts w:eastAsiaTheme="minorEastAsia"/>
                <w:color w:val="0000FF"/>
              </w:rPr>
              <w:t>250m</w:t>
            </w:r>
            <w:r>
              <w:rPr>
                <w:rFonts w:eastAsiaTheme="minorEastAsia"/>
                <w:color w:val="0000FF"/>
                <w:vertAlign w:val="superscript"/>
              </w:rPr>
              <w:t>2</w:t>
            </w:r>
            <w:r>
              <w:rPr>
                <w:rFonts w:eastAsiaTheme="minorEastAsia"/>
                <w:color w:val="0000FF"/>
              </w:rPr>
              <w:t>，</w:t>
            </w:r>
            <w:r>
              <w:rPr>
                <w:rFonts w:eastAsiaTheme="minorEastAsia"/>
                <w:color w:val="000000" w:themeColor="text1"/>
                <w14:textFill>
                  <w14:solidFill>
                    <w14:schemeClr w14:val="tx1"/>
                  </w14:solidFill>
                </w14:textFill>
              </w:rPr>
              <w:t>产品库</w:t>
            </w:r>
            <w:r>
              <w:rPr>
                <w:rFonts w:eastAsiaTheme="minorEastAsia"/>
                <w:color w:val="0000FF"/>
              </w:rPr>
              <w:t>200m</w:t>
            </w:r>
            <w:r>
              <w:rPr>
                <w:rFonts w:eastAsiaTheme="minorEastAsia"/>
                <w:color w:val="0000FF"/>
                <w:vertAlign w:val="superscript"/>
              </w:rPr>
              <w:t>2</w:t>
            </w:r>
            <w:r>
              <w:rPr>
                <w:rFonts w:eastAsiaTheme="minorEastAsia"/>
                <w:color w:val="000000" w:themeColor="text1"/>
                <w14:textFill>
                  <w14:solidFill>
                    <w14:schemeClr w14:val="tx1"/>
                  </w14:solidFill>
                </w14:textFill>
              </w:rPr>
              <w:t>，</w:t>
            </w:r>
            <w:r>
              <w:rPr>
                <w:rFonts w:eastAsiaTheme="minorEastAsia"/>
                <w:color w:val="0000FF"/>
              </w:rPr>
              <w:t>危废贮存点10m</w:t>
            </w:r>
            <w:r>
              <w:rPr>
                <w:rFonts w:eastAsiaTheme="minorEastAsia"/>
                <w:color w:val="0000FF"/>
                <w:vertAlign w:val="superscript"/>
              </w:rPr>
              <w:t>2</w:t>
            </w:r>
            <w:r>
              <w:rPr>
                <w:rFonts w:eastAsiaTheme="minorEastAsia"/>
                <w:color w:val="0000FF"/>
              </w:rPr>
              <w:t>，一般固废暂存间30m</w:t>
            </w:r>
            <w:r>
              <w:rPr>
                <w:rFonts w:eastAsiaTheme="minorEastAsia"/>
                <w:color w:val="0000FF"/>
                <w:vertAlign w:val="superscript"/>
              </w:rPr>
              <w:t>2</w:t>
            </w:r>
            <w:r>
              <w:rPr>
                <w:rFonts w:eastAsiaTheme="minorEastAsia"/>
                <w:color w:val="0000FF"/>
              </w:rPr>
              <w:t>。</w:t>
            </w:r>
            <w:r>
              <w:rPr>
                <w:rFonts w:eastAsiaTheme="minorEastAsia"/>
                <w:color w:val="000000" w:themeColor="text1"/>
                <w14:textFill>
                  <w14:solidFill>
                    <w14:schemeClr w14:val="tx1"/>
                  </w14:solidFill>
                </w14:textFill>
              </w:rPr>
              <w:t>详见表2-2。</w:t>
            </w:r>
          </w:p>
          <w:p w14:paraId="7FE04AC3">
            <w:pPr>
              <w:pStyle w:val="65"/>
              <w:ind w:firstLine="480"/>
              <w:rPr>
                <w:rFonts w:eastAsiaTheme="minorEastAsia"/>
                <w:color w:val="000000" w:themeColor="text1"/>
                <w14:textFill>
                  <w14:solidFill>
                    <w14:schemeClr w14:val="tx1"/>
                  </w14:solidFill>
                </w14:textFill>
              </w:rPr>
            </w:pPr>
            <w:bookmarkStart w:id="3" w:name="OLE_LINK26"/>
            <w:r>
              <w:rPr>
                <w:rFonts w:eastAsiaTheme="minorEastAsia"/>
                <w:color w:val="000000" w:themeColor="text1"/>
                <w14:textFill>
                  <w14:solidFill>
                    <w14:schemeClr w14:val="tx1"/>
                  </w14:solidFill>
                </w14:textFill>
              </w:rPr>
              <w:t>（1）本项目工程组成情况见表2-</w:t>
            </w:r>
            <w:bookmarkEnd w:id="3"/>
            <w:r>
              <w:rPr>
                <w:rFonts w:eastAsiaTheme="minorEastAsia"/>
                <w:color w:val="000000" w:themeColor="text1"/>
                <w14:textFill>
                  <w14:solidFill>
                    <w14:schemeClr w14:val="tx1"/>
                  </w14:solidFill>
                </w14:textFill>
              </w:rPr>
              <w:t>2。</w:t>
            </w:r>
          </w:p>
          <w:p w14:paraId="5AA1223C">
            <w:pPr>
              <w:pStyle w:val="49"/>
              <w:rPr>
                <w:rFonts w:eastAsiaTheme="minorEastAsia"/>
              </w:rPr>
            </w:pPr>
            <w:r>
              <w:rPr>
                <w:rFonts w:eastAsiaTheme="minorEastAsia"/>
              </w:rPr>
              <w:t>表2-2本项目工程组成一览表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306"/>
              <w:gridCol w:w="728"/>
              <w:gridCol w:w="2136"/>
              <w:gridCol w:w="2136"/>
              <w:gridCol w:w="1482"/>
            </w:tblGrid>
            <w:tr w14:paraId="4A5ED48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Align w:val="center"/>
                </w:tcPr>
                <w:p w14:paraId="72AB3A53">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工程类别</w:t>
                  </w:r>
                </w:p>
              </w:tc>
              <w:tc>
                <w:tcPr>
                  <w:tcW w:w="1305" w:type="dxa"/>
                  <w:vAlign w:val="center"/>
                </w:tcPr>
                <w:p w14:paraId="2DE97CE3">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工程名称</w:t>
                  </w:r>
                </w:p>
              </w:tc>
              <w:tc>
                <w:tcPr>
                  <w:tcW w:w="4998" w:type="dxa"/>
                  <w:gridSpan w:val="3"/>
                  <w:vAlign w:val="center"/>
                </w:tcPr>
                <w:p w14:paraId="7168D85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建设内容及规模</w:t>
                  </w:r>
                </w:p>
              </w:tc>
              <w:tc>
                <w:tcPr>
                  <w:tcW w:w="1481" w:type="dxa"/>
                  <w:vAlign w:val="center"/>
                </w:tcPr>
                <w:p w14:paraId="5E3FA30B">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建设情况</w:t>
                  </w:r>
                </w:p>
              </w:tc>
            </w:tr>
            <w:tr w14:paraId="5EF3E01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restart"/>
                  <w:vAlign w:val="center"/>
                </w:tcPr>
                <w:p w14:paraId="330B4E34">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主体工程</w:t>
                  </w:r>
                </w:p>
              </w:tc>
              <w:tc>
                <w:tcPr>
                  <w:tcW w:w="1305" w:type="dxa"/>
                  <w:vAlign w:val="center"/>
                </w:tcPr>
                <w:p w14:paraId="53C3E599">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w:t>
                  </w:r>
                </w:p>
              </w:tc>
              <w:tc>
                <w:tcPr>
                  <w:tcW w:w="4998" w:type="dxa"/>
                  <w:gridSpan w:val="3"/>
                  <w:vAlign w:val="center"/>
                </w:tcPr>
                <w:p w14:paraId="1D4C0E14">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烘干车间位于租用场地内</w:t>
                  </w:r>
                  <w:r>
                    <w:rPr>
                      <w:rFonts w:eastAsiaTheme="minorEastAsia"/>
                      <w:color w:val="0000FF"/>
                    </w:rPr>
                    <w:t>东北侧</w:t>
                  </w:r>
                  <w:r>
                    <w:rPr>
                      <w:rFonts w:eastAsiaTheme="minorEastAsia"/>
                      <w:color w:val="000000" w:themeColor="text1"/>
                      <w14:textFill>
                        <w14:solidFill>
                          <w14:schemeClr w14:val="tx1"/>
                        </w14:solidFill>
                      </w14:textFill>
                    </w:rPr>
                    <w:t>，建筑面积（2层，每层</w:t>
                  </w:r>
                  <w:r>
                    <w:rPr>
                      <w:rFonts w:eastAsiaTheme="minorEastAsia"/>
                      <w:color w:val="0000FF"/>
                    </w:rPr>
                    <w:t>110 m</w:t>
                  </w:r>
                  <w:r>
                    <w:rPr>
                      <w:rFonts w:eastAsiaTheme="minorEastAsia"/>
                      <w:color w:val="0000FF"/>
                      <w:vertAlign w:val="superscript"/>
                    </w:rPr>
                    <w:t>2</w:t>
                  </w:r>
                  <w:r>
                    <w:rPr>
                      <w:rFonts w:eastAsiaTheme="minorEastAsia"/>
                      <w:color w:val="0000FF"/>
                    </w:rPr>
                    <w:t>，</w:t>
                  </w:r>
                  <w:r>
                    <w:rPr>
                      <w:rFonts w:eastAsiaTheme="minorEastAsia"/>
                      <w:color w:val="000000" w:themeColor="text1"/>
                      <w14:textFill>
                        <w14:solidFill>
                          <w14:schemeClr w14:val="tx1"/>
                        </w14:solidFill>
                      </w14:textFill>
                    </w:rPr>
                    <w:t>上层为烘干车间，下层为脱硫系统）</w:t>
                  </w:r>
                  <w:r>
                    <w:rPr>
                      <w:rFonts w:eastAsiaTheme="minorEastAsia"/>
                      <w:color w:val="0000FF"/>
                    </w:rPr>
                    <w:t>220m</w:t>
                  </w:r>
                  <w:r>
                    <w:rPr>
                      <w:rFonts w:eastAsiaTheme="minorEastAsia"/>
                      <w:color w:val="0000FF"/>
                      <w:vertAlign w:val="superscript"/>
                    </w:rPr>
                    <w:t>2</w:t>
                  </w:r>
                  <w:r>
                    <w:rPr>
                      <w:rFonts w:eastAsiaTheme="minorEastAsia"/>
                      <w:color w:val="000000" w:themeColor="text1"/>
                      <w14:textFill>
                        <w14:solidFill>
                          <w14:schemeClr w14:val="tx1"/>
                        </w14:solidFill>
                      </w14:textFill>
                    </w:rPr>
                    <w:t>，为单层钢结构，车间内设置烘干设备一套，包括烘干炉一座及环保设施；</w:t>
                  </w:r>
                </w:p>
              </w:tc>
              <w:tc>
                <w:tcPr>
                  <w:tcW w:w="1481" w:type="dxa"/>
                  <w:vAlign w:val="center"/>
                </w:tcPr>
                <w:p w14:paraId="09C4D389">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7189F8E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4CE8004F">
                  <w:pPr>
                    <w:pStyle w:val="135"/>
                    <w:adjustRightInd w:val="0"/>
                    <w:snapToGrid w:val="0"/>
                    <w:rPr>
                      <w:rFonts w:eastAsiaTheme="minorEastAsia"/>
                      <w:color w:val="000000" w:themeColor="text1"/>
                      <w14:textFill>
                        <w14:solidFill>
                          <w14:schemeClr w14:val="tx1"/>
                        </w14:solidFill>
                      </w14:textFill>
                    </w:rPr>
                  </w:pPr>
                </w:p>
              </w:tc>
              <w:tc>
                <w:tcPr>
                  <w:tcW w:w="1305" w:type="dxa"/>
                  <w:vAlign w:val="center"/>
                </w:tcPr>
                <w:p w14:paraId="7B60B48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c>
                <w:tcPr>
                  <w:tcW w:w="4998" w:type="dxa"/>
                  <w:gridSpan w:val="3"/>
                  <w:vAlign w:val="center"/>
                </w:tcPr>
                <w:p w14:paraId="47F9C8F3">
                  <w:pPr>
                    <w:pStyle w:val="135"/>
                    <w:adjustRightInd w:val="0"/>
                    <w:snapToGrid w:val="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生产车间位于租用场地内</w:t>
                  </w:r>
                  <w:r>
                    <w:rPr>
                      <w:rFonts w:eastAsiaTheme="minorEastAsia"/>
                      <w:color w:val="0000FF"/>
                    </w:rPr>
                    <w:t>西北侧，</w:t>
                  </w:r>
                  <w:r>
                    <w:rPr>
                      <w:rFonts w:eastAsiaTheme="minorEastAsia"/>
                      <w:color w:val="000000" w:themeColor="text1"/>
                      <w14:textFill>
                        <w14:solidFill>
                          <w14:schemeClr w14:val="tx1"/>
                        </w14:solidFill>
                      </w14:textFill>
                    </w:rPr>
                    <w:t>建筑面积</w:t>
                  </w:r>
                  <w:r>
                    <w:rPr>
                      <w:rFonts w:eastAsiaTheme="minorEastAsia"/>
                      <w:color w:val="0000FF"/>
                    </w:rPr>
                    <w:t>110m</w:t>
                  </w:r>
                  <w:r>
                    <w:rPr>
                      <w:rFonts w:eastAsiaTheme="minorEastAsia"/>
                      <w:color w:val="0000FF"/>
                      <w:vertAlign w:val="superscript"/>
                    </w:rPr>
                    <w:t>2</w:t>
                  </w:r>
                  <w:r>
                    <w:rPr>
                      <w:rFonts w:eastAsiaTheme="minorEastAsia"/>
                      <w:color w:val="0000FF"/>
                    </w:rPr>
                    <w:t>，</w:t>
                  </w:r>
                  <w:r>
                    <w:rPr>
                      <w:rFonts w:eastAsiaTheme="minorEastAsia"/>
                      <w:color w:val="000000" w:themeColor="text1"/>
                      <w14:textFill>
                        <w14:solidFill>
                          <w14:schemeClr w14:val="tx1"/>
                        </w14:solidFill>
                      </w14:textFill>
                    </w:rPr>
                    <w:t>为单层钢结构，内部生产设备为混料机2台、造球机1台，同时安装配套的布袋除尘器一套。</w:t>
                  </w:r>
                </w:p>
              </w:tc>
              <w:tc>
                <w:tcPr>
                  <w:tcW w:w="1481" w:type="dxa"/>
                  <w:vAlign w:val="center"/>
                </w:tcPr>
                <w:p w14:paraId="549EF78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3A64DEE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97" w:type="dxa"/>
                  <w:vMerge w:val="restart"/>
                  <w:vAlign w:val="center"/>
                </w:tcPr>
                <w:p w14:paraId="551EF5CF">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储运工程</w:t>
                  </w:r>
                </w:p>
              </w:tc>
              <w:tc>
                <w:tcPr>
                  <w:tcW w:w="1305" w:type="dxa"/>
                  <w:vMerge w:val="restart"/>
                  <w:vAlign w:val="center"/>
                </w:tcPr>
                <w:p w14:paraId="1FC8E715">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c>
                <w:tcPr>
                  <w:tcW w:w="4998" w:type="dxa"/>
                  <w:gridSpan w:val="3"/>
                  <w:vAlign w:val="center"/>
                </w:tcPr>
                <w:p w14:paraId="7955E525">
                  <w:pPr>
                    <w:pStyle w:val="135"/>
                    <w:adjustRightInd w:val="0"/>
                    <w:snapToGrid w:val="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原料库位于租用场地内</w:t>
                  </w:r>
                  <w:r>
                    <w:rPr>
                      <w:rFonts w:eastAsiaTheme="minorEastAsia"/>
                      <w:color w:val="0000FF"/>
                    </w:rPr>
                    <w:t>西南侧，</w:t>
                  </w:r>
                  <w:r>
                    <w:rPr>
                      <w:rFonts w:eastAsiaTheme="minorEastAsia"/>
                      <w:color w:val="000000" w:themeColor="text1"/>
                      <w14:textFill>
                        <w14:solidFill>
                          <w14:schemeClr w14:val="tx1"/>
                        </w14:solidFill>
                      </w14:textFill>
                    </w:rPr>
                    <w:t>建筑面积250m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，为单层钢结构。原料库内设置给料仓1个，原料通过封闭的传送带传送至生产车间。</w:t>
                  </w:r>
                </w:p>
              </w:tc>
              <w:tc>
                <w:tcPr>
                  <w:tcW w:w="1481" w:type="dxa"/>
                  <w:vMerge w:val="restart"/>
                  <w:vAlign w:val="center"/>
                </w:tcPr>
                <w:p w14:paraId="6F44B87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430595F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97" w:type="dxa"/>
                  <w:vMerge w:val="continue"/>
                  <w:vAlign w:val="center"/>
                </w:tcPr>
                <w:p w14:paraId="4AC9317E">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237C913B">
                  <w:pPr>
                    <w:pStyle w:val="135"/>
                    <w:adjustRightInd w:val="0"/>
                    <w:snapToGrid w:val="0"/>
                    <w:rPr>
                      <w:rFonts w:eastAsiaTheme="minorEastAsia"/>
                      <w:color w:val="000000" w:themeColor="text1"/>
                      <w14:textFill>
                        <w14:solidFill>
                          <w14:schemeClr w14:val="tx1"/>
                        </w14:solidFill>
                      </w14:textFill>
                    </w:rPr>
                  </w:pPr>
                </w:p>
              </w:tc>
              <w:tc>
                <w:tcPr>
                  <w:tcW w:w="4998" w:type="dxa"/>
                  <w:gridSpan w:val="3"/>
                  <w:vAlign w:val="center"/>
                </w:tcPr>
                <w:p w14:paraId="7CDC51D5">
                  <w:pPr>
                    <w:pStyle w:val="135"/>
                    <w:adjustRightInd w:val="0"/>
                    <w:snapToGrid w:val="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原料锰矿石废料储存：使用原料锰矿石废料为散装细颗粒，设置储存区域200 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，堆存密度约为1.8t/ 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，最大贮存量约为</w:t>
                  </w:r>
                  <w:r>
                    <w:rPr>
                      <w:rFonts w:eastAsiaTheme="minorEastAsia"/>
                      <w:color w:val="0000FF"/>
                    </w:rPr>
                    <w:t>491t。</w:t>
                  </w:r>
                </w:p>
              </w:tc>
              <w:tc>
                <w:tcPr>
                  <w:tcW w:w="1481" w:type="dxa"/>
                  <w:vMerge w:val="continue"/>
                  <w:vAlign w:val="center"/>
                </w:tcPr>
                <w:p w14:paraId="2B3C4A92">
                  <w:pPr>
                    <w:pStyle w:val="135"/>
                    <w:adjustRightInd w:val="0"/>
                    <w:snapToGrid w:val="0"/>
                    <w:rPr>
                      <w:rFonts w:eastAsiaTheme="minorEastAsia"/>
                      <w:color w:val="000000" w:themeColor="text1"/>
                      <w14:textFill>
                        <w14:solidFill>
                          <w14:schemeClr w14:val="tx1"/>
                        </w14:solidFill>
                      </w14:textFill>
                    </w:rPr>
                  </w:pPr>
                </w:p>
              </w:tc>
            </w:tr>
            <w:tr w14:paraId="45F161E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97" w:type="dxa"/>
                  <w:vMerge w:val="continue"/>
                  <w:vAlign w:val="center"/>
                </w:tcPr>
                <w:p w14:paraId="4857C14F">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699FC897">
                  <w:pPr>
                    <w:pStyle w:val="135"/>
                    <w:adjustRightInd w:val="0"/>
                    <w:snapToGrid w:val="0"/>
                    <w:rPr>
                      <w:rFonts w:eastAsiaTheme="minorEastAsia"/>
                      <w:color w:val="000000" w:themeColor="text1"/>
                      <w14:textFill>
                        <w14:solidFill>
                          <w14:schemeClr w14:val="tx1"/>
                        </w14:solidFill>
                      </w14:textFill>
                    </w:rPr>
                  </w:pPr>
                </w:p>
              </w:tc>
              <w:tc>
                <w:tcPr>
                  <w:tcW w:w="4998" w:type="dxa"/>
                  <w:gridSpan w:val="3"/>
                  <w:vAlign w:val="center"/>
                </w:tcPr>
                <w:p w14:paraId="31DF4157">
                  <w:pPr>
                    <w:pStyle w:val="135"/>
                    <w:adjustRightInd w:val="0"/>
                    <w:snapToGrid w:val="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原料膨润土储存：使用膨润土原料为袋装，设置膨润土储存区域50 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，堆存密度约为0.8t/ 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，按照袋高1m，堆存两层计算，最大贮存量为80t。</w:t>
                  </w:r>
                </w:p>
              </w:tc>
              <w:tc>
                <w:tcPr>
                  <w:tcW w:w="1481" w:type="dxa"/>
                  <w:vMerge w:val="continue"/>
                  <w:vAlign w:val="center"/>
                </w:tcPr>
                <w:p w14:paraId="5CDA8371">
                  <w:pPr>
                    <w:pStyle w:val="135"/>
                    <w:adjustRightInd w:val="0"/>
                    <w:snapToGrid w:val="0"/>
                    <w:rPr>
                      <w:rFonts w:eastAsiaTheme="minorEastAsia"/>
                      <w:color w:val="000000" w:themeColor="text1"/>
                      <w14:textFill>
                        <w14:solidFill>
                          <w14:schemeClr w14:val="tx1"/>
                        </w14:solidFill>
                      </w14:textFill>
                    </w:rPr>
                  </w:pPr>
                </w:p>
              </w:tc>
            </w:tr>
            <w:tr w14:paraId="13FE398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369" w:hRule="atLeast"/>
                <w:jc w:val="center"/>
              </w:trPr>
              <w:tc>
                <w:tcPr>
                  <w:tcW w:w="897" w:type="dxa"/>
                  <w:vMerge w:val="continue"/>
                  <w:vAlign w:val="center"/>
                </w:tcPr>
                <w:p w14:paraId="58461C02">
                  <w:pPr>
                    <w:widowControl/>
                    <w:rPr>
                      <w:rFonts w:eastAsiaTheme="minorEastAsia"/>
                      <w:color w:val="000000" w:themeColor="text1"/>
                      <w:kern w:val="0"/>
                      <w:szCs w:val="21"/>
                      <w14:textFill>
                        <w14:solidFill>
                          <w14:schemeClr w14:val="tx1"/>
                        </w14:solidFill>
                      </w14:textFill>
                    </w:rPr>
                  </w:pPr>
                </w:p>
              </w:tc>
              <w:tc>
                <w:tcPr>
                  <w:tcW w:w="1305" w:type="dxa"/>
                  <w:vAlign w:val="center"/>
                </w:tcPr>
                <w:p w14:paraId="14AD55F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成品库</w:t>
                  </w:r>
                </w:p>
              </w:tc>
              <w:tc>
                <w:tcPr>
                  <w:tcW w:w="4998" w:type="dxa"/>
                  <w:gridSpan w:val="3"/>
                  <w:vAlign w:val="center"/>
                </w:tcPr>
                <w:p w14:paraId="58C6B087">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成品库位于租用场地内</w:t>
                  </w:r>
                  <w:r>
                    <w:rPr>
                      <w:rFonts w:eastAsiaTheme="minorEastAsia"/>
                      <w:color w:val="0000FF"/>
                    </w:rPr>
                    <w:t>东南侧，</w:t>
                  </w:r>
                  <w:r>
                    <w:rPr>
                      <w:rFonts w:eastAsiaTheme="minorEastAsia"/>
                      <w:color w:val="000000" w:themeColor="text1"/>
                      <w14:textFill>
                        <w14:solidFill>
                          <w14:schemeClr w14:val="tx1"/>
                        </w14:solidFill>
                      </w14:textFill>
                    </w:rPr>
                    <w:t>建筑面积200m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，为单层钢结构，堆存密度约为1.8t/ 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，最大贮存量约为</w:t>
                  </w:r>
                  <w:r>
                    <w:rPr>
                      <w:rFonts w:eastAsiaTheme="minorEastAsia"/>
                      <w:color w:val="0000FF"/>
                    </w:rPr>
                    <w:t>542t。</w:t>
                  </w:r>
                </w:p>
              </w:tc>
              <w:tc>
                <w:tcPr>
                  <w:tcW w:w="1481" w:type="dxa"/>
                  <w:vAlign w:val="center"/>
                </w:tcPr>
                <w:p w14:paraId="596F0AC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38792E4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restart"/>
                  <w:vAlign w:val="center"/>
                </w:tcPr>
                <w:p w14:paraId="1AF2E9AF">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公用工程</w:t>
                  </w:r>
                </w:p>
              </w:tc>
              <w:tc>
                <w:tcPr>
                  <w:tcW w:w="1305" w:type="dxa"/>
                  <w:vAlign w:val="center"/>
                </w:tcPr>
                <w:p w14:paraId="73FBA40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供水</w:t>
                  </w:r>
                </w:p>
              </w:tc>
              <w:tc>
                <w:tcPr>
                  <w:tcW w:w="4998" w:type="dxa"/>
                  <w:gridSpan w:val="3"/>
                  <w:vAlign w:val="center"/>
                </w:tcPr>
                <w:p w14:paraId="17D0AF5C">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项目生活用水和抑尘用水依托朝阳县瓦房子镇宏兴锰矿（本项目租用其部分场地）供水系统。</w:t>
                  </w:r>
                </w:p>
              </w:tc>
              <w:tc>
                <w:tcPr>
                  <w:tcW w:w="1481" w:type="dxa"/>
                  <w:vAlign w:val="center"/>
                </w:tcPr>
                <w:p w14:paraId="3BE417FE">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w:t>
                  </w:r>
                </w:p>
              </w:tc>
            </w:tr>
            <w:tr w14:paraId="4945664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1BF082A7">
                  <w:pPr>
                    <w:widowControl/>
                    <w:rPr>
                      <w:rFonts w:eastAsiaTheme="minorEastAsia"/>
                      <w:color w:val="000000" w:themeColor="text1"/>
                      <w:kern w:val="0"/>
                      <w:szCs w:val="21"/>
                      <w14:textFill>
                        <w14:solidFill>
                          <w14:schemeClr w14:val="tx1"/>
                        </w14:solidFill>
                      </w14:textFill>
                    </w:rPr>
                  </w:pPr>
                </w:p>
              </w:tc>
              <w:tc>
                <w:tcPr>
                  <w:tcW w:w="1305" w:type="dxa"/>
                  <w:vAlign w:val="center"/>
                </w:tcPr>
                <w:p w14:paraId="74D110F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供电</w:t>
                  </w:r>
                </w:p>
              </w:tc>
              <w:tc>
                <w:tcPr>
                  <w:tcW w:w="4998" w:type="dxa"/>
                  <w:gridSpan w:val="3"/>
                  <w:vAlign w:val="center"/>
                </w:tcPr>
                <w:p w14:paraId="1385AF53">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用电依托朝阳县瓦房子镇宏兴锰矿（本项目租用其部分场地）供电系统。</w:t>
                  </w:r>
                </w:p>
              </w:tc>
              <w:tc>
                <w:tcPr>
                  <w:tcW w:w="1481" w:type="dxa"/>
                  <w:vAlign w:val="center"/>
                </w:tcPr>
                <w:p w14:paraId="0AA3CEE9">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w:t>
                  </w:r>
                </w:p>
              </w:tc>
            </w:tr>
            <w:tr w14:paraId="2E1AE00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0670D2DD">
                  <w:pPr>
                    <w:widowControl/>
                    <w:rPr>
                      <w:rFonts w:eastAsiaTheme="minorEastAsia"/>
                      <w:color w:val="000000" w:themeColor="text1"/>
                      <w:kern w:val="0"/>
                      <w:szCs w:val="21"/>
                      <w14:textFill>
                        <w14:solidFill>
                          <w14:schemeClr w14:val="tx1"/>
                        </w14:solidFill>
                      </w14:textFill>
                    </w:rPr>
                  </w:pPr>
                </w:p>
              </w:tc>
              <w:tc>
                <w:tcPr>
                  <w:tcW w:w="1305" w:type="dxa"/>
                  <w:vAlign w:val="center"/>
                </w:tcPr>
                <w:p w14:paraId="3156167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供气</w:t>
                  </w:r>
                </w:p>
              </w:tc>
              <w:tc>
                <w:tcPr>
                  <w:tcW w:w="4998" w:type="dxa"/>
                  <w:gridSpan w:val="3"/>
                  <w:vAlign w:val="center"/>
                </w:tcPr>
                <w:p w14:paraId="4EA7C2B1">
                  <w:pPr>
                    <w:pStyle w:val="135"/>
                    <w:adjustRightInd w:val="0"/>
                    <w:snapToGrid w:val="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烘干设备用气来自朝阳县瓦房子镇宏兴锰矿（本项目租用其部分场地）高炉煤气。高炉煤气消耗量为</w:t>
                  </w:r>
                  <w:r>
                    <w:rPr>
                      <w:rFonts w:eastAsiaTheme="minorEastAsia"/>
                      <w:color w:val="0000FF"/>
                    </w:rPr>
                    <w:t>540万m</w:t>
                  </w:r>
                  <w:r>
                    <w:rPr>
                      <w:rFonts w:eastAsiaTheme="minorEastAsia"/>
                      <w:color w:val="0000FF"/>
                      <w:vertAlign w:val="superscript"/>
                    </w:rPr>
                    <w:t>3</w:t>
                  </w:r>
                  <w:r>
                    <w:rPr>
                      <w:rFonts w:eastAsiaTheme="minorEastAsia"/>
                      <w:color w:val="0000FF"/>
                    </w:rPr>
                    <w:t>/a，年工作2880h，小时消耗量为1875m</w:t>
                  </w:r>
                  <w:r>
                    <w:rPr>
                      <w:rFonts w:eastAsiaTheme="minorEastAsia"/>
                      <w:color w:val="0000FF"/>
                      <w:vertAlign w:val="superscript"/>
                    </w:rPr>
                    <w:t>3</w:t>
                  </w:r>
                  <w:r>
                    <w:rPr>
                      <w:rFonts w:eastAsiaTheme="minorEastAsia"/>
                      <w:color w:val="0000FF"/>
                    </w:rPr>
                    <w:t>/h，年工作2880h。</w:t>
                  </w:r>
                </w:p>
              </w:tc>
              <w:tc>
                <w:tcPr>
                  <w:tcW w:w="1481" w:type="dxa"/>
                  <w:vAlign w:val="center"/>
                </w:tcPr>
                <w:p w14:paraId="14E4F1BF">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w:t>
                  </w:r>
                </w:p>
              </w:tc>
            </w:tr>
            <w:tr w14:paraId="1EA6066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5810B2B2">
                  <w:pPr>
                    <w:widowControl/>
                    <w:rPr>
                      <w:rFonts w:eastAsiaTheme="minorEastAsia"/>
                      <w:color w:val="000000" w:themeColor="text1"/>
                      <w:kern w:val="0"/>
                      <w:szCs w:val="21"/>
                      <w14:textFill>
                        <w14:solidFill>
                          <w14:schemeClr w14:val="tx1"/>
                        </w14:solidFill>
                      </w14:textFill>
                    </w:rPr>
                  </w:pPr>
                </w:p>
              </w:tc>
              <w:tc>
                <w:tcPr>
                  <w:tcW w:w="1305" w:type="dxa"/>
                  <w:vAlign w:val="center"/>
                </w:tcPr>
                <w:p w14:paraId="13A44E2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供暖</w:t>
                  </w:r>
                </w:p>
              </w:tc>
              <w:tc>
                <w:tcPr>
                  <w:tcW w:w="4998" w:type="dxa"/>
                  <w:gridSpan w:val="3"/>
                  <w:vAlign w:val="center"/>
                </w:tcPr>
                <w:p w14:paraId="2157E353">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本项目建设烘干车间、生产车间、原料库及成品库等均不取暖。</w:t>
                  </w:r>
                </w:p>
              </w:tc>
              <w:tc>
                <w:tcPr>
                  <w:tcW w:w="1481" w:type="dxa"/>
                  <w:vAlign w:val="center"/>
                </w:tcPr>
                <w:p w14:paraId="43B8ABD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6961E7E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645" w:hRule="atLeast"/>
                <w:jc w:val="center"/>
              </w:trPr>
              <w:tc>
                <w:tcPr>
                  <w:tcW w:w="897" w:type="dxa"/>
                  <w:vMerge w:val="restart"/>
                  <w:vAlign w:val="center"/>
                </w:tcPr>
                <w:p w14:paraId="6250F52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环保工程</w:t>
                  </w:r>
                </w:p>
              </w:tc>
              <w:tc>
                <w:tcPr>
                  <w:tcW w:w="1305" w:type="dxa"/>
                  <w:vMerge w:val="restart"/>
                  <w:vAlign w:val="center"/>
                </w:tcPr>
                <w:p w14:paraId="56D9176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w:t>
                  </w:r>
                </w:p>
              </w:tc>
              <w:tc>
                <w:tcPr>
                  <w:tcW w:w="728" w:type="dxa"/>
                  <w:vAlign w:val="center"/>
                </w:tcPr>
                <w:p w14:paraId="6162D20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上料</w:t>
                  </w:r>
                </w:p>
              </w:tc>
              <w:tc>
                <w:tcPr>
                  <w:tcW w:w="4270" w:type="dxa"/>
                  <w:gridSpan w:val="2"/>
                  <w:vAlign w:val="center"/>
                </w:tcPr>
                <w:p w14:paraId="271F748A">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上料口位于全封闭原料库，通过铲车及工人辅助上料，通过封闭传送皮带传送至生产车间，产生扬尘通过生产车间沉降后无组织排放。上料口上方设置集气罩收集，收集废气通过布袋除尘器处理后经15m高排气筒排放DA002（本项目周边无高建筑，排气筒能够满足高出周围200m范围内建筑5m以上的要求）。未收集部分通过车间沉降后无组织排放。</w:t>
                  </w:r>
                </w:p>
              </w:tc>
              <w:tc>
                <w:tcPr>
                  <w:tcW w:w="1481" w:type="dxa"/>
                  <w:vAlign w:val="center"/>
                </w:tcPr>
                <w:p w14:paraId="7CC6957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63D4A11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6C0B5154">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093BE261">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59685537">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w:t>
                  </w:r>
                </w:p>
              </w:tc>
              <w:tc>
                <w:tcPr>
                  <w:tcW w:w="4270" w:type="dxa"/>
                  <w:gridSpan w:val="2"/>
                  <w:vAlign w:val="center"/>
                </w:tcPr>
                <w:p w14:paraId="1299FEBE">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位于全封闭生产车间内，混料过程设备封闭，少量扬尘通过密封点逸散；混料机上料通过封闭传送带软连接；混料机出料通过封闭传送带软连接至封闭传送带，出料通过封闭传送带输送至造球机。混料及物料输送过程均封闭，混料机上方设置集气罩收集，收集废气通过布袋除尘器处理后经15m高排气筒排放DA002（本项目周边无高建筑，排气筒能够满足高出周围200m范围内建筑5m以上的要求）未收集部分通过车间沉降后无组织排放。</w:t>
                  </w:r>
                </w:p>
              </w:tc>
              <w:tc>
                <w:tcPr>
                  <w:tcW w:w="1481" w:type="dxa"/>
                  <w:vAlign w:val="center"/>
                </w:tcPr>
                <w:p w14:paraId="38CE77BF">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088C531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6F35E7B8">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0207664C">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70EC2D2D">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w:t>
                  </w:r>
                </w:p>
              </w:tc>
              <w:tc>
                <w:tcPr>
                  <w:tcW w:w="4270" w:type="dxa"/>
                  <w:gridSpan w:val="2"/>
                  <w:vAlign w:val="center"/>
                </w:tcPr>
                <w:p w14:paraId="2F8E00B3">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位于全封闭生产车间内，造球过程设备封闭，少量扬尘通过密封点逸散；造球机上料通过封闭传送带软连接；造球机出料通过封闭传送带软连。造球机上方设置集气罩收集，收集废气通过布袋除尘器处理后经15m高排气筒排放DA002（本项目周边无高建筑，排气筒能够满足高出周围200m范围内建筑5m以上的要求）。未收集部分通过车间沉降后无组织排放。</w:t>
                  </w:r>
                </w:p>
              </w:tc>
              <w:tc>
                <w:tcPr>
                  <w:tcW w:w="1481" w:type="dxa"/>
                  <w:vAlign w:val="center"/>
                </w:tcPr>
                <w:p w14:paraId="75BDAC6A">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6D30694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0A5CB1D7">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211F2AB9">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43B6B5BA">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温控烘干炉</w:t>
                  </w:r>
                </w:p>
              </w:tc>
              <w:tc>
                <w:tcPr>
                  <w:tcW w:w="2135" w:type="dxa"/>
                  <w:vAlign w:val="center"/>
                </w:tcPr>
                <w:p w14:paraId="53667517">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进入封闭温控烘干炉进行烘干，烘干废气通过风机引出。</w:t>
                  </w:r>
                </w:p>
              </w:tc>
              <w:tc>
                <w:tcPr>
                  <w:tcW w:w="2135" w:type="dxa"/>
                  <w:vAlign w:val="center"/>
                </w:tcPr>
                <w:p w14:paraId="1CA6C900">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烘干废气通过布袋除尘器除尘，再经过石灰石/石膏法脱硫，最终通过1根15m高排气筒DA001排放。（本项目周边无高建筑，排气筒能够满足高出周围200m范围内建筑5m以上的要求）。</w:t>
                  </w:r>
                </w:p>
              </w:tc>
              <w:tc>
                <w:tcPr>
                  <w:tcW w:w="1481" w:type="dxa"/>
                  <w:vAlign w:val="center"/>
                </w:tcPr>
                <w:p w14:paraId="4579D014">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3C9852D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7542C238">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1D21D5DB">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3616019C">
                  <w:pPr>
                    <w:pStyle w:val="135"/>
                    <w:adjustRightInd w:val="0"/>
                    <w:snapToGrid w:val="0"/>
                    <w:rPr>
                      <w:rFonts w:eastAsiaTheme="minorEastAsia"/>
                      <w:color w:val="0000FF"/>
                    </w:rPr>
                  </w:pPr>
                  <w:r>
                    <w:rPr>
                      <w:rFonts w:eastAsiaTheme="minorEastAsia"/>
                      <w:color w:val="0000FF"/>
                    </w:rPr>
                    <w:t>烘干出料</w:t>
                  </w:r>
                </w:p>
              </w:tc>
              <w:tc>
                <w:tcPr>
                  <w:tcW w:w="2135" w:type="dxa"/>
                  <w:vAlign w:val="center"/>
                </w:tcPr>
                <w:p w14:paraId="0548895A">
                  <w:pPr>
                    <w:pStyle w:val="135"/>
                    <w:adjustRightInd w:val="0"/>
                    <w:snapToGrid w:val="0"/>
                    <w:jc w:val="left"/>
                    <w:rPr>
                      <w:rFonts w:eastAsiaTheme="minorEastAsia"/>
                      <w:color w:val="0000FF"/>
                    </w:rPr>
                  </w:pPr>
                  <w:r>
                    <w:rPr>
                      <w:rFonts w:eastAsiaTheme="minorEastAsia"/>
                      <w:color w:val="0000FF"/>
                    </w:rPr>
                    <w:t>烘干炉出料口通过管线连接至相邻的产品库卸料。</w:t>
                  </w:r>
                </w:p>
              </w:tc>
              <w:tc>
                <w:tcPr>
                  <w:tcW w:w="2135" w:type="dxa"/>
                  <w:vAlign w:val="center"/>
                </w:tcPr>
                <w:p w14:paraId="4ACA06B4">
                  <w:pPr>
                    <w:pStyle w:val="135"/>
                    <w:adjustRightInd w:val="0"/>
                    <w:snapToGrid w:val="0"/>
                    <w:jc w:val="left"/>
                    <w:rPr>
                      <w:rFonts w:eastAsiaTheme="minorEastAsia"/>
                      <w:color w:val="0000FF"/>
                    </w:rPr>
                  </w:pPr>
                  <w:r>
                    <w:rPr>
                      <w:rFonts w:eastAsiaTheme="minorEastAsia"/>
                      <w:color w:val="0000FF"/>
                    </w:rPr>
                    <w:t>出料口上方设置集气罩收集，收集废气通过布袋除尘器处理后经15m高排气筒排放DA002（本项目周边无高建筑，排气筒能够满足高出周围200m范围内建筑5m以上的要求）。未收集部分通过车间沉降后无组织排放。</w:t>
                  </w:r>
                </w:p>
              </w:tc>
              <w:tc>
                <w:tcPr>
                  <w:tcW w:w="1481" w:type="dxa"/>
                  <w:vAlign w:val="center"/>
                </w:tcPr>
                <w:p w14:paraId="43700C65">
                  <w:pPr>
                    <w:pStyle w:val="135"/>
                    <w:adjustRightInd w:val="0"/>
                    <w:snapToGrid w:val="0"/>
                    <w:rPr>
                      <w:rFonts w:eastAsiaTheme="minorEastAsia"/>
                      <w:color w:val="0000FF"/>
                    </w:rPr>
                  </w:pPr>
                  <w:r>
                    <w:rPr>
                      <w:rFonts w:eastAsiaTheme="minorEastAsia"/>
                      <w:color w:val="0000FF"/>
                    </w:rPr>
                    <w:t>新建</w:t>
                  </w:r>
                </w:p>
              </w:tc>
            </w:tr>
            <w:tr w14:paraId="332121C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3AAEB4E8">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5B5F07F7">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67C166D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原料储存</w:t>
                  </w:r>
                </w:p>
              </w:tc>
              <w:tc>
                <w:tcPr>
                  <w:tcW w:w="4270" w:type="dxa"/>
                  <w:gridSpan w:val="2"/>
                  <w:vAlign w:val="center"/>
                </w:tcPr>
                <w:p w14:paraId="01935DB1">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封闭原料库储存，建筑面积250m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，为单层钢结构，原料储存能力491t，采取洒水抑尘的措施。</w:t>
                  </w:r>
                </w:p>
              </w:tc>
              <w:tc>
                <w:tcPr>
                  <w:tcW w:w="1481" w:type="dxa"/>
                  <w:vAlign w:val="center"/>
                </w:tcPr>
                <w:p w14:paraId="0D7DEE06">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4BFCD32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191A1DE9">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19FA3579">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2EE2192B">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成品储存</w:t>
                  </w:r>
                </w:p>
              </w:tc>
              <w:tc>
                <w:tcPr>
                  <w:tcW w:w="4270" w:type="dxa"/>
                  <w:gridSpan w:val="2"/>
                  <w:vAlign w:val="center"/>
                </w:tcPr>
                <w:p w14:paraId="32EC5D47">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封闭成品库储存，建筑面积200m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，为单层钢结构，产品储存能力542t，采取洒水抑尘的措施。</w:t>
                  </w:r>
                </w:p>
              </w:tc>
              <w:tc>
                <w:tcPr>
                  <w:tcW w:w="1481" w:type="dxa"/>
                  <w:vAlign w:val="center"/>
                </w:tcPr>
                <w:p w14:paraId="30C33609">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2A606C8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 w:type="dxa"/>
                  <w:vMerge w:val="continue"/>
                  <w:vAlign w:val="center"/>
                </w:tcPr>
                <w:p w14:paraId="3D3DFD4A">
                  <w:pPr>
                    <w:pStyle w:val="135"/>
                    <w:adjustRightInd w:val="0"/>
                    <w:snapToGrid w:val="0"/>
                    <w:rPr>
                      <w:rFonts w:eastAsiaTheme="minorEastAsia"/>
                      <w:color w:val="000000" w:themeColor="text1"/>
                      <w14:textFill>
                        <w14:solidFill>
                          <w14:schemeClr w14:val="tx1"/>
                        </w14:solidFill>
                      </w14:textFill>
                    </w:rPr>
                  </w:pPr>
                </w:p>
              </w:tc>
              <w:tc>
                <w:tcPr>
                  <w:tcW w:w="1305" w:type="dxa"/>
                  <w:vMerge w:val="continue"/>
                  <w:vAlign w:val="center"/>
                </w:tcPr>
                <w:p w14:paraId="0E2AC7D1">
                  <w:pPr>
                    <w:pStyle w:val="135"/>
                    <w:adjustRightInd w:val="0"/>
                    <w:snapToGrid w:val="0"/>
                    <w:rPr>
                      <w:rFonts w:eastAsiaTheme="minorEastAsia"/>
                      <w:color w:val="000000" w:themeColor="text1"/>
                      <w14:textFill>
                        <w14:solidFill>
                          <w14:schemeClr w14:val="tx1"/>
                        </w14:solidFill>
                      </w14:textFill>
                    </w:rPr>
                  </w:pPr>
                </w:p>
              </w:tc>
              <w:tc>
                <w:tcPr>
                  <w:tcW w:w="728" w:type="dxa"/>
                  <w:vAlign w:val="center"/>
                </w:tcPr>
                <w:p w14:paraId="1A405ECA">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原料运输</w:t>
                  </w:r>
                </w:p>
              </w:tc>
              <w:tc>
                <w:tcPr>
                  <w:tcW w:w="4270" w:type="dxa"/>
                  <w:gridSpan w:val="2"/>
                  <w:vAlign w:val="center"/>
                </w:tcPr>
                <w:p w14:paraId="32813843">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运输车辆进行覆盖，厂内道路洒水抑尘。</w:t>
                  </w:r>
                </w:p>
              </w:tc>
              <w:tc>
                <w:tcPr>
                  <w:tcW w:w="1481" w:type="dxa"/>
                  <w:vAlign w:val="center"/>
                </w:tcPr>
                <w:p w14:paraId="225823C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330F842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5030EAA2">
                  <w:pPr>
                    <w:widowControl/>
                    <w:rPr>
                      <w:rFonts w:eastAsiaTheme="minorEastAsia"/>
                      <w:color w:val="000000" w:themeColor="text1"/>
                      <w:kern w:val="0"/>
                      <w:szCs w:val="21"/>
                      <w14:textFill>
                        <w14:solidFill>
                          <w14:schemeClr w14:val="tx1"/>
                        </w14:solidFill>
                      </w14:textFill>
                    </w:rPr>
                  </w:pPr>
                </w:p>
              </w:tc>
              <w:tc>
                <w:tcPr>
                  <w:tcW w:w="1305" w:type="dxa"/>
                  <w:vMerge w:val="continue"/>
                  <w:vAlign w:val="center"/>
                </w:tcPr>
                <w:p w14:paraId="7FA63665">
                  <w:pPr>
                    <w:widowControl/>
                    <w:rPr>
                      <w:rFonts w:eastAsiaTheme="minorEastAsia"/>
                      <w:color w:val="000000" w:themeColor="text1"/>
                      <w:kern w:val="0"/>
                      <w:szCs w:val="21"/>
                      <w14:textFill>
                        <w14:solidFill>
                          <w14:schemeClr w14:val="tx1"/>
                        </w14:solidFill>
                      </w14:textFill>
                    </w:rPr>
                  </w:pPr>
                </w:p>
              </w:tc>
              <w:tc>
                <w:tcPr>
                  <w:tcW w:w="728" w:type="dxa"/>
                  <w:vAlign w:val="center"/>
                </w:tcPr>
                <w:p w14:paraId="2681AFF6">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成品运输</w:t>
                  </w:r>
                </w:p>
              </w:tc>
              <w:tc>
                <w:tcPr>
                  <w:tcW w:w="4270" w:type="dxa"/>
                  <w:gridSpan w:val="2"/>
                  <w:vAlign w:val="center"/>
                </w:tcPr>
                <w:p w14:paraId="5848402A">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运输车辆进行覆盖，厂内道路洒水抑尘。</w:t>
                  </w:r>
                </w:p>
              </w:tc>
              <w:tc>
                <w:tcPr>
                  <w:tcW w:w="1481" w:type="dxa"/>
                  <w:vAlign w:val="center"/>
                </w:tcPr>
                <w:p w14:paraId="66D2764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6C372F0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369" w:hRule="atLeast"/>
                <w:jc w:val="center"/>
              </w:trPr>
              <w:tc>
                <w:tcPr>
                  <w:tcW w:w="897" w:type="dxa"/>
                  <w:vMerge w:val="continue"/>
                  <w:vAlign w:val="center"/>
                </w:tcPr>
                <w:p w14:paraId="754D1B76">
                  <w:pPr>
                    <w:widowControl/>
                    <w:rPr>
                      <w:rFonts w:eastAsiaTheme="minorEastAsia"/>
                      <w:color w:val="000000" w:themeColor="text1"/>
                      <w:kern w:val="0"/>
                      <w:szCs w:val="21"/>
                      <w14:textFill>
                        <w14:solidFill>
                          <w14:schemeClr w14:val="tx1"/>
                        </w14:solidFill>
                      </w14:textFill>
                    </w:rPr>
                  </w:pPr>
                </w:p>
              </w:tc>
              <w:tc>
                <w:tcPr>
                  <w:tcW w:w="1305" w:type="dxa"/>
                  <w:vMerge w:val="restart"/>
                  <w:vAlign w:val="center"/>
                </w:tcPr>
                <w:p w14:paraId="2A237B86">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废水</w:t>
                  </w:r>
                </w:p>
              </w:tc>
              <w:tc>
                <w:tcPr>
                  <w:tcW w:w="728" w:type="dxa"/>
                  <w:vAlign w:val="center"/>
                </w:tcPr>
                <w:p w14:paraId="2E468EAF">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降尘用水</w:t>
                  </w:r>
                </w:p>
              </w:tc>
              <w:tc>
                <w:tcPr>
                  <w:tcW w:w="4270" w:type="dxa"/>
                  <w:gridSpan w:val="2"/>
                  <w:vAlign w:val="center"/>
                </w:tcPr>
                <w:p w14:paraId="63DCA298">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降尘用水全部蒸发损耗，无生产废水产生。</w:t>
                  </w:r>
                </w:p>
              </w:tc>
              <w:tc>
                <w:tcPr>
                  <w:tcW w:w="1481" w:type="dxa"/>
                  <w:vAlign w:val="center"/>
                </w:tcPr>
                <w:p w14:paraId="225684F3">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0437E7D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1C14D839">
                  <w:pPr>
                    <w:widowControl/>
                    <w:rPr>
                      <w:rFonts w:eastAsiaTheme="minorEastAsia"/>
                      <w:color w:val="000000" w:themeColor="text1"/>
                      <w:kern w:val="0"/>
                      <w:szCs w:val="21"/>
                      <w14:textFill>
                        <w14:solidFill>
                          <w14:schemeClr w14:val="tx1"/>
                        </w14:solidFill>
                      </w14:textFill>
                    </w:rPr>
                  </w:pPr>
                </w:p>
              </w:tc>
              <w:tc>
                <w:tcPr>
                  <w:tcW w:w="1305" w:type="dxa"/>
                  <w:vMerge w:val="continue"/>
                  <w:vAlign w:val="center"/>
                </w:tcPr>
                <w:p w14:paraId="66B7B5BB">
                  <w:pPr>
                    <w:widowControl/>
                    <w:rPr>
                      <w:rFonts w:eastAsiaTheme="minorEastAsia"/>
                      <w:color w:val="000000" w:themeColor="text1"/>
                      <w:kern w:val="0"/>
                      <w:szCs w:val="21"/>
                      <w14:textFill>
                        <w14:solidFill>
                          <w14:schemeClr w14:val="tx1"/>
                        </w14:solidFill>
                      </w14:textFill>
                    </w:rPr>
                  </w:pPr>
                </w:p>
              </w:tc>
              <w:tc>
                <w:tcPr>
                  <w:tcW w:w="728" w:type="dxa"/>
                  <w:vAlign w:val="center"/>
                </w:tcPr>
                <w:p w14:paraId="30C3BB86">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脱硫废水</w:t>
                  </w:r>
                </w:p>
              </w:tc>
              <w:tc>
                <w:tcPr>
                  <w:tcW w:w="4270" w:type="dxa"/>
                  <w:gridSpan w:val="2"/>
                  <w:vAlign w:val="center"/>
                </w:tcPr>
                <w:p w14:paraId="5FFDCF6E">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脱硫废水循环使用，定期补充，不外排（脱硫系统位于2层烘干车间的第1层，1层面积110 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，配脱硫塔，沉淀池10m×5m，氧化池10m×5m）</w:t>
                  </w:r>
                </w:p>
              </w:tc>
              <w:tc>
                <w:tcPr>
                  <w:tcW w:w="1481" w:type="dxa"/>
                  <w:vAlign w:val="center"/>
                </w:tcPr>
                <w:p w14:paraId="270BA14E">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3CEBDB5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6FC69113">
                  <w:pPr>
                    <w:widowControl/>
                    <w:rPr>
                      <w:rFonts w:eastAsiaTheme="minorEastAsia"/>
                      <w:color w:val="000000" w:themeColor="text1"/>
                      <w:kern w:val="0"/>
                      <w:szCs w:val="21"/>
                      <w14:textFill>
                        <w14:solidFill>
                          <w14:schemeClr w14:val="tx1"/>
                        </w14:solidFill>
                      </w14:textFill>
                    </w:rPr>
                  </w:pPr>
                </w:p>
              </w:tc>
              <w:tc>
                <w:tcPr>
                  <w:tcW w:w="1305" w:type="dxa"/>
                  <w:vMerge w:val="continue"/>
                  <w:vAlign w:val="center"/>
                </w:tcPr>
                <w:p w14:paraId="2FB881E9">
                  <w:pPr>
                    <w:widowControl/>
                    <w:rPr>
                      <w:rFonts w:eastAsiaTheme="minorEastAsia"/>
                      <w:color w:val="000000" w:themeColor="text1"/>
                      <w:kern w:val="0"/>
                      <w:szCs w:val="21"/>
                      <w14:textFill>
                        <w14:solidFill>
                          <w14:schemeClr w14:val="tx1"/>
                        </w14:solidFill>
                      </w14:textFill>
                    </w:rPr>
                  </w:pPr>
                </w:p>
              </w:tc>
              <w:tc>
                <w:tcPr>
                  <w:tcW w:w="728" w:type="dxa"/>
                  <w:vAlign w:val="center"/>
                </w:tcPr>
                <w:p w14:paraId="545C92CC">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生活废水</w:t>
                  </w:r>
                </w:p>
              </w:tc>
              <w:tc>
                <w:tcPr>
                  <w:tcW w:w="4270" w:type="dxa"/>
                  <w:gridSpan w:val="2"/>
                  <w:vAlign w:val="center"/>
                </w:tcPr>
                <w:p w14:paraId="7E787D10">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生活废水依托朝阳县瓦房子镇宏兴锰矿（本项目租用其部分场地）化粪池。</w:t>
                  </w:r>
                </w:p>
              </w:tc>
              <w:tc>
                <w:tcPr>
                  <w:tcW w:w="1481" w:type="dxa"/>
                  <w:vAlign w:val="center"/>
                </w:tcPr>
                <w:p w14:paraId="6F62D0A9">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w:t>
                  </w:r>
                </w:p>
              </w:tc>
            </w:tr>
            <w:tr w14:paraId="74901D4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3F4B048E">
                  <w:pPr>
                    <w:widowControl/>
                    <w:rPr>
                      <w:rFonts w:eastAsiaTheme="minorEastAsia"/>
                      <w:color w:val="000000" w:themeColor="text1"/>
                      <w:kern w:val="0"/>
                      <w:szCs w:val="21"/>
                      <w14:textFill>
                        <w14:solidFill>
                          <w14:schemeClr w14:val="tx1"/>
                        </w14:solidFill>
                      </w14:textFill>
                    </w:rPr>
                  </w:pPr>
                </w:p>
              </w:tc>
              <w:tc>
                <w:tcPr>
                  <w:tcW w:w="1305" w:type="dxa"/>
                  <w:vAlign w:val="center"/>
                </w:tcPr>
                <w:p w14:paraId="3BFA94E7">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噪声</w:t>
                  </w:r>
                </w:p>
              </w:tc>
              <w:tc>
                <w:tcPr>
                  <w:tcW w:w="4998" w:type="dxa"/>
                  <w:gridSpan w:val="3"/>
                  <w:vAlign w:val="center"/>
                </w:tcPr>
                <w:p w14:paraId="172F292D">
                  <w:pPr>
                    <w:pStyle w:val="135"/>
                    <w:adjustRightInd w:val="0"/>
                    <w:snapToGrid w:val="0"/>
                    <w:jc w:val="left"/>
                    <w:rPr>
                      <w:rFonts w:eastAsiaTheme="minorEastAsia"/>
                      <w:color w:val="000000" w:themeColor="text1"/>
                      <w:kern w:val="21"/>
                      <w14:textFill>
                        <w14:solidFill>
                          <w14:schemeClr w14:val="tx1"/>
                        </w14:solidFill>
                      </w14:textFill>
                    </w:rPr>
                  </w:pPr>
                  <w:r>
                    <w:rPr>
                      <w:rFonts w:eastAsiaTheme="minorEastAsia"/>
                      <w:color w:val="000000" w:themeColor="text1"/>
                      <w14:textFill>
                        <w14:solidFill>
                          <w14:schemeClr w14:val="tx1"/>
                        </w14:solidFill>
                      </w14:textFill>
                    </w:rPr>
                    <w:t>厂界加强绿化，选用低噪声设备，采取隔声、减振等降噪措施；加强运输车辆管理，合理安排运输时间。</w:t>
                  </w:r>
                </w:p>
              </w:tc>
              <w:tc>
                <w:tcPr>
                  <w:tcW w:w="1481" w:type="dxa"/>
                  <w:vAlign w:val="center"/>
                </w:tcPr>
                <w:p w14:paraId="074B733A">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10116D6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57C1441A">
                  <w:pPr>
                    <w:widowControl/>
                    <w:rPr>
                      <w:rFonts w:eastAsiaTheme="minorEastAsia"/>
                      <w:color w:val="000000" w:themeColor="text1"/>
                      <w:kern w:val="0"/>
                      <w:szCs w:val="21"/>
                      <w14:textFill>
                        <w14:solidFill>
                          <w14:schemeClr w14:val="tx1"/>
                        </w14:solidFill>
                      </w14:textFill>
                    </w:rPr>
                  </w:pPr>
                </w:p>
              </w:tc>
              <w:tc>
                <w:tcPr>
                  <w:tcW w:w="1305" w:type="dxa"/>
                  <w:vMerge w:val="restart"/>
                  <w:vAlign w:val="center"/>
                </w:tcPr>
                <w:p w14:paraId="2C5E829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固废</w:t>
                  </w:r>
                </w:p>
              </w:tc>
              <w:tc>
                <w:tcPr>
                  <w:tcW w:w="4998" w:type="dxa"/>
                  <w:gridSpan w:val="3"/>
                  <w:vAlign w:val="center"/>
                </w:tcPr>
                <w:p w14:paraId="40C3EECF">
                  <w:pPr>
                    <w:pStyle w:val="135"/>
                    <w:adjustRightInd w:val="0"/>
                    <w:snapToGrid w:val="0"/>
                    <w:jc w:val="left"/>
                    <w:rPr>
                      <w:rFonts w:eastAsiaTheme="minorEastAsia"/>
                      <w:color w:val="000000" w:themeColor="text1"/>
                      <w:kern w:val="21"/>
                      <w14:textFill>
                        <w14:solidFill>
                          <w14:schemeClr w14:val="tx1"/>
                        </w14:solidFill>
                      </w14:textFill>
                    </w:rPr>
                  </w:pPr>
                  <w:r>
                    <w:rPr>
                      <w:rFonts w:eastAsiaTheme="minorEastAsia"/>
                      <w:color w:val="000000" w:themeColor="text1"/>
                      <w14:textFill>
                        <w14:solidFill>
                          <w14:schemeClr w14:val="tx1"/>
                        </w14:solidFill>
                      </w14:textFill>
                    </w:rPr>
                    <w:t>生产车间内设置30m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kern w:val="21"/>
                      <w14:textFill>
                        <w14:solidFill>
                          <w14:schemeClr w14:val="tx1"/>
                        </w14:solidFill>
                      </w14:textFill>
                    </w:rPr>
                    <w:t>一般固废暂存间1座，用于暂存脱硫石膏、</w:t>
                  </w:r>
                  <w:r>
                    <w:rPr>
                      <w:rFonts w:eastAsiaTheme="minorEastAsia"/>
                      <w:color w:val="0000FF"/>
                      <w:kern w:val="21"/>
                    </w:rPr>
                    <w:t>沉淀池沉淀。</w:t>
                  </w:r>
                  <w:r>
                    <w:rPr>
                      <w:rFonts w:eastAsiaTheme="minorEastAsia"/>
                      <w:color w:val="000000" w:themeColor="text1"/>
                      <w:kern w:val="21"/>
                      <w14:textFill>
                        <w14:solidFill>
                          <w14:schemeClr w14:val="tx1"/>
                        </w14:solidFill>
                      </w14:textFill>
                    </w:rPr>
                    <w:t>储存能力30t。</w:t>
                  </w:r>
                </w:p>
              </w:tc>
              <w:tc>
                <w:tcPr>
                  <w:tcW w:w="1481" w:type="dxa"/>
                  <w:vAlign w:val="center"/>
                </w:tcPr>
                <w:p w14:paraId="37AD57E3">
                  <w:pPr>
                    <w:pStyle w:val="135"/>
                    <w:adjustRightInd w:val="0"/>
                    <w:snapToGrid w:val="0"/>
                    <w:rPr>
                      <w:rFonts w:eastAsiaTheme="minorEastAsia"/>
                      <w:color w:val="000000" w:themeColor="text1"/>
                      <w:kern w:val="2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5C1EFC1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079E6B93">
                  <w:pPr>
                    <w:widowControl/>
                    <w:rPr>
                      <w:rFonts w:eastAsiaTheme="minorEastAsia"/>
                      <w:color w:val="000000" w:themeColor="text1"/>
                      <w:kern w:val="0"/>
                      <w:szCs w:val="21"/>
                      <w14:textFill>
                        <w14:solidFill>
                          <w14:schemeClr w14:val="tx1"/>
                        </w14:solidFill>
                      </w14:textFill>
                    </w:rPr>
                  </w:pPr>
                </w:p>
              </w:tc>
              <w:tc>
                <w:tcPr>
                  <w:tcW w:w="1305" w:type="dxa"/>
                  <w:vMerge w:val="continue"/>
                  <w:vAlign w:val="center"/>
                </w:tcPr>
                <w:p w14:paraId="63919C80">
                  <w:pPr>
                    <w:widowControl/>
                    <w:rPr>
                      <w:rFonts w:eastAsiaTheme="minorEastAsia"/>
                      <w:color w:val="000000" w:themeColor="text1"/>
                      <w:kern w:val="0"/>
                      <w:szCs w:val="21"/>
                      <w14:textFill>
                        <w14:solidFill>
                          <w14:schemeClr w14:val="tx1"/>
                        </w14:solidFill>
                      </w14:textFill>
                    </w:rPr>
                  </w:pPr>
                </w:p>
              </w:tc>
              <w:tc>
                <w:tcPr>
                  <w:tcW w:w="4998" w:type="dxa"/>
                  <w:gridSpan w:val="3"/>
                  <w:vAlign w:val="center"/>
                </w:tcPr>
                <w:p w14:paraId="642DB9E2">
                  <w:pPr>
                    <w:pStyle w:val="135"/>
                    <w:adjustRightInd w:val="0"/>
                    <w:snapToGrid w:val="0"/>
                    <w:jc w:val="left"/>
                    <w:rPr>
                      <w:rFonts w:eastAsiaTheme="minorEastAsia"/>
                      <w:color w:val="000000" w:themeColor="text1"/>
                      <w:kern w:val="21"/>
                      <w14:textFill>
                        <w14:solidFill>
                          <w14:schemeClr w14:val="tx1"/>
                        </w14:solidFill>
                      </w14:textFill>
                    </w:rPr>
                  </w:pPr>
                  <w:r>
                    <w:rPr>
                      <w:rFonts w:eastAsiaTheme="minorEastAsia"/>
                      <w:color w:val="000000" w:themeColor="text1"/>
                      <w14:textFill>
                        <w14:solidFill>
                          <w14:schemeClr w14:val="tx1"/>
                        </w14:solidFill>
                      </w14:textFill>
                    </w:rPr>
                    <w:t>生产车间内设置10m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kern w:val="21"/>
                      <w14:textFill>
                        <w14:solidFill>
                          <w14:schemeClr w14:val="tx1"/>
                        </w14:solidFill>
                      </w14:textFill>
                    </w:rPr>
                    <w:t>危废贮存点1座，用于暂存废机油。储存能力1t。</w:t>
                  </w:r>
                </w:p>
              </w:tc>
              <w:tc>
                <w:tcPr>
                  <w:tcW w:w="1481" w:type="dxa"/>
                  <w:vAlign w:val="center"/>
                </w:tcPr>
                <w:p w14:paraId="4940F5B5">
                  <w:pPr>
                    <w:pStyle w:val="135"/>
                    <w:adjustRightInd w:val="0"/>
                    <w:snapToGrid w:val="0"/>
                    <w:rPr>
                      <w:rFonts w:eastAsiaTheme="minorEastAsia"/>
                      <w:color w:val="000000" w:themeColor="text1"/>
                      <w:kern w:val="21"/>
                      <w14:textFill>
                        <w14:solidFill>
                          <w14:schemeClr w14:val="tx1"/>
                        </w14:solidFill>
                      </w14:textFill>
                    </w:rPr>
                  </w:pPr>
                  <w:r>
                    <w:rPr>
                      <w:rFonts w:eastAsiaTheme="minorEastAsia"/>
                      <w:color w:val="000000" w:themeColor="text1"/>
                      <w14:textFill>
                        <w14:solidFill>
                          <w14:schemeClr w14:val="tx1"/>
                        </w14:solidFill>
                      </w14:textFill>
                    </w:rPr>
                    <w:t>新建</w:t>
                  </w:r>
                </w:p>
              </w:tc>
            </w:tr>
            <w:tr w14:paraId="795ECDD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97" w:type="dxa"/>
                  <w:vMerge w:val="continue"/>
                  <w:vAlign w:val="center"/>
                </w:tcPr>
                <w:p w14:paraId="2BB9E84E">
                  <w:pPr>
                    <w:widowControl/>
                    <w:rPr>
                      <w:rFonts w:eastAsiaTheme="minorEastAsia"/>
                      <w:color w:val="000000" w:themeColor="text1"/>
                      <w:kern w:val="0"/>
                      <w:szCs w:val="21"/>
                      <w14:textFill>
                        <w14:solidFill>
                          <w14:schemeClr w14:val="tx1"/>
                        </w14:solidFill>
                      </w14:textFill>
                    </w:rPr>
                  </w:pPr>
                </w:p>
              </w:tc>
              <w:tc>
                <w:tcPr>
                  <w:tcW w:w="1305" w:type="dxa"/>
                  <w:vMerge w:val="continue"/>
                  <w:vAlign w:val="center"/>
                </w:tcPr>
                <w:p w14:paraId="1611CC09">
                  <w:pPr>
                    <w:widowControl/>
                    <w:rPr>
                      <w:rFonts w:eastAsiaTheme="minorEastAsia"/>
                      <w:color w:val="000000" w:themeColor="text1"/>
                      <w:kern w:val="0"/>
                      <w:szCs w:val="21"/>
                      <w14:textFill>
                        <w14:solidFill>
                          <w14:schemeClr w14:val="tx1"/>
                        </w14:solidFill>
                      </w14:textFill>
                    </w:rPr>
                  </w:pPr>
                </w:p>
              </w:tc>
              <w:tc>
                <w:tcPr>
                  <w:tcW w:w="4998" w:type="dxa"/>
                  <w:gridSpan w:val="3"/>
                  <w:vAlign w:val="center"/>
                </w:tcPr>
                <w:p w14:paraId="43CD24A0">
                  <w:pPr>
                    <w:pStyle w:val="135"/>
                    <w:adjustRightInd w:val="0"/>
                    <w:snapToGrid w:val="0"/>
                    <w:jc w:val="left"/>
                    <w:rPr>
                      <w:rFonts w:eastAsiaTheme="minorEastAsia"/>
                      <w:color w:val="000000" w:themeColor="text1"/>
                      <w:kern w:val="21"/>
                      <w14:textFill>
                        <w14:solidFill>
                          <w14:schemeClr w14:val="tx1"/>
                        </w14:solidFill>
                      </w14:textFill>
                    </w:rPr>
                  </w:pPr>
                  <w:r>
                    <w:rPr>
                      <w:rFonts w:eastAsiaTheme="minorEastAsia"/>
                      <w:color w:val="000000" w:themeColor="text1"/>
                      <w:kern w:val="21"/>
                      <w14:textFill>
                        <w14:solidFill>
                          <w14:schemeClr w14:val="tx1"/>
                        </w14:solidFill>
                      </w14:textFill>
                    </w:rPr>
                    <w:t>生活垃圾箱2个，用于暂存生活垃圾。</w:t>
                  </w:r>
                </w:p>
              </w:tc>
              <w:tc>
                <w:tcPr>
                  <w:tcW w:w="1481" w:type="dxa"/>
                  <w:vAlign w:val="center"/>
                </w:tcPr>
                <w:p w14:paraId="3002E02C">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w:t>
                  </w:r>
                </w:p>
              </w:tc>
            </w:tr>
          </w:tbl>
          <w:p w14:paraId="450C042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3、依托工程</w:t>
            </w:r>
          </w:p>
          <w:p w14:paraId="79092669">
            <w:pPr>
              <w:pStyle w:val="65"/>
              <w:spacing w:before="156"/>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本项目供水、供电、供气及生活污水依托朝阳县瓦房子镇宏兴锰矿（本项目租用其部分场地），具体见下表。</w:t>
            </w:r>
          </w:p>
          <w:p w14:paraId="6F1371D8">
            <w:pPr>
              <w:pStyle w:val="49"/>
              <w:rPr>
                <w:rFonts w:eastAsiaTheme="minorEastAsia"/>
              </w:rPr>
            </w:pPr>
            <w:r>
              <w:rPr>
                <w:rFonts w:eastAsiaTheme="minorEastAsia"/>
              </w:rPr>
              <w:t>表2-3本项目依托工程及其可行性</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3544"/>
              <w:gridCol w:w="3919"/>
            </w:tblGrid>
            <w:tr w14:paraId="7265609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3" w:type="dxa"/>
                  <w:vAlign w:val="center"/>
                </w:tcPr>
                <w:p w14:paraId="5803544B">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w:t>
                  </w:r>
                </w:p>
              </w:tc>
              <w:tc>
                <w:tcPr>
                  <w:tcW w:w="3544" w:type="dxa"/>
                  <w:vAlign w:val="center"/>
                </w:tcPr>
                <w:p w14:paraId="12C59F95">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依托内容</w:t>
                  </w:r>
                </w:p>
              </w:tc>
              <w:tc>
                <w:tcPr>
                  <w:tcW w:w="3919" w:type="dxa"/>
                  <w:vAlign w:val="center"/>
                </w:tcPr>
                <w:p w14:paraId="4287E4E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依托可行性</w:t>
                  </w:r>
                </w:p>
              </w:tc>
            </w:tr>
            <w:tr w14:paraId="026C16A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3" w:type="dxa"/>
                  <w:vAlign w:val="center"/>
                </w:tcPr>
                <w:p w14:paraId="36373F3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供水</w:t>
                  </w:r>
                </w:p>
              </w:tc>
              <w:tc>
                <w:tcPr>
                  <w:tcW w:w="3544" w:type="dxa"/>
                  <w:vAlign w:val="center"/>
                </w:tcPr>
                <w:p w14:paraId="00803FCD">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项目用水依托朝阳县瓦房子镇宏兴锰矿（本项目租用其部分场地）供水系统，由镇区水厂给水管网统一供水。</w:t>
                  </w:r>
                </w:p>
              </w:tc>
              <w:tc>
                <w:tcPr>
                  <w:tcW w:w="3919" w:type="dxa"/>
                  <w:vAlign w:val="center"/>
                </w:tcPr>
                <w:p w14:paraId="531C5EC2">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通过朝阳县瓦房子镇宏兴锰矿由镇区水厂给水管网统一供水，依托可行。</w:t>
                  </w:r>
                </w:p>
              </w:tc>
            </w:tr>
            <w:tr w14:paraId="1D0CB08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3" w:type="dxa"/>
                  <w:vAlign w:val="center"/>
                </w:tcPr>
                <w:p w14:paraId="07AE431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供电</w:t>
                  </w:r>
                </w:p>
              </w:tc>
              <w:tc>
                <w:tcPr>
                  <w:tcW w:w="3544" w:type="dxa"/>
                  <w:vAlign w:val="center"/>
                </w:tcPr>
                <w:p w14:paraId="434F8558">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园区电源引自镇区内66kV变电所，采用多路10kV电缆进线方式。本项目用电依托朝阳县瓦房子镇宏兴锰矿（本项目租用其部分场地）供电系统，由园区供电。</w:t>
                  </w:r>
                </w:p>
              </w:tc>
              <w:tc>
                <w:tcPr>
                  <w:tcW w:w="3919" w:type="dxa"/>
                  <w:vAlign w:val="center"/>
                </w:tcPr>
                <w:p w14:paraId="5CBB6B35">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通过朝阳县瓦房子镇宏兴锰矿接入园区10kV电缆进线，依托可行。</w:t>
                  </w:r>
                </w:p>
              </w:tc>
            </w:tr>
            <w:tr w14:paraId="39232E0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3" w:type="dxa"/>
                  <w:vAlign w:val="center"/>
                </w:tcPr>
                <w:p w14:paraId="0ADD6146">
                  <w:pPr>
                    <w:pStyle w:val="135"/>
                    <w:adjustRightInd w:val="0"/>
                    <w:snapToGrid w:val="0"/>
                    <w:rPr>
                      <w:rFonts w:eastAsiaTheme="minorEastAsia"/>
                      <w:color w:val="0000FF"/>
                    </w:rPr>
                  </w:pPr>
                  <w:r>
                    <w:rPr>
                      <w:rFonts w:eastAsiaTheme="minorEastAsia"/>
                      <w:color w:val="0000FF"/>
                    </w:rPr>
                    <w:t>供气</w:t>
                  </w:r>
                </w:p>
              </w:tc>
              <w:tc>
                <w:tcPr>
                  <w:tcW w:w="3544" w:type="dxa"/>
                  <w:vAlign w:val="center"/>
                </w:tcPr>
                <w:p w14:paraId="69E96450">
                  <w:pPr>
                    <w:pStyle w:val="135"/>
                    <w:adjustRightInd w:val="0"/>
                    <w:snapToGrid w:val="0"/>
                    <w:jc w:val="left"/>
                    <w:rPr>
                      <w:rFonts w:eastAsiaTheme="minorEastAsia"/>
                      <w:color w:val="0000FF"/>
                    </w:rPr>
                  </w:pPr>
                  <w:r>
                    <w:rPr>
                      <w:rFonts w:eastAsiaTheme="minorEastAsia"/>
                      <w:color w:val="0000FF"/>
                    </w:rPr>
                    <w:t>烘干设备用气来自朝阳县瓦房子镇宏兴锰矿（本项目租用其部分场地）高炉煤气。</w:t>
                  </w:r>
                </w:p>
              </w:tc>
              <w:tc>
                <w:tcPr>
                  <w:tcW w:w="3919" w:type="dxa"/>
                  <w:vAlign w:val="center"/>
                </w:tcPr>
                <w:p w14:paraId="39BA3F82">
                  <w:pPr>
                    <w:pStyle w:val="135"/>
                    <w:adjustRightInd w:val="0"/>
                    <w:snapToGrid w:val="0"/>
                    <w:rPr>
                      <w:rFonts w:eastAsiaTheme="minorEastAsia"/>
                      <w:color w:val="0000FF"/>
                    </w:rPr>
                  </w:pPr>
                  <w:r>
                    <w:rPr>
                      <w:rFonts w:eastAsiaTheme="minorEastAsia"/>
                      <w:color w:val="0000FF"/>
                    </w:rPr>
                    <w:t>朝阳县瓦房子镇宏兴锰矿满负荷生产时产生高炉煤气约13140万m</w:t>
                  </w:r>
                  <w:r>
                    <w:rPr>
                      <w:rFonts w:eastAsiaTheme="minorEastAsia"/>
                      <w:color w:val="0000FF"/>
                      <w:vertAlign w:val="superscript"/>
                    </w:rPr>
                    <w:t>3</w:t>
                  </w:r>
                  <w:r>
                    <w:rPr>
                      <w:rFonts w:eastAsiaTheme="minorEastAsia"/>
                      <w:color w:val="0000FF"/>
                    </w:rPr>
                    <w:t>/a，目前作为热风炉燃料预热原料，其中约8000万m</w:t>
                  </w:r>
                  <w:r>
                    <w:rPr>
                      <w:rFonts w:eastAsiaTheme="minorEastAsia"/>
                      <w:color w:val="0000FF"/>
                      <w:vertAlign w:val="superscript"/>
                    </w:rPr>
                    <w:t>3</w:t>
                  </w:r>
                  <w:r>
                    <w:rPr>
                      <w:rFonts w:eastAsiaTheme="minorEastAsia"/>
                      <w:color w:val="0000FF"/>
                    </w:rPr>
                    <w:t>/a为有效使用，剩余约5140万m³/a未充分利用。本项目高炉煤气用量为540万m³/a，仅占宏兴锰矿富余煤气量的10.5%，其富余高炉煤气完全能够满足本项目需求，同时可提高宏兴锰矿高炉煤气的综合利用率。</w:t>
                  </w:r>
                </w:p>
              </w:tc>
            </w:tr>
            <w:tr w14:paraId="1C13302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3" w:type="dxa"/>
                  <w:vAlign w:val="center"/>
                </w:tcPr>
                <w:p w14:paraId="15A9872E">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生活污水</w:t>
                  </w:r>
                </w:p>
              </w:tc>
              <w:tc>
                <w:tcPr>
                  <w:tcW w:w="3544" w:type="dxa"/>
                  <w:vAlign w:val="center"/>
                </w:tcPr>
                <w:p w14:paraId="23B3B1E0">
                  <w:pPr>
                    <w:pStyle w:val="135"/>
                    <w:adjustRightInd w:val="0"/>
                    <w:snapToGrid w:val="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依托朝阳县瓦房子镇宏兴锰矿（本项目租用其部分场地）化粪池。</w:t>
                  </w:r>
                </w:p>
              </w:tc>
              <w:tc>
                <w:tcPr>
                  <w:tcW w:w="3919" w:type="dxa"/>
                  <w:vAlign w:val="center"/>
                </w:tcPr>
                <w:p w14:paraId="3FBBA0C3">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生活污水经化粪池处理后</w:t>
                  </w:r>
                  <w:r>
                    <w:rPr>
                      <w:rFonts w:eastAsiaTheme="minorEastAsia"/>
                      <w:color w:val="0000FF"/>
                    </w:rPr>
                    <w:t>定期清掏。</w:t>
                  </w:r>
                </w:p>
              </w:tc>
            </w:tr>
          </w:tbl>
          <w:p w14:paraId="272A5348">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4、产品方案</w:t>
            </w:r>
          </w:p>
          <w:p w14:paraId="1DC9BD3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（1）产品产能</w:t>
            </w:r>
          </w:p>
          <w:p w14:paraId="5F6C821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锰矿石废料为上游企业对锰矿石破碎筛分产生的粒径不合格物料。本项目原料为冶炼单位的破碎筛分废料，实现了废料的利用，从环保角度上减少了固体废物量，实现了固体废物减量，从经济角度上提高了原料的利用率，总体上减少了生产成本。</w:t>
            </w:r>
          </w:p>
          <w:p w14:paraId="60C8163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本项目加工产生热造块主要成分与上游冶炼企业冶炼用原料锰矿石基本相同，粒径满足上游企业冶炼炉入炉要求。产品出售给朝阳县瓦房子镇宏兴锰矿、葫芦岛市八家子经济开发区安胜矿产品综合利用有限公司、辽宁鑫方成新材料有限公司用作生产原料。</w:t>
            </w:r>
          </w:p>
          <w:p w14:paraId="7708C54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项目工程产品方案见表2-4。</w:t>
            </w:r>
          </w:p>
          <w:p w14:paraId="2684D5FD">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表2-4项目产品方案一览表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1"/>
              <w:gridCol w:w="709"/>
              <w:gridCol w:w="992"/>
              <w:gridCol w:w="993"/>
              <w:gridCol w:w="1134"/>
              <w:gridCol w:w="850"/>
              <w:gridCol w:w="851"/>
              <w:gridCol w:w="1928"/>
              <w:gridCol w:w="708"/>
            </w:tblGrid>
            <w:tr w14:paraId="416AEBC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21" w:type="dxa"/>
                  <w:vAlign w:val="center"/>
                </w:tcPr>
                <w:p w14:paraId="5112105E">
                  <w:pPr>
                    <w:pStyle w:val="48"/>
                  </w:pPr>
                  <w:r>
                    <w:t>序号</w:t>
                  </w:r>
                </w:p>
              </w:tc>
              <w:tc>
                <w:tcPr>
                  <w:tcW w:w="709" w:type="dxa"/>
                  <w:vAlign w:val="center"/>
                </w:tcPr>
                <w:p w14:paraId="3D0ACE99">
                  <w:pPr>
                    <w:pStyle w:val="48"/>
                  </w:pPr>
                  <w:r>
                    <w:t>产品名称</w:t>
                  </w:r>
                </w:p>
              </w:tc>
              <w:tc>
                <w:tcPr>
                  <w:tcW w:w="992" w:type="dxa"/>
                  <w:vAlign w:val="center"/>
                </w:tcPr>
                <w:p w14:paraId="62A4A55D">
                  <w:pPr>
                    <w:pStyle w:val="48"/>
                  </w:pPr>
                  <w:r>
                    <w:t>规格</w:t>
                  </w:r>
                </w:p>
              </w:tc>
              <w:tc>
                <w:tcPr>
                  <w:tcW w:w="993" w:type="dxa"/>
                  <w:vAlign w:val="center"/>
                </w:tcPr>
                <w:p w14:paraId="6168BC32">
                  <w:pPr>
                    <w:pStyle w:val="48"/>
                  </w:pPr>
                  <w:r>
                    <w:t>设计产能t/年</w:t>
                  </w:r>
                </w:p>
              </w:tc>
              <w:tc>
                <w:tcPr>
                  <w:tcW w:w="1134" w:type="dxa"/>
                  <w:vAlign w:val="center"/>
                </w:tcPr>
                <w:p w14:paraId="0A08BB16">
                  <w:pPr>
                    <w:pStyle w:val="48"/>
                  </w:pPr>
                  <w:r>
                    <w:t>最大储存量t</w:t>
                  </w:r>
                </w:p>
              </w:tc>
              <w:tc>
                <w:tcPr>
                  <w:tcW w:w="850" w:type="dxa"/>
                  <w:vAlign w:val="center"/>
                </w:tcPr>
                <w:p w14:paraId="0BFDE435">
                  <w:pPr>
                    <w:pStyle w:val="48"/>
                  </w:pPr>
                  <w:r>
                    <w:t>包装</w:t>
                  </w:r>
                </w:p>
                <w:p w14:paraId="262874FC">
                  <w:pPr>
                    <w:pStyle w:val="48"/>
                  </w:pPr>
                  <w:r>
                    <w:t>方式</w:t>
                  </w:r>
                </w:p>
              </w:tc>
              <w:tc>
                <w:tcPr>
                  <w:tcW w:w="851" w:type="dxa"/>
                  <w:vAlign w:val="center"/>
                </w:tcPr>
                <w:p w14:paraId="791CB612">
                  <w:pPr>
                    <w:pStyle w:val="48"/>
                  </w:pPr>
                  <w:r>
                    <w:t>储存位置</w:t>
                  </w:r>
                </w:p>
              </w:tc>
              <w:tc>
                <w:tcPr>
                  <w:tcW w:w="1928" w:type="dxa"/>
                  <w:vAlign w:val="center"/>
                </w:tcPr>
                <w:p w14:paraId="5D81B82A">
                  <w:pPr>
                    <w:pStyle w:val="48"/>
                  </w:pPr>
                  <w:r>
                    <w:t>产品去向</w:t>
                  </w:r>
                </w:p>
              </w:tc>
              <w:tc>
                <w:tcPr>
                  <w:tcW w:w="708" w:type="dxa"/>
                  <w:vAlign w:val="center"/>
                </w:tcPr>
                <w:p w14:paraId="54830530">
                  <w:pPr>
                    <w:pStyle w:val="48"/>
                  </w:pPr>
                  <w:r>
                    <w:t>外运方式</w:t>
                  </w:r>
                </w:p>
              </w:tc>
            </w:tr>
            <w:tr w14:paraId="5950C16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21" w:type="dxa"/>
                  <w:vAlign w:val="center"/>
                </w:tcPr>
                <w:p w14:paraId="3DE466B2">
                  <w:pPr>
                    <w:pStyle w:val="48"/>
                  </w:pPr>
                  <w:r>
                    <w:t>1</w:t>
                  </w:r>
                </w:p>
              </w:tc>
              <w:tc>
                <w:tcPr>
                  <w:tcW w:w="709" w:type="dxa"/>
                  <w:vAlign w:val="center"/>
                </w:tcPr>
                <w:p w14:paraId="7E448AFC">
                  <w:pPr>
                    <w:pStyle w:val="48"/>
                  </w:pPr>
                  <w:r>
                    <w:t>热造块</w:t>
                  </w:r>
                </w:p>
              </w:tc>
              <w:tc>
                <w:tcPr>
                  <w:tcW w:w="992" w:type="dxa"/>
                  <w:vAlign w:val="center"/>
                </w:tcPr>
                <w:p w14:paraId="2694DAF6">
                  <w:pPr>
                    <w:pStyle w:val="48"/>
                  </w:pPr>
                  <w:r>
                    <w:t>块状（50mm以下）</w:t>
                  </w:r>
                </w:p>
              </w:tc>
              <w:tc>
                <w:tcPr>
                  <w:tcW w:w="993" w:type="dxa"/>
                  <w:vAlign w:val="center"/>
                </w:tcPr>
                <w:p w14:paraId="37A0DB1F">
                  <w:pPr>
                    <w:pStyle w:val="48"/>
                  </w:pPr>
                  <w:r>
                    <w:t>4.5万</w:t>
                  </w:r>
                </w:p>
              </w:tc>
              <w:tc>
                <w:tcPr>
                  <w:tcW w:w="1134" w:type="dxa"/>
                  <w:vAlign w:val="center"/>
                </w:tcPr>
                <w:p w14:paraId="3103003E">
                  <w:pPr>
                    <w:pStyle w:val="48"/>
                  </w:pPr>
                  <w:r>
                    <w:t>542</w:t>
                  </w:r>
                </w:p>
              </w:tc>
              <w:tc>
                <w:tcPr>
                  <w:tcW w:w="850" w:type="dxa"/>
                  <w:vMerge w:val="restart"/>
                  <w:vAlign w:val="center"/>
                </w:tcPr>
                <w:p w14:paraId="5B2D050B">
                  <w:pPr>
                    <w:pStyle w:val="48"/>
                  </w:pPr>
                  <w:r>
                    <w:t>散装</w:t>
                  </w:r>
                </w:p>
              </w:tc>
              <w:tc>
                <w:tcPr>
                  <w:tcW w:w="851" w:type="dxa"/>
                  <w:vMerge w:val="restart"/>
                  <w:vAlign w:val="center"/>
                </w:tcPr>
                <w:p w14:paraId="69274B83">
                  <w:pPr>
                    <w:pStyle w:val="48"/>
                  </w:pPr>
                  <w:r>
                    <w:t>成品库</w:t>
                  </w:r>
                </w:p>
              </w:tc>
              <w:tc>
                <w:tcPr>
                  <w:tcW w:w="1928" w:type="dxa"/>
                  <w:vMerge w:val="restart"/>
                </w:tcPr>
                <w:p w14:paraId="2388DC99">
                  <w:pPr>
                    <w:pStyle w:val="48"/>
                  </w:pPr>
                  <w:r>
                    <w:t>朝阳县瓦房子镇宏兴锰矿、葫芦岛市八家子经济开发区安胜矿产品综合利用有限公司、辽宁鑫方成新材料有限公司</w:t>
                  </w:r>
                </w:p>
              </w:tc>
              <w:tc>
                <w:tcPr>
                  <w:tcW w:w="708" w:type="dxa"/>
                  <w:vMerge w:val="restart"/>
                  <w:vAlign w:val="center"/>
                </w:tcPr>
                <w:p w14:paraId="5483A4A9">
                  <w:pPr>
                    <w:pStyle w:val="48"/>
                  </w:pPr>
                  <w:r>
                    <w:t>汽运</w:t>
                  </w:r>
                </w:p>
              </w:tc>
            </w:tr>
            <w:tr w14:paraId="5F7796A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222" w:type="dxa"/>
                  <w:gridSpan w:val="3"/>
                  <w:vAlign w:val="center"/>
                </w:tcPr>
                <w:p w14:paraId="0A17AC37">
                  <w:pPr>
                    <w:pStyle w:val="48"/>
                  </w:pPr>
                  <w:r>
                    <w:t>合计</w:t>
                  </w:r>
                </w:p>
              </w:tc>
              <w:tc>
                <w:tcPr>
                  <w:tcW w:w="993" w:type="dxa"/>
                  <w:vAlign w:val="center"/>
                </w:tcPr>
                <w:p w14:paraId="493664C4">
                  <w:pPr>
                    <w:pStyle w:val="48"/>
                  </w:pPr>
                  <w:r>
                    <w:t>4.5万</w:t>
                  </w:r>
                </w:p>
              </w:tc>
              <w:tc>
                <w:tcPr>
                  <w:tcW w:w="1134" w:type="dxa"/>
                  <w:vAlign w:val="center"/>
                </w:tcPr>
                <w:p w14:paraId="46C4822D">
                  <w:pPr>
                    <w:pStyle w:val="48"/>
                  </w:pPr>
                  <w:r>
                    <w:t>542</w:t>
                  </w:r>
                </w:p>
              </w:tc>
              <w:tc>
                <w:tcPr>
                  <w:tcW w:w="850" w:type="dxa"/>
                  <w:vMerge w:val="continue"/>
                  <w:vAlign w:val="center"/>
                </w:tcPr>
                <w:p w14:paraId="7BC2E36B">
                  <w:pPr>
                    <w:pStyle w:val="48"/>
                    <w:rPr>
                      <w:kern w:val="0"/>
                    </w:rPr>
                  </w:pPr>
                </w:p>
              </w:tc>
              <w:tc>
                <w:tcPr>
                  <w:tcW w:w="851" w:type="dxa"/>
                  <w:vMerge w:val="continue"/>
                  <w:vAlign w:val="center"/>
                </w:tcPr>
                <w:p w14:paraId="7E9B6F5C">
                  <w:pPr>
                    <w:pStyle w:val="48"/>
                    <w:rPr>
                      <w:kern w:val="0"/>
                    </w:rPr>
                  </w:pPr>
                </w:p>
              </w:tc>
              <w:tc>
                <w:tcPr>
                  <w:tcW w:w="1928" w:type="dxa"/>
                  <w:vMerge w:val="continue"/>
                </w:tcPr>
                <w:p w14:paraId="2C0C276A">
                  <w:pPr>
                    <w:pStyle w:val="48"/>
                    <w:rPr>
                      <w:kern w:val="0"/>
                    </w:rPr>
                  </w:pPr>
                </w:p>
              </w:tc>
              <w:tc>
                <w:tcPr>
                  <w:tcW w:w="708" w:type="dxa"/>
                  <w:vMerge w:val="continue"/>
                  <w:vAlign w:val="center"/>
                </w:tcPr>
                <w:p w14:paraId="6950E53F">
                  <w:pPr>
                    <w:pStyle w:val="48"/>
                    <w:rPr>
                      <w:kern w:val="0"/>
                    </w:rPr>
                  </w:pPr>
                </w:p>
              </w:tc>
            </w:tr>
          </w:tbl>
          <w:p w14:paraId="09DA51D1">
            <w:pPr>
              <w:pStyle w:val="65"/>
              <w:ind w:firstLine="480"/>
              <w:rPr>
                <w:rFonts w:eastAsiaTheme="minorEastAsia"/>
                <w:color w:val="0000FF"/>
              </w:rPr>
            </w:pPr>
            <w:r>
              <w:rPr>
                <w:rFonts w:eastAsiaTheme="minorEastAsia"/>
                <w:color w:val="0000FF"/>
              </w:rPr>
              <w:t>（2）产品质量</w:t>
            </w:r>
          </w:p>
          <w:p w14:paraId="178182AA">
            <w:pPr>
              <w:pStyle w:val="65"/>
              <w:ind w:firstLine="480"/>
              <w:rPr>
                <w:rFonts w:eastAsiaTheme="minorEastAsia"/>
                <w:color w:val="0000FF"/>
              </w:rPr>
            </w:pPr>
            <w:r>
              <w:rPr>
                <w:rFonts w:hint="eastAsia" w:ascii="宋体" w:hAnsi="宋体" w:cs="宋体"/>
                <w:color w:val="0000FF"/>
              </w:rPr>
              <w:t>①</w:t>
            </w:r>
            <w:r>
              <w:rPr>
                <w:rFonts w:eastAsiaTheme="minorEastAsia"/>
                <w:color w:val="0000FF"/>
              </w:rPr>
              <w:t>原料成分</w:t>
            </w:r>
          </w:p>
          <w:p w14:paraId="5E7E6F06">
            <w:pPr>
              <w:pStyle w:val="65"/>
              <w:ind w:firstLine="480"/>
              <w:rPr>
                <w:rFonts w:eastAsiaTheme="minorEastAsia"/>
                <w:color w:val="0000FF"/>
              </w:rPr>
            </w:pPr>
            <w:r>
              <w:rPr>
                <w:rFonts w:eastAsiaTheme="minorEastAsia"/>
                <w:bCs/>
                <w:color w:val="0000FF"/>
              </w:rPr>
              <w:t>本项目利用</w:t>
            </w:r>
            <w:r>
              <w:rPr>
                <w:rFonts w:eastAsiaTheme="minorEastAsia"/>
                <w:color w:val="0000FF"/>
              </w:rPr>
              <w:t>上游企业对锰矿石破碎筛分产生的粒径不合格（＜10mm）物料进行混料、造球、烘干，其主要成分质量基本无变化。原料锰矿石废料成分：</w:t>
            </w:r>
          </w:p>
          <w:p w14:paraId="33762D05">
            <w:pPr>
              <w:pStyle w:val="92"/>
              <w:rPr>
                <w:rFonts w:eastAsiaTheme="minorEastAsia"/>
                <w:color w:val="0000FF"/>
              </w:rPr>
            </w:pPr>
            <w:r>
              <w:rPr>
                <w:rFonts w:eastAsiaTheme="minorEastAsia"/>
                <w:color w:val="0000FF"/>
              </w:rPr>
              <w:t>表2-5 锰矿石废料原料主要成分表</w:t>
            </w:r>
          </w:p>
          <w:tbl>
            <w:tblPr>
              <w:tblStyle w:val="36"/>
              <w:tblW w:w="495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994"/>
              <w:gridCol w:w="744"/>
              <w:gridCol w:w="745"/>
              <w:gridCol w:w="745"/>
              <w:gridCol w:w="744"/>
              <w:gridCol w:w="745"/>
              <w:gridCol w:w="745"/>
              <w:gridCol w:w="745"/>
              <w:gridCol w:w="892"/>
            </w:tblGrid>
            <w:tr w14:paraId="7C84C5D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87" w:type="dxa"/>
                  <w:vMerge w:val="restart"/>
                  <w:vAlign w:val="center"/>
                </w:tcPr>
                <w:p w14:paraId="57A9EB9C">
                  <w:pPr>
                    <w:pStyle w:val="48"/>
                    <w:rPr>
                      <w:color w:val="0000FF"/>
                    </w:rPr>
                  </w:pPr>
                  <w:r>
                    <w:rPr>
                      <w:color w:val="0000FF"/>
                    </w:rPr>
                    <w:t>品名</w:t>
                  </w:r>
                </w:p>
              </w:tc>
              <w:tc>
                <w:tcPr>
                  <w:tcW w:w="1994" w:type="dxa"/>
                  <w:vMerge w:val="restart"/>
                </w:tcPr>
                <w:p w14:paraId="2CC0B4DC">
                  <w:pPr>
                    <w:pStyle w:val="48"/>
                    <w:rPr>
                      <w:color w:val="0000FF"/>
                    </w:rPr>
                  </w:pPr>
                  <w:r>
                    <w:rPr>
                      <w:color w:val="0000FF"/>
                    </w:rPr>
                    <w:t>来源</w:t>
                  </w:r>
                </w:p>
              </w:tc>
              <w:tc>
                <w:tcPr>
                  <w:tcW w:w="6105" w:type="dxa"/>
                  <w:gridSpan w:val="8"/>
                  <w:vAlign w:val="center"/>
                </w:tcPr>
                <w:p w14:paraId="77E7390E">
                  <w:pPr>
                    <w:pStyle w:val="48"/>
                    <w:rPr>
                      <w:color w:val="0000FF"/>
                    </w:rPr>
                  </w:pPr>
                  <w:r>
                    <w:rPr>
                      <w:color w:val="0000FF"/>
                    </w:rPr>
                    <w:t>成分（%）</w:t>
                  </w:r>
                </w:p>
              </w:tc>
            </w:tr>
            <w:tr w14:paraId="68159BD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87" w:type="dxa"/>
                  <w:vMerge w:val="continue"/>
                  <w:vAlign w:val="center"/>
                </w:tcPr>
                <w:p w14:paraId="0CA5ED52">
                  <w:pPr>
                    <w:pStyle w:val="48"/>
                    <w:rPr>
                      <w:color w:val="0000FF"/>
                    </w:rPr>
                  </w:pPr>
                </w:p>
              </w:tc>
              <w:tc>
                <w:tcPr>
                  <w:tcW w:w="1994" w:type="dxa"/>
                  <w:vMerge w:val="continue"/>
                </w:tcPr>
                <w:p w14:paraId="548E2925">
                  <w:pPr>
                    <w:pStyle w:val="48"/>
                    <w:rPr>
                      <w:color w:val="0000FF"/>
                    </w:rPr>
                  </w:pPr>
                </w:p>
              </w:tc>
              <w:tc>
                <w:tcPr>
                  <w:tcW w:w="744" w:type="dxa"/>
                  <w:vAlign w:val="center"/>
                </w:tcPr>
                <w:p w14:paraId="6CCD5FC8">
                  <w:pPr>
                    <w:pStyle w:val="48"/>
                    <w:rPr>
                      <w:color w:val="0000FF"/>
                    </w:rPr>
                  </w:pPr>
                  <w:r>
                    <w:rPr>
                      <w:color w:val="0000FF"/>
                    </w:rPr>
                    <w:t>Mn</w:t>
                  </w:r>
                </w:p>
              </w:tc>
              <w:tc>
                <w:tcPr>
                  <w:tcW w:w="745" w:type="dxa"/>
                  <w:vAlign w:val="center"/>
                </w:tcPr>
                <w:p w14:paraId="1DE078B7">
                  <w:pPr>
                    <w:pStyle w:val="48"/>
                    <w:rPr>
                      <w:color w:val="0000FF"/>
                    </w:rPr>
                  </w:pPr>
                  <w:r>
                    <w:rPr>
                      <w:color w:val="0000FF"/>
                    </w:rPr>
                    <w:t>Fe</w:t>
                  </w:r>
                </w:p>
              </w:tc>
              <w:tc>
                <w:tcPr>
                  <w:tcW w:w="745" w:type="dxa"/>
                  <w:vAlign w:val="center"/>
                </w:tcPr>
                <w:p w14:paraId="4783BE1A">
                  <w:pPr>
                    <w:pStyle w:val="48"/>
                    <w:rPr>
                      <w:color w:val="0000FF"/>
                    </w:rPr>
                  </w:pPr>
                  <w:r>
                    <w:rPr>
                      <w:color w:val="0000FF"/>
                    </w:rPr>
                    <w:t>SiO2</w:t>
                  </w:r>
                </w:p>
              </w:tc>
              <w:tc>
                <w:tcPr>
                  <w:tcW w:w="744" w:type="dxa"/>
                  <w:vAlign w:val="center"/>
                </w:tcPr>
                <w:p w14:paraId="2420B913">
                  <w:pPr>
                    <w:pStyle w:val="48"/>
                    <w:rPr>
                      <w:color w:val="0000FF"/>
                    </w:rPr>
                  </w:pPr>
                  <w:r>
                    <w:rPr>
                      <w:color w:val="0000FF"/>
                    </w:rPr>
                    <w:t>P</w:t>
                  </w:r>
                </w:p>
              </w:tc>
              <w:tc>
                <w:tcPr>
                  <w:tcW w:w="745" w:type="dxa"/>
                  <w:vAlign w:val="center"/>
                </w:tcPr>
                <w:p w14:paraId="1668C846">
                  <w:pPr>
                    <w:pStyle w:val="48"/>
                    <w:rPr>
                      <w:color w:val="0000FF"/>
                    </w:rPr>
                  </w:pPr>
                  <w:r>
                    <w:rPr>
                      <w:color w:val="0000FF"/>
                    </w:rPr>
                    <w:t>S</w:t>
                  </w:r>
                </w:p>
              </w:tc>
              <w:tc>
                <w:tcPr>
                  <w:tcW w:w="745" w:type="dxa"/>
                  <w:vAlign w:val="center"/>
                </w:tcPr>
                <w:p w14:paraId="4CD7EC03">
                  <w:pPr>
                    <w:pStyle w:val="48"/>
                    <w:rPr>
                      <w:color w:val="0000FF"/>
                    </w:rPr>
                  </w:pPr>
                  <w:r>
                    <w:rPr>
                      <w:color w:val="0000FF"/>
                    </w:rPr>
                    <w:t>Ca</w:t>
                  </w:r>
                </w:p>
              </w:tc>
              <w:tc>
                <w:tcPr>
                  <w:tcW w:w="745" w:type="dxa"/>
                  <w:vAlign w:val="center"/>
                </w:tcPr>
                <w:p w14:paraId="12860CFA">
                  <w:pPr>
                    <w:pStyle w:val="48"/>
                    <w:rPr>
                      <w:color w:val="0000FF"/>
                    </w:rPr>
                  </w:pPr>
                  <w:r>
                    <w:rPr>
                      <w:color w:val="0000FF"/>
                    </w:rPr>
                    <w:t>MgO</w:t>
                  </w:r>
                </w:p>
              </w:tc>
              <w:tc>
                <w:tcPr>
                  <w:tcW w:w="892" w:type="dxa"/>
                  <w:vAlign w:val="center"/>
                </w:tcPr>
                <w:p w14:paraId="3BAC9D26">
                  <w:pPr>
                    <w:pStyle w:val="48"/>
                    <w:rPr>
                      <w:color w:val="0000FF"/>
                    </w:rPr>
                  </w:pPr>
                  <w:r>
                    <w:rPr>
                      <w:color w:val="0000FF"/>
                    </w:rPr>
                    <w:t>其他</w:t>
                  </w:r>
                  <w:r>
                    <w:rPr>
                      <w:rFonts w:hint="eastAsia" w:ascii="宋体" w:hAnsi="宋体" w:eastAsia="宋体" w:cs="宋体"/>
                      <w:color w:val="0000FF"/>
                      <w:vertAlign w:val="superscript"/>
                    </w:rPr>
                    <w:t>①</w:t>
                  </w:r>
                </w:p>
              </w:tc>
            </w:tr>
            <w:tr w14:paraId="256E268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587" w:type="dxa"/>
                  <w:vMerge w:val="restart"/>
                  <w:vAlign w:val="center"/>
                </w:tcPr>
                <w:p w14:paraId="20084333">
                  <w:pPr>
                    <w:pStyle w:val="48"/>
                    <w:rPr>
                      <w:color w:val="0000FF"/>
                    </w:rPr>
                  </w:pPr>
                  <w:r>
                    <w:rPr>
                      <w:color w:val="0000FF"/>
                    </w:rPr>
                    <w:t>锰矿石废料</w:t>
                  </w:r>
                </w:p>
              </w:tc>
              <w:tc>
                <w:tcPr>
                  <w:tcW w:w="1994" w:type="dxa"/>
                </w:tcPr>
                <w:p w14:paraId="7806C8ED">
                  <w:pPr>
                    <w:pStyle w:val="48"/>
                    <w:rPr>
                      <w:color w:val="0000FF"/>
                    </w:rPr>
                  </w:pPr>
                  <w:r>
                    <w:rPr>
                      <w:color w:val="0000FF"/>
                    </w:rPr>
                    <w:t>朝阳县瓦房子镇宏兴锰矿</w:t>
                  </w:r>
                </w:p>
              </w:tc>
              <w:tc>
                <w:tcPr>
                  <w:tcW w:w="744" w:type="dxa"/>
                  <w:vAlign w:val="center"/>
                </w:tcPr>
                <w:p w14:paraId="37571E4A">
                  <w:pPr>
                    <w:pStyle w:val="48"/>
                    <w:rPr>
                      <w:color w:val="0000FF"/>
                    </w:rPr>
                  </w:pPr>
                  <w:r>
                    <w:rPr>
                      <w:color w:val="0000FF"/>
                    </w:rPr>
                    <w:t>25</w:t>
                  </w:r>
                </w:p>
              </w:tc>
              <w:tc>
                <w:tcPr>
                  <w:tcW w:w="745" w:type="dxa"/>
                  <w:vAlign w:val="center"/>
                </w:tcPr>
                <w:p w14:paraId="2431CFD5">
                  <w:pPr>
                    <w:pStyle w:val="48"/>
                    <w:rPr>
                      <w:color w:val="0000FF"/>
                    </w:rPr>
                  </w:pPr>
                  <w:r>
                    <w:rPr>
                      <w:color w:val="0000FF"/>
                    </w:rPr>
                    <w:t>11</w:t>
                  </w:r>
                </w:p>
              </w:tc>
              <w:tc>
                <w:tcPr>
                  <w:tcW w:w="745" w:type="dxa"/>
                  <w:vAlign w:val="center"/>
                </w:tcPr>
                <w:p w14:paraId="25FED4C7">
                  <w:pPr>
                    <w:pStyle w:val="48"/>
                    <w:rPr>
                      <w:color w:val="0000FF"/>
                    </w:rPr>
                  </w:pPr>
                  <w:r>
                    <w:rPr>
                      <w:color w:val="0000FF"/>
                    </w:rPr>
                    <w:t>21</w:t>
                  </w:r>
                </w:p>
              </w:tc>
              <w:tc>
                <w:tcPr>
                  <w:tcW w:w="744" w:type="dxa"/>
                  <w:vAlign w:val="center"/>
                </w:tcPr>
                <w:p w14:paraId="3C35AB30">
                  <w:pPr>
                    <w:pStyle w:val="48"/>
                    <w:rPr>
                      <w:color w:val="0000FF"/>
                    </w:rPr>
                  </w:pPr>
                  <w:r>
                    <w:rPr>
                      <w:color w:val="0000FF"/>
                    </w:rPr>
                    <w:t>0.006</w:t>
                  </w:r>
                </w:p>
              </w:tc>
              <w:tc>
                <w:tcPr>
                  <w:tcW w:w="745" w:type="dxa"/>
                  <w:vAlign w:val="center"/>
                </w:tcPr>
                <w:p w14:paraId="71F5228E">
                  <w:pPr>
                    <w:pStyle w:val="48"/>
                    <w:rPr>
                      <w:color w:val="0000FF"/>
                    </w:rPr>
                  </w:pPr>
                  <w:r>
                    <w:rPr>
                      <w:color w:val="0000FF"/>
                    </w:rPr>
                    <w:t>0.115</w:t>
                  </w:r>
                </w:p>
              </w:tc>
              <w:tc>
                <w:tcPr>
                  <w:tcW w:w="745" w:type="dxa"/>
                  <w:vAlign w:val="center"/>
                </w:tcPr>
                <w:p w14:paraId="643BA4C9">
                  <w:pPr>
                    <w:pStyle w:val="48"/>
                    <w:rPr>
                      <w:color w:val="0000FF"/>
                    </w:rPr>
                  </w:pPr>
                  <w:r>
                    <w:rPr>
                      <w:color w:val="0000FF"/>
                    </w:rPr>
                    <w:t>2</w:t>
                  </w:r>
                </w:p>
              </w:tc>
              <w:tc>
                <w:tcPr>
                  <w:tcW w:w="745" w:type="dxa"/>
                  <w:vAlign w:val="center"/>
                </w:tcPr>
                <w:p w14:paraId="5F2D8EF4">
                  <w:pPr>
                    <w:pStyle w:val="48"/>
                    <w:rPr>
                      <w:color w:val="0000FF"/>
                    </w:rPr>
                  </w:pPr>
                  <w:r>
                    <w:rPr>
                      <w:color w:val="0000FF"/>
                    </w:rPr>
                    <w:t>3</w:t>
                  </w:r>
                </w:p>
              </w:tc>
              <w:tc>
                <w:tcPr>
                  <w:tcW w:w="892" w:type="dxa"/>
                  <w:vAlign w:val="center"/>
                </w:tcPr>
                <w:p w14:paraId="71D221F8">
                  <w:pPr>
                    <w:pStyle w:val="48"/>
                    <w:rPr>
                      <w:color w:val="0000FF"/>
                    </w:rPr>
                  </w:pPr>
                  <w:r>
                    <w:rPr>
                      <w:color w:val="0000FF"/>
                    </w:rPr>
                    <w:t>37.879</w:t>
                  </w:r>
                </w:p>
              </w:tc>
            </w:tr>
            <w:tr w14:paraId="1CA6541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587" w:type="dxa"/>
                  <w:vMerge w:val="continue"/>
                  <w:vAlign w:val="center"/>
                </w:tcPr>
                <w:p w14:paraId="0DC9A1A7">
                  <w:pPr>
                    <w:pStyle w:val="48"/>
                    <w:rPr>
                      <w:color w:val="0000FF"/>
                    </w:rPr>
                  </w:pPr>
                </w:p>
              </w:tc>
              <w:tc>
                <w:tcPr>
                  <w:tcW w:w="1994" w:type="dxa"/>
                </w:tcPr>
                <w:p w14:paraId="0B4B4083">
                  <w:pPr>
                    <w:pStyle w:val="48"/>
                    <w:rPr>
                      <w:color w:val="0000FF"/>
                    </w:rPr>
                  </w:pPr>
                  <w:r>
                    <w:rPr>
                      <w:color w:val="0000FF"/>
                    </w:rPr>
                    <w:t>辽宁鑫方成新材料有限公司</w:t>
                  </w:r>
                </w:p>
              </w:tc>
              <w:tc>
                <w:tcPr>
                  <w:tcW w:w="744" w:type="dxa"/>
                  <w:vAlign w:val="center"/>
                </w:tcPr>
                <w:p w14:paraId="60F6A7F2">
                  <w:pPr>
                    <w:pStyle w:val="48"/>
                    <w:rPr>
                      <w:color w:val="0000FF"/>
                    </w:rPr>
                  </w:pPr>
                  <w:r>
                    <w:rPr>
                      <w:color w:val="0000FF"/>
                    </w:rPr>
                    <w:t>22</w:t>
                  </w:r>
                </w:p>
              </w:tc>
              <w:tc>
                <w:tcPr>
                  <w:tcW w:w="745" w:type="dxa"/>
                  <w:vAlign w:val="center"/>
                </w:tcPr>
                <w:p w14:paraId="7195DE41">
                  <w:pPr>
                    <w:pStyle w:val="48"/>
                    <w:rPr>
                      <w:color w:val="0000FF"/>
                    </w:rPr>
                  </w:pPr>
                  <w:r>
                    <w:rPr>
                      <w:color w:val="0000FF"/>
                    </w:rPr>
                    <w:t>12</w:t>
                  </w:r>
                </w:p>
              </w:tc>
              <w:tc>
                <w:tcPr>
                  <w:tcW w:w="745" w:type="dxa"/>
                  <w:vAlign w:val="center"/>
                </w:tcPr>
                <w:p w14:paraId="1D7C60AC">
                  <w:pPr>
                    <w:pStyle w:val="48"/>
                    <w:rPr>
                      <w:color w:val="0000FF"/>
                    </w:rPr>
                  </w:pPr>
                  <w:r>
                    <w:rPr>
                      <w:color w:val="0000FF"/>
                    </w:rPr>
                    <w:t>20</w:t>
                  </w:r>
                </w:p>
              </w:tc>
              <w:tc>
                <w:tcPr>
                  <w:tcW w:w="744" w:type="dxa"/>
                  <w:vAlign w:val="center"/>
                </w:tcPr>
                <w:p w14:paraId="4795601B">
                  <w:pPr>
                    <w:pStyle w:val="48"/>
                    <w:rPr>
                      <w:color w:val="0000FF"/>
                    </w:rPr>
                  </w:pPr>
                  <w:r>
                    <w:rPr>
                      <w:color w:val="0000FF"/>
                    </w:rPr>
                    <w:t>0.007</w:t>
                  </w:r>
                </w:p>
              </w:tc>
              <w:tc>
                <w:tcPr>
                  <w:tcW w:w="745" w:type="dxa"/>
                  <w:vAlign w:val="center"/>
                </w:tcPr>
                <w:p w14:paraId="4894B96F">
                  <w:pPr>
                    <w:pStyle w:val="48"/>
                    <w:rPr>
                      <w:color w:val="0000FF"/>
                    </w:rPr>
                  </w:pPr>
                  <w:r>
                    <w:rPr>
                      <w:color w:val="0000FF"/>
                    </w:rPr>
                    <w:t>0.11</w:t>
                  </w:r>
                </w:p>
              </w:tc>
              <w:tc>
                <w:tcPr>
                  <w:tcW w:w="745" w:type="dxa"/>
                  <w:vAlign w:val="center"/>
                </w:tcPr>
                <w:p w14:paraId="0C9AB80F">
                  <w:pPr>
                    <w:pStyle w:val="48"/>
                    <w:rPr>
                      <w:color w:val="0000FF"/>
                    </w:rPr>
                  </w:pPr>
                  <w:r>
                    <w:rPr>
                      <w:color w:val="0000FF"/>
                    </w:rPr>
                    <w:t>3</w:t>
                  </w:r>
                </w:p>
              </w:tc>
              <w:tc>
                <w:tcPr>
                  <w:tcW w:w="745" w:type="dxa"/>
                  <w:vAlign w:val="center"/>
                </w:tcPr>
                <w:p w14:paraId="2693DE09">
                  <w:pPr>
                    <w:pStyle w:val="48"/>
                    <w:rPr>
                      <w:color w:val="0000FF"/>
                    </w:rPr>
                  </w:pPr>
                  <w:r>
                    <w:rPr>
                      <w:color w:val="0000FF"/>
                    </w:rPr>
                    <w:t>3</w:t>
                  </w:r>
                </w:p>
              </w:tc>
              <w:tc>
                <w:tcPr>
                  <w:tcW w:w="892" w:type="dxa"/>
                  <w:vAlign w:val="center"/>
                </w:tcPr>
                <w:p w14:paraId="11B9B6CB">
                  <w:pPr>
                    <w:pStyle w:val="48"/>
                    <w:rPr>
                      <w:color w:val="0000FF"/>
                    </w:rPr>
                  </w:pPr>
                  <w:r>
                    <w:rPr>
                      <w:color w:val="0000FF"/>
                    </w:rPr>
                    <w:t>39.883</w:t>
                  </w:r>
                </w:p>
              </w:tc>
            </w:tr>
            <w:tr w14:paraId="01D8593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587" w:type="dxa"/>
                  <w:vMerge w:val="continue"/>
                  <w:vAlign w:val="center"/>
                </w:tcPr>
                <w:p w14:paraId="33F43DEF">
                  <w:pPr>
                    <w:pStyle w:val="48"/>
                    <w:rPr>
                      <w:color w:val="0000FF"/>
                    </w:rPr>
                  </w:pPr>
                </w:p>
              </w:tc>
              <w:tc>
                <w:tcPr>
                  <w:tcW w:w="1994" w:type="dxa"/>
                </w:tcPr>
                <w:p w14:paraId="3BF8DC48">
                  <w:pPr>
                    <w:pStyle w:val="48"/>
                    <w:rPr>
                      <w:color w:val="0000FF"/>
                    </w:rPr>
                  </w:pPr>
                  <w:r>
                    <w:rPr>
                      <w:color w:val="0000FF"/>
                    </w:rPr>
                    <w:t>葫芦岛市八家子经济开发区安胜矿产品综合利用有限公司</w:t>
                  </w:r>
                </w:p>
              </w:tc>
              <w:tc>
                <w:tcPr>
                  <w:tcW w:w="744" w:type="dxa"/>
                  <w:vAlign w:val="center"/>
                </w:tcPr>
                <w:p w14:paraId="5527838E">
                  <w:pPr>
                    <w:pStyle w:val="48"/>
                    <w:rPr>
                      <w:color w:val="0000FF"/>
                    </w:rPr>
                  </w:pPr>
                  <w:r>
                    <w:rPr>
                      <w:color w:val="0000FF"/>
                    </w:rPr>
                    <w:t>23</w:t>
                  </w:r>
                </w:p>
              </w:tc>
              <w:tc>
                <w:tcPr>
                  <w:tcW w:w="745" w:type="dxa"/>
                  <w:vAlign w:val="center"/>
                </w:tcPr>
                <w:p w14:paraId="67EED0C6">
                  <w:pPr>
                    <w:pStyle w:val="48"/>
                    <w:rPr>
                      <w:color w:val="0000FF"/>
                    </w:rPr>
                  </w:pPr>
                  <w:r>
                    <w:rPr>
                      <w:color w:val="0000FF"/>
                    </w:rPr>
                    <w:t>11</w:t>
                  </w:r>
                </w:p>
              </w:tc>
              <w:tc>
                <w:tcPr>
                  <w:tcW w:w="745" w:type="dxa"/>
                  <w:vAlign w:val="center"/>
                </w:tcPr>
                <w:p w14:paraId="4FCC353D">
                  <w:pPr>
                    <w:pStyle w:val="48"/>
                    <w:rPr>
                      <w:color w:val="0000FF"/>
                    </w:rPr>
                  </w:pPr>
                  <w:r>
                    <w:rPr>
                      <w:color w:val="0000FF"/>
                    </w:rPr>
                    <w:t>22</w:t>
                  </w:r>
                </w:p>
              </w:tc>
              <w:tc>
                <w:tcPr>
                  <w:tcW w:w="744" w:type="dxa"/>
                  <w:vAlign w:val="center"/>
                </w:tcPr>
                <w:p w14:paraId="682341EB">
                  <w:pPr>
                    <w:pStyle w:val="48"/>
                    <w:rPr>
                      <w:color w:val="0000FF"/>
                    </w:rPr>
                  </w:pPr>
                  <w:r>
                    <w:rPr>
                      <w:color w:val="0000FF"/>
                    </w:rPr>
                    <w:t>0.006</w:t>
                  </w:r>
                </w:p>
              </w:tc>
              <w:tc>
                <w:tcPr>
                  <w:tcW w:w="745" w:type="dxa"/>
                  <w:vAlign w:val="center"/>
                </w:tcPr>
                <w:p w14:paraId="2BA4CFA1">
                  <w:pPr>
                    <w:pStyle w:val="48"/>
                    <w:rPr>
                      <w:color w:val="0000FF"/>
                    </w:rPr>
                  </w:pPr>
                  <w:r>
                    <w:rPr>
                      <w:color w:val="0000FF"/>
                    </w:rPr>
                    <w:t>0.113</w:t>
                  </w:r>
                </w:p>
              </w:tc>
              <w:tc>
                <w:tcPr>
                  <w:tcW w:w="745" w:type="dxa"/>
                  <w:vAlign w:val="center"/>
                </w:tcPr>
                <w:p w14:paraId="6CBE259B">
                  <w:pPr>
                    <w:pStyle w:val="48"/>
                    <w:rPr>
                      <w:color w:val="0000FF"/>
                    </w:rPr>
                  </w:pPr>
                  <w:r>
                    <w:rPr>
                      <w:color w:val="0000FF"/>
                    </w:rPr>
                    <w:t>3</w:t>
                  </w:r>
                </w:p>
              </w:tc>
              <w:tc>
                <w:tcPr>
                  <w:tcW w:w="745" w:type="dxa"/>
                  <w:vAlign w:val="center"/>
                </w:tcPr>
                <w:p w14:paraId="55B5AE82">
                  <w:pPr>
                    <w:pStyle w:val="48"/>
                    <w:rPr>
                      <w:color w:val="0000FF"/>
                    </w:rPr>
                  </w:pPr>
                  <w:r>
                    <w:rPr>
                      <w:color w:val="0000FF"/>
                    </w:rPr>
                    <w:t>2</w:t>
                  </w:r>
                </w:p>
              </w:tc>
              <w:tc>
                <w:tcPr>
                  <w:tcW w:w="892" w:type="dxa"/>
                  <w:vAlign w:val="center"/>
                </w:tcPr>
                <w:p w14:paraId="35F48D2A">
                  <w:pPr>
                    <w:pStyle w:val="48"/>
                    <w:rPr>
                      <w:color w:val="0000FF"/>
                    </w:rPr>
                  </w:pPr>
                  <w:r>
                    <w:rPr>
                      <w:color w:val="0000FF"/>
                    </w:rPr>
                    <w:t>38.881</w:t>
                  </w:r>
                </w:p>
              </w:tc>
            </w:tr>
            <w:tr w14:paraId="4D4E641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2581" w:type="dxa"/>
                  <w:gridSpan w:val="2"/>
                  <w:vAlign w:val="center"/>
                </w:tcPr>
                <w:p w14:paraId="63E3DF28">
                  <w:pPr>
                    <w:pStyle w:val="48"/>
                    <w:rPr>
                      <w:color w:val="0000FF"/>
                    </w:rPr>
                  </w:pPr>
                  <w:r>
                    <w:rPr>
                      <w:color w:val="0000FF"/>
                    </w:rPr>
                    <w:t>均值（按三家原料比例3：1：1计算）</w:t>
                  </w:r>
                </w:p>
              </w:tc>
              <w:tc>
                <w:tcPr>
                  <w:tcW w:w="744" w:type="dxa"/>
                  <w:vAlign w:val="center"/>
                </w:tcPr>
                <w:p w14:paraId="37F5009D">
                  <w:pPr>
                    <w:pStyle w:val="48"/>
                    <w:rPr>
                      <w:color w:val="0000FF"/>
                    </w:rPr>
                  </w:pPr>
                  <w:r>
                    <w:rPr>
                      <w:color w:val="0000FF"/>
                    </w:rPr>
                    <w:t>24</w:t>
                  </w:r>
                </w:p>
              </w:tc>
              <w:tc>
                <w:tcPr>
                  <w:tcW w:w="745" w:type="dxa"/>
                  <w:vAlign w:val="center"/>
                </w:tcPr>
                <w:p w14:paraId="4D2553E9">
                  <w:pPr>
                    <w:pStyle w:val="48"/>
                    <w:rPr>
                      <w:color w:val="0000FF"/>
                    </w:rPr>
                  </w:pPr>
                  <w:r>
                    <w:rPr>
                      <w:color w:val="0000FF"/>
                    </w:rPr>
                    <w:t>11.2</w:t>
                  </w:r>
                </w:p>
              </w:tc>
              <w:tc>
                <w:tcPr>
                  <w:tcW w:w="745" w:type="dxa"/>
                  <w:vAlign w:val="center"/>
                </w:tcPr>
                <w:p w14:paraId="2C10F96C">
                  <w:pPr>
                    <w:pStyle w:val="48"/>
                    <w:rPr>
                      <w:color w:val="0000FF"/>
                    </w:rPr>
                  </w:pPr>
                  <w:r>
                    <w:rPr>
                      <w:color w:val="0000FF"/>
                    </w:rPr>
                    <w:t>21</w:t>
                  </w:r>
                </w:p>
              </w:tc>
              <w:tc>
                <w:tcPr>
                  <w:tcW w:w="744" w:type="dxa"/>
                  <w:vAlign w:val="center"/>
                </w:tcPr>
                <w:p w14:paraId="223D6DAB">
                  <w:pPr>
                    <w:pStyle w:val="48"/>
                    <w:rPr>
                      <w:color w:val="0000FF"/>
                    </w:rPr>
                  </w:pPr>
                  <w:r>
                    <w:rPr>
                      <w:color w:val="0000FF"/>
                    </w:rPr>
                    <w:t>0.0062</w:t>
                  </w:r>
                </w:p>
              </w:tc>
              <w:tc>
                <w:tcPr>
                  <w:tcW w:w="745" w:type="dxa"/>
                  <w:vAlign w:val="center"/>
                </w:tcPr>
                <w:p w14:paraId="29A4ECE6">
                  <w:pPr>
                    <w:pStyle w:val="48"/>
                    <w:rPr>
                      <w:color w:val="0000FF"/>
                    </w:rPr>
                  </w:pPr>
                  <w:r>
                    <w:rPr>
                      <w:color w:val="0000FF"/>
                    </w:rPr>
                    <w:t>0.1136</w:t>
                  </w:r>
                </w:p>
              </w:tc>
              <w:tc>
                <w:tcPr>
                  <w:tcW w:w="745" w:type="dxa"/>
                  <w:vAlign w:val="center"/>
                </w:tcPr>
                <w:p w14:paraId="3720FABD">
                  <w:pPr>
                    <w:pStyle w:val="48"/>
                    <w:rPr>
                      <w:color w:val="0000FF"/>
                    </w:rPr>
                  </w:pPr>
                  <w:r>
                    <w:rPr>
                      <w:color w:val="0000FF"/>
                    </w:rPr>
                    <w:t>2.4</w:t>
                  </w:r>
                </w:p>
              </w:tc>
              <w:tc>
                <w:tcPr>
                  <w:tcW w:w="745" w:type="dxa"/>
                  <w:vAlign w:val="center"/>
                </w:tcPr>
                <w:p w14:paraId="073FED92">
                  <w:pPr>
                    <w:pStyle w:val="48"/>
                    <w:rPr>
                      <w:color w:val="0000FF"/>
                    </w:rPr>
                  </w:pPr>
                  <w:r>
                    <w:rPr>
                      <w:color w:val="0000FF"/>
                    </w:rPr>
                    <w:t>2.8</w:t>
                  </w:r>
                </w:p>
              </w:tc>
              <w:tc>
                <w:tcPr>
                  <w:tcW w:w="892" w:type="dxa"/>
                  <w:vAlign w:val="center"/>
                </w:tcPr>
                <w:p w14:paraId="3A89A366">
                  <w:pPr>
                    <w:pStyle w:val="48"/>
                    <w:rPr>
                      <w:color w:val="0000FF"/>
                    </w:rPr>
                  </w:pPr>
                  <w:r>
                    <w:rPr>
                      <w:color w:val="0000FF"/>
                    </w:rPr>
                    <w:t>38.4802</w:t>
                  </w:r>
                </w:p>
              </w:tc>
            </w:tr>
            <w:tr w14:paraId="233980A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686" w:type="dxa"/>
                  <w:gridSpan w:val="10"/>
                </w:tcPr>
                <w:p w14:paraId="53626646">
                  <w:pPr>
                    <w:pStyle w:val="48"/>
                    <w:jc w:val="left"/>
                    <w:rPr>
                      <w:color w:val="0000FF"/>
                    </w:rPr>
                  </w:pPr>
                  <w:r>
                    <w:rPr>
                      <w:color w:val="0000FF"/>
                    </w:rPr>
                    <w:t>注：</w:t>
                  </w:r>
                  <w:r>
                    <w:rPr>
                      <w:rFonts w:hint="eastAsia" w:ascii="宋体" w:hAnsi="宋体" w:eastAsia="宋体" w:cs="宋体"/>
                      <w:color w:val="0000FF"/>
                    </w:rPr>
                    <w:t>①</w:t>
                  </w:r>
                  <w:r>
                    <w:rPr>
                      <w:color w:val="0000FF"/>
                    </w:rPr>
                    <w:t>其（Al</w:t>
                  </w:r>
                  <w:r>
                    <w:rPr>
                      <w:color w:val="0000FF"/>
                      <w:vertAlign w:val="subscript"/>
                    </w:rPr>
                    <w:t>2</w:t>
                  </w:r>
                  <w:r>
                    <w:rPr>
                      <w:color w:val="0000FF"/>
                    </w:rPr>
                    <w:t>O</w:t>
                  </w:r>
                  <w:r>
                    <w:rPr>
                      <w:color w:val="0000FF"/>
                      <w:vertAlign w:val="subscript"/>
                    </w:rPr>
                    <w:t>3</w:t>
                  </w:r>
                  <w:r>
                    <w:rPr>
                      <w:color w:val="0000FF"/>
                    </w:rPr>
                    <w:t>、烧失量、结晶水、碱金属及微量杂质）。</w:t>
                  </w:r>
                </w:p>
                <w:p w14:paraId="00FA73CF">
                  <w:pPr>
                    <w:pStyle w:val="48"/>
                    <w:jc w:val="left"/>
                    <w:rPr>
                      <w:color w:val="0000FF"/>
                    </w:rPr>
                  </w:pPr>
                  <w:r>
                    <w:rPr>
                      <w:rFonts w:hint="eastAsia" w:ascii="宋体" w:hAnsi="宋体" w:eastAsia="宋体" w:cs="宋体"/>
                      <w:color w:val="0000FF"/>
                    </w:rPr>
                    <w:t>②</w:t>
                  </w:r>
                  <w:r>
                    <w:rPr>
                      <w:color w:val="0000FF"/>
                    </w:rPr>
                    <w:t>本项目原料锰矿石废料为冶炼企业对锰矿石原料筛分产生的粒径不合格废料，其主要成分与其原料锰矿石基本一致，本次环评参照其锰矿石成分进行分析。</w:t>
                  </w:r>
                </w:p>
              </w:tc>
            </w:tr>
          </w:tbl>
          <w:p w14:paraId="70093FD6">
            <w:pPr>
              <w:pStyle w:val="65"/>
              <w:ind w:firstLine="480"/>
              <w:rPr>
                <w:rFonts w:eastAsiaTheme="minorEastAsia"/>
                <w:color w:val="0000FF"/>
              </w:rPr>
            </w:pPr>
            <w:r>
              <w:rPr>
                <w:rFonts w:hint="eastAsia" w:ascii="宋体" w:hAnsi="宋体" w:cs="宋体"/>
                <w:color w:val="0000FF"/>
              </w:rPr>
              <w:t>②</w:t>
            </w:r>
            <w:r>
              <w:rPr>
                <w:rFonts w:eastAsiaTheme="minorEastAsia"/>
                <w:color w:val="0000FF"/>
              </w:rPr>
              <w:t>理论产品成分</w:t>
            </w:r>
          </w:p>
          <w:p w14:paraId="2DE2F0CA">
            <w:pPr>
              <w:pStyle w:val="65"/>
              <w:ind w:firstLine="480"/>
              <w:rPr>
                <w:rFonts w:eastAsiaTheme="minorEastAsia"/>
                <w:color w:val="0000FF"/>
              </w:rPr>
            </w:pPr>
            <w:r>
              <w:rPr>
                <w:rFonts w:eastAsiaTheme="minorEastAsia"/>
                <w:color w:val="0000FF"/>
              </w:rPr>
              <w:t>使用锰矿石废料50000t（朝阳县瓦房子镇宏兴锰矿30000t/a、葫芦岛市八家子经济开发区安胜矿产品综合利用有限公司10000t/a、辽宁鑫方成新材料有限公司10000t/a），添加膨润土1500t，烘干后大量水分蒸发，生产产品质量45000t，以颗粒物形式排放相对极少。根据本项目原料锰矿石废料计算，本项目产品根据原料及物料平衡进行计算：</w:t>
            </w:r>
          </w:p>
          <w:p w14:paraId="763C30CC">
            <w:pPr>
              <w:pStyle w:val="65"/>
              <w:spacing w:before="156"/>
              <w:ind w:firstLine="480"/>
              <w:rPr>
                <w:rFonts w:eastAsiaTheme="minorEastAsia"/>
                <w:color w:val="0000FF"/>
              </w:rPr>
            </w:pPr>
            <w:r>
              <w:rPr>
                <w:rFonts w:eastAsiaTheme="minorEastAsia"/>
                <w:color w:val="0000FF"/>
              </w:rPr>
              <w:t>产品热造块成分计算结果：</w:t>
            </w:r>
          </w:p>
          <w:p w14:paraId="7E2903E2">
            <w:pPr>
              <w:pStyle w:val="92"/>
              <w:rPr>
                <w:rFonts w:eastAsiaTheme="minorEastAsia"/>
                <w:color w:val="0000FF"/>
              </w:rPr>
            </w:pPr>
            <w:r>
              <w:rPr>
                <w:rFonts w:eastAsiaTheme="minorEastAsia"/>
                <w:color w:val="0000FF"/>
              </w:rPr>
              <w:t>表2-6 产品成分计算结果一览表</w:t>
            </w:r>
          </w:p>
          <w:tbl>
            <w:tblPr>
              <w:tblStyle w:val="36"/>
              <w:tblW w:w="8779"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096"/>
              <w:gridCol w:w="1096"/>
              <w:gridCol w:w="1096"/>
              <w:gridCol w:w="1098"/>
              <w:gridCol w:w="1098"/>
              <w:gridCol w:w="1098"/>
              <w:gridCol w:w="1101"/>
            </w:tblGrid>
            <w:tr w14:paraId="43FE3B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96" w:type="dxa"/>
                  <w:vAlign w:val="center"/>
                </w:tcPr>
                <w:p w14:paraId="0686E606">
                  <w:pPr>
                    <w:pStyle w:val="48"/>
                    <w:rPr>
                      <w:color w:val="0000FF"/>
                    </w:rPr>
                  </w:pPr>
                  <w:r>
                    <w:rPr>
                      <w:color w:val="0000FF"/>
                    </w:rPr>
                    <w:t>品名</w:t>
                  </w:r>
                </w:p>
              </w:tc>
              <w:tc>
                <w:tcPr>
                  <w:tcW w:w="7683" w:type="dxa"/>
                  <w:gridSpan w:val="7"/>
                  <w:vAlign w:val="center"/>
                </w:tcPr>
                <w:p w14:paraId="00331D78">
                  <w:pPr>
                    <w:pStyle w:val="48"/>
                    <w:rPr>
                      <w:color w:val="0000FF"/>
                    </w:rPr>
                  </w:pPr>
                  <w:r>
                    <w:rPr>
                      <w:color w:val="0000FF"/>
                    </w:rPr>
                    <w:t>成分（%）</w:t>
                  </w:r>
                </w:p>
              </w:tc>
            </w:tr>
            <w:tr w14:paraId="1FC9BF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96" w:type="dxa"/>
                  <w:vMerge w:val="restart"/>
                  <w:vAlign w:val="center"/>
                </w:tcPr>
                <w:p w14:paraId="0B3576A8">
                  <w:pPr>
                    <w:pStyle w:val="48"/>
                    <w:rPr>
                      <w:color w:val="0000FF"/>
                    </w:rPr>
                  </w:pPr>
                  <w:r>
                    <w:rPr>
                      <w:color w:val="0000FF"/>
                    </w:rPr>
                    <w:t>热造块</w:t>
                  </w:r>
                </w:p>
              </w:tc>
              <w:tc>
                <w:tcPr>
                  <w:tcW w:w="1096" w:type="dxa"/>
                  <w:vAlign w:val="center"/>
                </w:tcPr>
                <w:p w14:paraId="1D15B4B2">
                  <w:pPr>
                    <w:pStyle w:val="48"/>
                    <w:rPr>
                      <w:color w:val="0000FF"/>
                    </w:rPr>
                  </w:pPr>
                  <w:r>
                    <w:rPr>
                      <w:color w:val="0000FF"/>
                    </w:rPr>
                    <w:t>Mn</w:t>
                  </w:r>
                </w:p>
              </w:tc>
              <w:tc>
                <w:tcPr>
                  <w:tcW w:w="1096" w:type="dxa"/>
                  <w:vAlign w:val="center"/>
                </w:tcPr>
                <w:p w14:paraId="64C1C3D7">
                  <w:pPr>
                    <w:pStyle w:val="48"/>
                    <w:rPr>
                      <w:color w:val="0000FF"/>
                    </w:rPr>
                  </w:pPr>
                  <w:r>
                    <w:rPr>
                      <w:color w:val="0000FF"/>
                    </w:rPr>
                    <w:t>Fe</w:t>
                  </w:r>
                </w:p>
              </w:tc>
              <w:tc>
                <w:tcPr>
                  <w:tcW w:w="1096" w:type="dxa"/>
                  <w:vAlign w:val="center"/>
                </w:tcPr>
                <w:p w14:paraId="7882EB44">
                  <w:pPr>
                    <w:pStyle w:val="48"/>
                    <w:rPr>
                      <w:color w:val="0000FF"/>
                    </w:rPr>
                  </w:pPr>
                  <w:r>
                    <w:rPr>
                      <w:color w:val="0000FF"/>
                    </w:rPr>
                    <w:t>SiO</w:t>
                  </w:r>
                  <w:r>
                    <w:rPr>
                      <w:color w:val="0000FF"/>
                      <w:vertAlign w:val="subscript"/>
                    </w:rPr>
                    <w:t>2</w:t>
                  </w:r>
                </w:p>
              </w:tc>
              <w:tc>
                <w:tcPr>
                  <w:tcW w:w="1098" w:type="dxa"/>
                  <w:vAlign w:val="center"/>
                </w:tcPr>
                <w:p w14:paraId="51887993">
                  <w:pPr>
                    <w:pStyle w:val="48"/>
                    <w:rPr>
                      <w:color w:val="0000FF"/>
                    </w:rPr>
                  </w:pPr>
                  <w:r>
                    <w:rPr>
                      <w:color w:val="0000FF"/>
                    </w:rPr>
                    <w:t>P</w:t>
                  </w:r>
                </w:p>
              </w:tc>
              <w:tc>
                <w:tcPr>
                  <w:tcW w:w="1098" w:type="dxa"/>
                  <w:vAlign w:val="center"/>
                </w:tcPr>
                <w:p w14:paraId="7BACEF90">
                  <w:pPr>
                    <w:pStyle w:val="48"/>
                    <w:rPr>
                      <w:color w:val="0000FF"/>
                    </w:rPr>
                  </w:pPr>
                  <w:r>
                    <w:rPr>
                      <w:color w:val="0000FF"/>
                    </w:rPr>
                    <w:t>S</w:t>
                  </w:r>
                </w:p>
              </w:tc>
              <w:tc>
                <w:tcPr>
                  <w:tcW w:w="1098" w:type="dxa"/>
                  <w:vAlign w:val="center"/>
                </w:tcPr>
                <w:p w14:paraId="346F6E7C">
                  <w:pPr>
                    <w:pStyle w:val="48"/>
                    <w:rPr>
                      <w:color w:val="0000FF"/>
                    </w:rPr>
                  </w:pPr>
                  <w:r>
                    <w:rPr>
                      <w:color w:val="0000FF"/>
                    </w:rPr>
                    <w:t>Ca</w:t>
                  </w:r>
                </w:p>
              </w:tc>
              <w:tc>
                <w:tcPr>
                  <w:tcW w:w="1101" w:type="dxa"/>
                  <w:vAlign w:val="center"/>
                </w:tcPr>
                <w:p w14:paraId="31EE5899">
                  <w:pPr>
                    <w:pStyle w:val="48"/>
                    <w:rPr>
                      <w:color w:val="0000FF"/>
                    </w:rPr>
                  </w:pPr>
                  <w:r>
                    <w:rPr>
                      <w:color w:val="0000FF"/>
                    </w:rPr>
                    <w:t>MgO</w:t>
                  </w:r>
                </w:p>
              </w:tc>
            </w:tr>
            <w:tr w14:paraId="335D70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96" w:type="dxa"/>
                  <w:vMerge w:val="continue"/>
                  <w:vAlign w:val="center"/>
                </w:tcPr>
                <w:p w14:paraId="19BE840A">
                  <w:pPr>
                    <w:pStyle w:val="48"/>
                    <w:rPr>
                      <w:color w:val="0000FF"/>
                    </w:rPr>
                  </w:pPr>
                </w:p>
              </w:tc>
              <w:tc>
                <w:tcPr>
                  <w:tcW w:w="1096" w:type="dxa"/>
                  <w:vAlign w:val="center"/>
                </w:tcPr>
                <w:p w14:paraId="3CDC2AC8">
                  <w:pPr>
                    <w:pStyle w:val="48"/>
                    <w:rPr>
                      <w:color w:val="0000FF"/>
                    </w:rPr>
                  </w:pPr>
                  <w:r>
                    <w:rPr>
                      <w:color w:val="0000FF"/>
                      <w:sz w:val="20"/>
                      <w:szCs w:val="20"/>
                    </w:rPr>
                    <w:t xml:space="preserve">26.67 </w:t>
                  </w:r>
                </w:p>
              </w:tc>
              <w:tc>
                <w:tcPr>
                  <w:tcW w:w="1096" w:type="dxa"/>
                  <w:vAlign w:val="center"/>
                </w:tcPr>
                <w:p w14:paraId="65620881">
                  <w:pPr>
                    <w:pStyle w:val="48"/>
                    <w:rPr>
                      <w:color w:val="0000FF"/>
                    </w:rPr>
                  </w:pPr>
                  <w:r>
                    <w:rPr>
                      <w:color w:val="0000FF"/>
                      <w:sz w:val="20"/>
                      <w:szCs w:val="20"/>
                    </w:rPr>
                    <w:t xml:space="preserve">12.44 </w:t>
                  </w:r>
                </w:p>
              </w:tc>
              <w:tc>
                <w:tcPr>
                  <w:tcW w:w="1096" w:type="dxa"/>
                  <w:vAlign w:val="center"/>
                </w:tcPr>
                <w:p w14:paraId="7CED327F">
                  <w:pPr>
                    <w:pStyle w:val="48"/>
                    <w:rPr>
                      <w:color w:val="0000FF"/>
                    </w:rPr>
                  </w:pPr>
                  <w:r>
                    <w:rPr>
                      <w:color w:val="0000FF"/>
                      <w:sz w:val="20"/>
                      <w:szCs w:val="20"/>
                    </w:rPr>
                    <w:t xml:space="preserve">23.33 </w:t>
                  </w:r>
                </w:p>
              </w:tc>
              <w:tc>
                <w:tcPr>
                  <w:tcW w:w="1098" w:type="dxa"/>
                  <w:vAlign w:val="center"/>
                </w:tcPr>
                <w:p w14:paraId="32B73915">
                  <w:pPr>
                    <w:pStyle w:val="48"/>
                    <w:rPr>
                      <w:color w:val="0000FF"/>
                    </w:rPr>
                  </w:pPr>
                  <w:r>
                    <w:rPr>
                      <w:color w:val="0000FF"/>
                      <w:sz w:val="20"/>
                      <w:szCs w:val="20"/>
                    </w:rPr>
                    <w:t xml:space="preserve">0.01 </w:t>
                  </w:r>
                </w:p>
              </w:tc>
              <w:tc>
                <w:tcPr>
                  <w:tcW w:w="1098" w:type="dxa"/>
                  <w:vAlign w:val="center"/>
                </w:tcPr>
                <w:p w14:paraId="3A15B9B7">
                  <w:pPr>
                    <w:pStyle w:val="48"/>
                    <w:rPr>
                      <w:color w:val="0000FF"/>
                    </w:rPr>
                  </w:pPr>
                  <w:r>
                    <w:rPr>
                      <w:color w:val="0000FF"/>
                      <w:sz w:val="20"/>
                      <w:szCs w:val="20"/>
                    </w:rPr>
                    <w:t xml:space="preserve">0.13 </w:t>
                  </w:r>
                </w:p>
              </w:tc>
              <w:tc>
                <w:tcPr>
                  <w:tcW w:w="1098" w:type="dxa"/>
                  <w:vAlign w:val="center"/>
                </w:tcPr>
                <w:p w14:paraId="6E826836">
                  <w:pPr>
                    <w:pStyle w:val="48"/>
                    <w:rPr>
                      <w:color w:val="0000FF"/>
                    </w:rPr>
                  </w:pPr>
                  <w:r>
                    <w:rPr>
                      <w:color w:val="0000FF"/>
                      <w:sz w:val="20"/>
                      <w:szCs w:val="20"/>
                    </w:rPr>
                    <w:t xml:space="preserve">2.67 </w:t>
                  </w:r>
                </w:p>
              </w:tc>
              <w:tc>
                <w:tcPr>
                  <w:tcW w:w="1101" w:type="dxa"/>
                  <w:vAlign w:val="center"/>
                </w:tcPr>
                <w:p w14:paraId="1BE4CB71">
                  <w:pPr>
                    <w:pStyle w:val="48"/>
                    <w:rPr>
                      <w:color w:val="0000FF"/>
                    </w:rPr>
                  </w:pPr>
                  <w:r>
                    <w:rPr>
                      <w:color w:val="0000FF"/>
                      <w:sz w:val="20"/>
                      <w:szCs w:val="20"/>
                    </w:rPr>
                    <w:t xml:space="preserve">3.11 </w:t>
                  </w:r>
                </w:p>
              </w:tc>
            </w:tr>
          </w:tbl>
          <w:p w14:paraId="22A6B05E">
            <w:pPr>
              <w:pStyle w:val="65"/>
              <w:ind w:firstLine="480"/>
              <w:rPr>
                <w:rFonts w:eastAsiaTheme="minorEastAsia"/>
                <w:color w:val="0000FF"/>
              </w:rPr>
            </w:pPr>
            <w:r>
              <w:rPr>
                <w:rFonts w:eastAsiaTheme="minorEastAsia"/>
                <w:color w:val="0000FF"/>
              </w:rPr>
              <w:t>本项目产品Mn含量约26.67%，能够满足《冶金用锰矿石》（YB/T 319-2015）中冶金用锰矿石化学成分表中标准，详见下表：</w:t>
            </w:r>
          </w:p>
          <w:p w14:paraId="6FC8DD70">
            <w:pPr>
              <w:pStyle w:val="92"/>
              <w:rPr>
                <w:rFonts w:eastAsiaTheme="minorEastAsia"/>
                <w:color w:val="0000FF"/>
              </w:rPr>
            </w:pPr>
            <w:r>
              <w:rPr>
                <w:rFonts w:eastAsiaTheme="minorEastAsia"/>
                <w:color w:val="0000FF"/>
              </w:rPr>
              <w:t>表2-7 产品标准对照</w:t>
            </w:r>
          </w:p>
          <w:tbl>
            <w:tblPr>
              <w:tblStyle w:val="35"/>
              <w:tblW w:w="4955" w:type="pct"/>
              <w:tblInd w:w="0" w:type="dxa"/>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90"/>
              <w:gridCol w:w="645"/>
              <w:gridCol w:w="573"/>
              <w:gridCol w:w="1175"/>
              <w:gridCol w:w="586"/>
              <w:gridCol w:w="567"/>
              <w:gridCol w:w="569"/>
              <w:gridCol w:w="567"/>
              <w:gridCol w:w="567"/>
              <w:gridCol w:w="711"/>
              <w:gridCol w:w="567"/>
              <w:gridCol w:w="699"/>
              <w:gridCol w:w="479"/>
            </w:tblGrid>
            <w:tr w14:paraId="0147E5B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990" w:type="dxa"/>
                  <w:vMerge w:val="restart"/>
                  <w:tcBorders>
                    <w:top w:val="double" w:color="000000" w:sz="4" w:space="0"/>
                    <w:bottom w:val="single" w:color="000000" w:sz="4" w:space="0"/>
                  </w:tcBorders>
                  <w:shd w:val="clear" w:color="auto" w:fill="auto"/>
                  <w:vAlign w:val="center"/>
                </w:tcPr>
                <w:p w14:paraId="07E402FC">
                  <w:pPr>
                    <w:pStyle w:val="48"/>
                    <w:rPr>
                      <w:color w:val="0000FF"/>
                    </w:rPr>
                  </w:pPr>
                  <w:r>
                    <w:rPr>
                      <w:color w:val="0000FF"/>
                    </w:rPr>
                    <w:t>来源</w:t>
                  </w:r>
                </w:p>
              </w:tc>
              <w:tc>
                <w:tcPr>
                  <w:tcW w:w="645" w:type="dxa"/>
                  <w:vMerge w:val="restart"/>
                  <w:tcBorders>
                    <w:top w:val="double" w:color="000000" w:sz="4" w:space="0"/>
                    <w:bottom w:val="single" w:color="000000" w:sz="4" w:space="0"/>
                  </w:tcBorders>
                  <w:shd w:val="clear" w:color="auto" w:fill="auto"/>
                  <w:vAlign w:val="center"/>
                </w:tcPr>
                <w:p w14:paraId="5153233C">
                  <w:pPr>
                    <w:pStyle w:val="48"/>
                    <w:rPr>
                      <w:color w:val="0000FF"/>
                    </w:rPr>
                  </w:pPr>
                  <w:r>
                    <w:rPr>
                      <w:color w:val="0000FF"/>
                    </w:rPr>
                    <w:t>类别</w:t>
                  </w:r>
                </w:p>
              </w:tc>
              <w:tc>
                <w:tcPr>
                  <w:tcW w:w="573" w:type="dxa"/>
                  <w:vMerge w:val="restart"/>
                  <w:tcBorders>
                    <w:top w:val="double" w:color="000000" w:sz="4" w:space="0"/>
                    <w:bottom w:val="single" w:color="000000" w:sz="4" w:space="0"/>
                  </w:tcBorders>
                  <w:shd w:val="clear" w:color="auto" w:fill="auto"/>
                  <w:vAlign w:val="center"/>
                </w:tcPr>
                <w:p w14:paraId="7D7B9CA5">
                  <w:pPr>
                    <w:pStyle w:val="48"/>
                    <w:rPr>
                      <w:color w:val="0000FF"/>
                    </w:rPr>
                  </w:pPr>
                  <w:r>
                    <w:rPr>
                      <w:color w:val="0000FF"/>
                    </w:rPr>
                    <w:t>品级</w:t>
                  </w:r>
                </w:p>
              </w:tc>
              <w:tc>
                <w:tcPr>
                  <w:tcW w:w="1175" w:type="dxa"/>
                  <w:vMerge w:val="restart"/>
                  <w:tcBorders>
                    <w:top w:val="double" w:color="000000" w:sz="4" w:space="0"/>
                    <w:bottom w:val="single" w:color="000000" w:sz="4" w:space="0"/>
                  </w:tcBorders>
                  <w:shd w:val="clear" w:color="auto" w:fill="auto"/>
                  <w:vAlign w:val="center"/>
                </w:tcPr>
                <w:p w14:paraId="0A355CB5">
                  <w:pPr>
                    <w:pStyle w:val="48"/>
                    <w:rPr>
                      <w:color w:val="0000FF"/>
                    </w:rPr>
                  </w:pPr>
                  <w:r>
                    <w:rPr>
                      <w:color w:val="0000FF"/>
                    </w:rPr>
                    <w:t>Mn</w:t>
                  </w:r>
                  <w:r>
                    <w:rPr>
                      <w:rFonts w:hint="eastAsia"/>
                      <w:color w:val="0000FF"/>
                    </w:rPr>
                    <w:t>（</w:t>
                  </w:r>
                  <w:r>
                    <w:rPr>
                      <w:color w:val="0000FF"/>
                    </w:rPr>
                    <w:t>质量分数</w:t>
                  </w:r>
                  <w:r>
                    <w:rPr>
                      <w:rFonts w:hint="eastAsia"/>
                      <w:color w:val="0000FF"/>
                    </w:rPr>
                    <w:t>）</w:t>
                  </w:r>
                </w:p>
              </w:tc>
              <w:tc>
                <w:tcPr>
                  <w:tcW w:w="1722" w:type="dxa"/>
                  <w:gridSpan w:val="3"/>
                  <w:tcBorders>
                    <w:top w:val="double" w:color="000000" w:sz="4" w:space="0"/>
                    <w:bottom w:val="single" w:color="000000" w:sz="4" w:space="0"/>
                  </w:tcBorders>
                  <w:shd w:val="clear" w:color="auto" w:fill="auto"/>
                  <w:vAlign w:val="center"/>
                </w:tcPr>
                <w:p w14:paraId="3C323B7C">
                  <w:pPr>
                    <w:pStyle w:val="48"/>
                    <w:rPr>
                      <w:color w:val="0000FF"/>
                    </w:rPr>
                  </w:pPr>
                  <w:r>
                    <w:rPr>
                      <w:color w:val="0000FF"/>
                    </w:rPr>
                    <w:t>A类 Mn/Fe</w:t>
                  </w:r>
                </w:p>
              </w:tc>
              <w:tc>
                <w:tcPr>
                  <w:tcW w:w="1845" w:type="dxa"/>
                  <w:gridSpan w:val="3"/>
                  <w:tcBorders>
                    <w:top w:val="double" w:color="000000" w:sz="4" w:space="0"/>
                    <w:bottom w:val="single" w:color="000000" w:sz="4" w:space="0"/>
                  </w:tcBorders>
                  <w:shd w:val="clear" w:color="auto" w:fill="auto"/>
                  <w:vAlign w:val="center"/>
                </w:tcPr>
                <w:p w14:paraId="6E20D292">
                  <w:pPr>
                    <w:pStyle w:val="48"/>
                    <w:rPr>
                      <w:color w:val="0000FF"/>
                    </w:rPr>
                  </w:pPr>
                  <w:r>
                    <w:rPr>
                      <w:color w:val="0000FF"/>
                    </w:rPr>
                    <w:t>P/Mn</w:t>
                  </w:r>
                </w:p>
              </w:tc>
              <w:tc>
                <w:tcPr>
                  <w:tcW w:w="1745" w:type="dxa"/>
                  <w:gridSpan w:val="3"/>
                  <w:tcBorders>
                    <w:top w:val="double" w:color="000000" w:sz="4" w:space="0"/>
                    <w:bottom w:val="single" w:color="000000" w:sz="4" w:space="0"/>
                  </w:tcBorders>
                  <w:shd w:val="clear" w:color="auto" w:fill="auto"/>
                  <w:vAlign w:val="center"/>
                </w:tcPr>
                <w:p w14:paraId="7C3B12A9">
                  <w:pPr>
                    <w:pStyle w:val="48"/>
                    <w:rPr>
                      <w:color w:val="0000FF"/>
                    </w:rPr>
                  </w:pPr>
                  <w:r>
                    <w:rPr>
                      <w:color w:val="0000FF"/>
                    </w:rPr>
                    <w:t>S/Mn</w:t>
                  </w:r>
                </w:p>
              </w:tc>
            </w:tr>
            <w:tr w14:paraId="08ACE29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90" w:type="dxa"/>
                  <w:vMerge w:val="continue"/>
                  <w:tcBorders>
                    <w:top w:val="single" w:color="000000" w:sz="4" w:space="0"/>
                    <w:bottom w:val="single" w:color="000000" w:sz="4" w:space="0"/>
                  </w:tcBorders>
                  <w:shd w:val="clear" w:color="auto" w:fill="auto"/>
                  <w:vAlign w:val="center"/>
                </w:tcPr>
                <w:p w14:paraId="3E437A5D">
                  <w:pPr>
                    <w:pStyle w:val="48"/>
                    <w:rPr>
                      <w:color w:val="0000FF"/>
                    </w:rPr>
                  </w:pPr>
                </w:p>
              </w:tc>
              <w:tc>
                <w:tcPr>
                  <w:tcW w:w="645" w:type="dxa"/>
                  <w:vMerge w:val="continue"/>
                  <w:tcBorders>
                    <w:top w:val="single" w:color="000000" w:sz="4" w:space="0"/>
                    <w:bottom w:val="single" w:color="000000" w:sz="4" w:space="0"/>
                  </w:tcBorders>
                  <w:shd w:val="clear" w:color="auto" w:fill="auto"/>
                  <w:vAlign w:val="center"/>
                </w:tcPr>
                <w:p w14:paraId="3DBA0B11">
                  <w:pPr>
                    <w:pStyle w:val="48"/>
                    <w:rPr>
                      <w:color w:val="0000FF"/>
                    </w:rPr>
                  </w:pPr>
                </w:p>
              </w:tc>
              <w:tc>
                <w:tcPr>
                  <w:tcW w:w="573" w:type="dxa"/>
                  <w:vMerge w:val="continue"/>
                  <w:tcBorders>
                    <w:top w:val="single" w:color="000000" w:sz="4" w:space="0"/>
                    <w:bottom w:val="single" w:color="000000" w:sz="4" w:space="0"/>
                  </w:tcBorders>
                  <w:shd w:val="clear" w:color="auto" w:fill="auto"/>
                  <w:vAlign w:val="center"/>
                </w:tcPr>
                <w:p w14:paraId="254762D8">
                  <w:pPr>
                    <w:pStyle w:val="48"/>
                    <w:rPr>
                      <w:color w:val="0000FF"/>
                    </w:rPr>
                  </w:pPr>
                </w:p>
              </w:tc>
              <w:tc>
                <w:tcPr>
                  <w:tcW w:w="1175" w:type="dxa"/>
                  <w:vMerge w:val="continue"/>
                  <w:tcBorders>
                    <w:top w:val="single" w:color="000000" w:sz="4" w:space="0"/>
                    <w:bottom w:val="single" w:color="000000" w:sz="4" w:space="0"/>
                  </w:tcBorders>
                  <w:shd w:val="clear" w:color="auto" w:fill="auto"/>
                  <w:vAlign w:val="center"/>
                </w:tcPr>
                <w:p w14:paraId="3EA7BFE0">
                  <w:pPr>
                    <w:pStyle w:val="48"/>
                    <w:rPr>
                      <w:color w:val="0000FF"/>
                    </w:rPr>
                  </w:pPr>
                </w:p>
              </w:tc>
              <w:tc>
                <w:tcPr>
                  <w:tcW w:w="586" w:type="dxa"/>
                  <w:tcBorders>
                    <w:top w:val="single" w:color="000000" w:sz="4" w:space="0"/>
                    <w:bottom w:val="single" w:color="000000" w:sz="4" w:space="0"/>
                  </w:tcBorders>
                  <w:shd w:val="clear" w:color="auto" w:fill="auto"/>
                  <w:vAlign w:val="center"/>
                </w:tcPr>
                <w:p w14:paraId="4478D22F">
                  <w:pPr>
                    <w:pStyle w:val="48"/>
                    <w:rPr>
                      <w:color w:val="0000FF"/>
                    </w:rPr>
                  </w:pPr>
                  <w:r>
                    <w:rPr>
                      <w:color w:val="0000FF"/>
                    </w:rPr>
                    <w:t>I</w:t>
                  </w:r>
                </w:p>
              </w:tc>
              <w:tc>
                <w:tcPr>
                  <w:tcW w:w="567" w:type="dxa"/>
                  <w:tcBorders>
                    <w:top w:val="single" w:color="000000" w:sz="4" w:space="0"/>
                    <w:bottom w:val="single" w:color="000000" w:sz="4" w:space="0"/>
                  </w:tcBorders>
                  <w:shd w:val="clear" w:color="auto" w:fill="auto"/>
                  <w:vAlign w:val="center"/>
                </w:tcPr>
                <w:p w14:paraId="6A243ECC">
                  <w:pPr>
                    <w:pStyle w:val="48"/>
                    <w:rPr>
                      <w:color w:val="0000FF"/>
                    </w:rPr>
                  </w:pPr>
                  <w:r>
                    <w:rPr>
                      <w:color w:val="0000FF"/>
                    </w:rPr>
                    <w:t>II</w:t>
                  </w:r>
                </w:p>
              </w:tc>
              <w:tc>
                <w:tcPr>
                  <w:tcW w:w="569" w:type="dxa"/>
                  <w:tcBorders>
                    <w:top w:val="single" w:color="000000" w:sz="4" w:space="0"/>
                    <w:bottom w:val="single" w:color="000000" w:sz="4" w:space="0"/>
                  </w:tcBorders>
                  <w:shd w:val="clear" w:color="auto" w:fill="auto"/>
                  <w:vAlign w:val="center"/>
                </w:tcPr>
                <w:p w14:paraId="0B89FD44">
                  <w:pPr>
                    <w:pStyle w:val="48"/>
                    <w:rPr>
                      <w:color w:val="0000FF"/>
                    </w:rPr>
                  </w:pPr>
                  <w:r>
                    <w:rPr>
                      <w:color w:val="0000FF"/>
                    </w:rPr>
                    <w:t>III</w:t>
                  </w:r>
                </w:p>
              </w:tc>
              <w:tc>
                <w:tcPr>
                  <w:tcW w:w="567" w:type="dxa"/>
                  <w:tcBorders>
                    <w:top w:val="single" w:color="000000" w:sz="4" w:space="0"/>
                    <w:bottom w:val="single" w:color="000000" w:sz="4" w:space="0"/>
                  </w:tcBorders>
                  <w:shd w:val="clear" w:color="auto" w:fill="auto"/>
                  <w:vAlign w:val="center"/>
                </w:tcPr>
                <w:p w14:paraId="47C5D56C">
                  <w:pPr>
                    <w:pStyle w:val="48"/>
                    <w:rPr>
                      <w:color w:val="0000FF"/>
                    </w:rPr>
                  </w:pPr>
                  <w:r>
                    <w:rPr>
                      <w:color w:val="0000FF"/>
                    </w:rPr>
                    <w:t>I</w:t>
                  </w:r>
                </w:p>
              </w:tc>
              <w:tc>
                <w:tcPr>
                  <w:tcW w:w="567" w:type="dxa"/>
                  <w:tcBorders>
                    <w:top w:val="single" w:color="000000" w:sz="4" w:space="0"/>
                    <w:bottom w:val="single" w:color="000000" w:sz="4" w:space="0"/>
                  </w:tcBorders>
                  <w:shd w:val="clear" w:color="auto" w:fill="auto"/>
                  <w:vAlign w:val="center"/>
                </w:tcPr>
                <w:p w14:paraId="0B996129">
                  <w:pPr>
                    <w:pStyle w:val="48"/>
                    <w:rPr>
                      <w:color w:val="0000FF"/>
                    </w:rPr>
                  </w:pPr>
                  <w:r>
                    <w:rPr>
                      <w:color w:val="0000FF"/>
                    </w:rPr>
                    <w:t>II</w:t>
                  </w:r>
                </w:p>
              </w:tc>
              <w:tc>
                <w:tcPr>
                  <w:tcW w:w="711" w:type="dxa"/>
                  <w:tcBorders>
                    <w:top w:val="single" w:color="000000" w:sz="4" w:space="0"/>
                    <w:bottom w:val="single" w:color="000000" w:sz="4" w:space="0"/>
                  </w:tcBorders>
                  <w:shd w:val="clear" w:color="auto" w:fill="auto"/>
                  <w:vAlign w:val="center"/>
                </w:tcPr>
                <w:p w14:paraId="16311BF8">
                  <w:pPr>
                    <w:pStyle w:val="48"/>
                    <w:rPr>
                      <w:color w:val="0000FF"/>
                    </w:rPr>
                  </w:pPr>
                  <w:r>
                    <w:rPr>
                      <w:color w:val="0000FF"/>
                    </w:rPr>
                    <w:t>III</w:t>
                  </w:r>
                </w:p>
              </w:tc>
              <w:tc>
                <w:tcPr>
                  <w:tcW w:w="567" w:type="dxa"/>
                  <w:tcBorders>
                    <w:top w:val="single" w:color="000000" w:sz="4" w:space="0"/>
                    <w:bottom w:val="single" w:color="000000" w:sz="4" w:space="0"/>
                  </w:tcBorders>
                  <w:shd w:val="clear" w:color="auto" w:fill="auto"/>
                  <w:vAlign w:val="center"/>
                </w:tcPr>
                <w:p w14:paraId="750AA3CD">
                  <w:pPr>
                    <w:pStyle w:val="48"/>
                    <w:rPr>
                      <w:color w:val="0000FF"/>
                    </w:rPr>
                  </w:pPr>
                  <w:r>
                    <w:rPr>
                      <w:color w:val="0000FF"/>
                    </w:rPr>
                    <w:t>I</w:t>
                  </w:r>
                </w:p>
              </w:tc>
              <w:tc>
                <w:tcPr>
                  <w:tcW w:w="699" w:type="dxa"/>
                  <w:tcBorders>
                    <w:top w:val="single" w:color="000000" w:sz="4" w:space="0"/>
                    <w:bottom w:val="single" w:color="000000" w:sz="4" w:space="0"/>
                  </w:tcBorders>
                  <w:shd w:val="clear" w:color="auto" w:fill="auto"/>
                  <w:vAlign w:val="center"/>
                </w:tcPr>
                <w:p w14:paraId="343ADDD8">
                  <w:pPr>
                    <w:pStyle w:val="48"/>
                    <w:rPr>
                      <w:color w:val="0000FF"/>
                    </w:rPr>
                  </w:pPr>
                  <w:r>
                    <w:rPr>
                      <w:color w:val="0000FF"/>
                    </w:rPr>
                    <w:t>II</w:t>
                  </w:r>
                </w:p>
              </w:tc>
              <w:tc>
                <w:tcPr>
                  <w:tcW w:w="479" w:type="dxa"/>
                  <w:tcBorders>
                    <w:top w:val="single" w:color="000000" w:sz="4" w:space="0"/>
                    <w:bottom w:val="single" w:color="000000" w:sz="4" w:space="0"/>
                  </w:tcBorders>
                  <w:shd w:val="clear" w:color="auto" w:fill="auto"/>
                  <w:vAlign w:val="center"/>
                </w:tcPr>
                <w:p w14:paraId="515D7060">
                  <w:pPr>
                    <w:pStyle w:val="48"/>
                    <w:rPr>
                      <w:color w:val="0000FF"/>
                    </w:rPr>
                  </w:pPr>
                  <w:r>
                    <w:rPr>
                      <w:color w:val="0000FF"/>
                    </w:rPr>
                    <w:t>-</w:t>
                  </w:r>
                </w:p>
              </w:tc>
            </w:tr>
            <w:tr w14:paraId="76F462B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90" w:type="dxa"/>
                  <w:vMerge w:val="continue"/>
                  <w:tcBorders>
                    <w:top w:val="single" w:color="000000" w:sz="4" w:space="0"/>
                    <w:bottom w:val="single" w:color="000000" w:sz="4" w:space="0"/>
                  </w:tcBorders>
                  <w:shd w:val="clear" w:color="auto" w:fill="auto"/>
                  <w:vAlign w:val="center"/>
                </w:tcPr>
                <w:p w14:paraId="6B7DEB9C">
                  <w:pPr>
                    <w:pStyle w:val="48"/>
                    <w:rPr>
                      <w:color w:val="0000FF"/>
                    </w:rPr>
                  </w:pPr>
                </w:p>
              </w:tc>
              <w:tc>
                <w:tcPr>
                  <w:tcW w:w="645" w:type="dxa"/>
                  <w:vMerge w:val="continue"/>
                  <w:tcBorders>
                    <w:top w:val="single" w:color="000000" w:sz="4" w:space="0"/>
                    <w:bottom w:val="single" w:color="000000" w:sz="4" w:space="0"/>
                  </w:tcBorders>
                  <w:shd w:val="clear" w:color="auto" w:fill="auto"/>
                  <w:vAlign w:val="center"/>
                </w:tcPr>
                <w:p w14:paraId="58C4AC51">
                  <w:pPr>
                    <w:pStyle w:val="48"/>
                    <w:rPr>
                      <w:color w:val="0000FF"/>
                    </w:rPr>
                  </w:pPr>
                </w:p>
              </w:tc>
              <w:tc>
                <w:tcPr>
                  <w:tcW w:w="573" w:type="dxa"/>
                  <w:vMerge w:val="continue"/>
                  <w:tcBorders>
                    <w:top w:val="single" w:color="000000" w:sz="4" w:space="0"/>
                    <w:bottom w:val="single" w:color="000000" w:sz="4" w:space="0"/>
                  </w:tcBorders>
                  <w:shd w:val="clear" w:color="auto" w:fill="auto"/>
                  <w:vAlign w:val="center"/>
                </w:tcPr>
                <w:p w14:paraId="0C1387F4">
                  <w:pPr>
                    <w:pStyle w:val="48"/>
                    <w:rPr>
                      <w:color w:val="0000FF"/>
                    </w:rPr>
                  </w:pPr>
                </w:p>
              </w:tc>
              <w:tc>
                <w:tcPr>
                  <w:tcW w:w="1175" w:type="dxa"/>
                  <w:vMerge w:val="continue"/>
                  <w:tcBorders>
                    <w:top w:val="single" w:color="000000" w:sz="4" w:space="0"/>
                    <w:bottom w:val="single" w:color="000000" w:sz="4" w:space="0"/>
                  </w:tcBorders>
                  <w:shd w:val="clear" w:color="auto" w:fill="auto"/>
                  <w:vAlign w:val="center"/>
                </w:tcPr>
                <w:p w14:paraId="64535E06">
                  <w:pPr>
                    <w:pStyle w:val="48"/>
                    <w:rPr>
                      <w:color w:val="0000FF"/>
                    </w:rPr>
                  </w:pPr>
                </w:p>
              </w:tc>
              <w:tc>
                <w:tcPr>
                  <w:tcW w:w="1722" w:type="dxa"/>
                  <w:gridSpan w:val="3"/>
                  <w:tcBorders>
                    <w:top w:val="single" w:color="000000" w:sz="4" w:space="0"/>
                    <w:bottom w:val="single" w:color="000000" w:sz="4" w:space="0"/>
                  </w:tcBorders>
                  <w:shd w:val="clear" w:color="auto" w:fill="auto"/>
                  <w:vAlign w:val="center"/>
                </w:tcPr>
                <w:p w14:paraId="6D4B09D5">
                  <w:pPr>
                    <w:pStyle w:val="48"/>
                    <w:rPr>
                      <w:color w:val="0000FF"/>
                    </w:rPr>
                  </w:pPr>
                  <w:r>
                    <w:rPr>
                      <w:color w:val="0000FF"/>
                    </w:rPr>
                    <w:t>不小于</w:t>
                  </w:r>
                </w:p>
              </w:tc>
              <w:tc>
                <w:tcPr>
                  <w:tcW w:w="1845" w:type="dxa"/>
                  <w:gridSpan w:val="3"/>
                  <w:tcBorders>
                    <w:top w:val="single" w:color="000000" w:sz="4" w:space="0"/>
                    <w:bottom w:val="single" w:color="000000" w:sz="4" w:space="0"/>
                  </w:tcBorders>
                  <w:shd w:val="clear" w:color="auto" w:fill="auto"/>
                  <w:vAlign w:val="center"/>
                </w:tcPr>
                <w:p w14:paraId="72C521AB">
                  <w:pPr>
                    <w:pStyle w:val="48"/>
                    <w:rPr>
                      <w:color w:val="0000FF"/>
                    </w:rPr>
                  </w:pPr>
                  <w:r>
                    <w:rPr>
                      <w:color w:val="0000FF"/>
                    </w:rPr>
                    <w:t>不大于</w:t>
                  </w:r>
                </w:p>
              </w:tc>
              <w:tc>
                <w:tcPr>
                  <w:tcW w:w="1745" w:type="dxa"/>
                  <w:gridSpan w:val="3"/>
                  <w:tcBorders>
                    <w:top w:val="single" w:color="000000" w:sz="4" w:space="0"/>
                    <w:bottom w:val="single" w:color="000000" w:sz="4" w:space="0"/>
                  </w:tcBorders>
                  <w:shd w:val="clear" w:color="auto" w:fill="auto"/>
                  <w:vAlign w:val="center"/>
                </w:tcPr>
                <w:p w14:paraId="0FA98F8A">
                  <w:pPr>
                    <w:pStyle w:val="48"/>
                    <w:rPr>
                      <w:color w:val="0000FF"/>
                    </w:rPr>
                  </w:pPr>
                  <w:r>
                    <w:rPr>
                      <w:color w:val="0000FF"/>
                    </w:rPr>
                    <w:t>不大于</w:t>
                  </w:r>
                </w:p>
              </w:tc>
            </w:tr>
            <w:tr w14:paraId="1A77DEF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990" w:type="dxa"/>
                  <w:vMerge w:val="restart"/>
                  <w:tcBorders>
                    <w:top w:val="single" w:color="000000" w:sz="4" w:space="0"/>
                  </w:tcBorders>
                  <w:shd w:val="clear" w:color="auto" w:fill="auto"/>
                  <w:noWrap/>
                  <w:vAlign w:val="center"/>
                </w:tcPr>
                <w:p w14:paraId="187B1E09">
                  <w:pPr>
                    <w:pStyle w:val="48"/>
                    <w:rPr>
                      <w:color w:val="0000FF"/>
                    </w:rPr>
                  </w:pPr>
                  <w:r>
                    <w:rPr>
                      <w:color w:val="0000FF"/>
                    </w:rPr>
                    <w:t>《</w:t>
                  </w:r>
                  <w:r>
                    <w:rPr>
                      <w:color w:val="0000FF"/>
                      <w:shd w:val="clear" w:color="auto" w:fill="FFFFFF"/>
                    </w:rPr>
                    <w:t>冶金用锰矿石</w:t>
                  </w:r>
                  <w:r>
                    <w:rPr>
                      <w:color w:val="0000FF"/>
                    </w:rPr>
                    <w:t>》</w:t>
                  </w:r>
                </w:p>
              </w:tc>
              <w:tc>
                <w:tcPr>
                  <w:tcW w:w="645" w:type="dxa"/>
                  <w:vMerge w:val="restart"/>
                  <w:tcBorders>
                    <w:top w:val="single" w:color="000000" w:sz="4" w:space="0"/>
                  </w:tcBorders>
                  <w:shd w:val="clear" w:color="auto" w:fill="auto"/>
                  <w:vAlign w:val="center"/>
                </w:tcPr>
                <w:p w14:paraId="463BEAF4">
                  <w:pPr>
                    <w:pStyle w:val="48"/>
                    <w:rPr>
                      <w:color w:val="0000FF"/>
                    </w:rPr>
                  </w:pPr>
                  <w:r>
                    <w:rPr>
                      <w:color w:val="0000FF"/>
                    </w:rPr>
                    <w:t>A类</w:t>
                  </w:r>
                </w:p>
              </w:tc>
              <w:tc>
                <w:tcPr>
                  <w:tcW w:w="573" w:type="dxa"/>
                  <w:tcBorders>
                    <w:top w:val="single" w:color="000000" w:sz="4" w:space="0"/>
                    <w:bottom w:val="single" w:color="000000" w:sz="4" w:space="0"/>
                  </w:tcBorders>
                  <w:shd w:val="clear" w:color="auto" w:fill="auto"/>
                  <w:noWrap/>
                  <w:vAlign w:val="center"/>
                </w:tcPr>
                <w:p w14:paraId="03B16883">
                  <w:pPr>
                    <w:pStyle w:val="48"/>
                    <w:rPr>
                      <w:color w:val="0000FF"/>
                    </w:rPr>
                  </w:pPr>
                  <w:r>
                    <w:rPr>
                      <w:color w:val="0000FF"/>
                    </w:rPr>
                    <w:t>AMn30</w:t>
                  </w:r>
                </w:p>
              </w:tc>
              <w:tc>
                <w:tcPr>
                  <w:tcW w:w="1175" w:type="dxa"/>
                  <w:tcBorders>
                    <w:top w:val="single" w:color="000000" w:sz="4" w:space="0"/>
                    <w:bottom w:val="single" w:color="000000" w:sz="4" w:space="0"/>
                  </w:tcBorders>
                  <w:shd w:val="clear" w:color="auto" w:fill="auto"/>
                  <w:noWrap/>
                  <w:vAlign w:val="center"/>
                </w:tcPr>
                <w:p w14:paraId="48032336">
                  <w:pPr>
                    <w:pStyle w:val="48"/>
                    <w:rPr>
                      <w:color w:val="0000FF"/>
                    </w:rPr>
                  </w:pPr>
                  <w:r>
                    <w:rPr>
                      <w:color w:val="0000FF"/>
                    </w:rPr>
                    <w:t>28.0~&lt;32.0</w:t>
                  </w:r>
                </w:p>
              </w:tc>
              <w:tc>
                <w:tcPr>
                  <w:tcW w:w="586" w:type="dxa"/>
                  <w:tcBorders>
                    <w:top w:val="single" w:color="000000" w:sz="4" w:space="0"/>
                    <w:bottom w:val="single" w:color="000000" w:sz="4" w:space="0"/>
                  </w:tcBorders>
                  <w:shd w:val="clear" w:color="auto" w:fill="auto"/>
                  <w:noWrap/>
                  <w:vAlign w:val="center"/>
                </w:tcPr>
                <w:p w14:paraId="3B6A9C3E">
                  <w:pPr>
                    <w:pStyle w:val="48"/>
                    <w:rPr>
                      <w:color w:val="0000FF"/>
                    </w:rPr>
                  </w:pPr>
                  <w:r>
                    <w:rPr>
                      <w:color w:val="0000FF"/>
                    </w:rPr>
                    <w:t>10</w:t>
                  </w:r>
                </w:p>
              </w:tc>
              <w:tc>
                <w:tcPr>
                  <w:tcW w:w="567" w:type="dxa"/>
                  <w:tcBorders>
                    <w:top w:val="single" w:color="000000" w:sz="4" w:space="0"/>
                    <w:bottom w:val="single" w:color="000000" w:sz="4" w:space="0"/>
                  </w:tcBorders>
                  <w:shd w:val="clear" w:color="auto" w:fill="auto"/>
                  <w:noWrap/>
                  <w:vAlign w:val="center"/>
                </w:tcPr>
                <w:p w14:paraId="03F8D743">
                  <w:pPr>
                    <w:pStyle w:val="48"/>
                    <w:rPr>
                      <w:color w:val="0000FF"/>
                    </w:rPr>
                  </w:pPr>
                  <w:r>
                    <w:rPr>
                      <w:color w:val="0000FF"/>
                    </w:rPr>
                    <w:t>5</w:t>
                  </w:r>
                </w:p>
              </w:tc>
              <w:tc>
                <w:tcPr>
                  <w:tcW w:w="569" w:type="dxa"/>
                  <w:tcBorders>
                    <w:top w:val="single" w:color="000000" w:sz="4" w:space="0"/>
                    <w:bottom w:val="single" w:color="000000" w:sz="4" w:space="0"/>
                  </w:tcBorders>
                  <w:shd w:val="clear" w:color="auto" w:fill="auto"/>
                  <w:noWrap/>
                  <w:vAlign w:val="center"/>
                </w:tcPr>
                <w:p w14:paraId="7C66C58E">
                  <w:pPr>
                    <w:pStyle w:val="48"/>
                    <w:rPr>
                      <w:color w:val="0000FF"/>
                    </w:rPr>
                  </w:pPr>
                  <w:r>
                    <w:rPr>
                      <w:color w:val="0000FF"/>
                    </w:rPr>
                    <w:t>2</w:t>
                  </w:r>
                </w:p>
              </w:tc>
              <w:tc>
                <w:tcPr>
                  <w:tcW w:w="567" w:type="dxa"/>
                  <w:tcBorders>
                    <w:top w:val="single" w:color="000000" w:sz="4" w:space="0"/>
                    <w:bottom w:val="single" w:color="000000" w:sz="4" w:space="0"/>
                  </w:tcBorders>
                  <w:shd w:val="clear" w:color="auto" w:fill="auto"/>
                  <w:noWrap/>
                  <w:vAlign w:val="center"/>
                </w:tcPr>
                <w:p w14:paraId="0DB5DCD6">
                  <w:pPr>
                    <w:pStyle w:val="48"/>
                    <w:rPr>
                      <w:color w:val="0000FF"/>
                    </w:rPr>
                  </w:pPr>
                  <w:r>
                    <w:rPr>
                      <w:color w:val="0000FF"/>
                    </w:rPr>
                    <w:t>0.0015</w:t>
                  </w:r>
                </w:p>
              </w:tc>
              <w:tc>
                <w:tcPr>
                  <w:tcW w:w="567" w:type="dxa"/>
                  <w:tcBorders>
                    <w:top w:val="single" w:color="000000" w:sz="4" w:space="0"/>
                    <w:bottom w:val="single" w:color="000000" w:sz="4" w:space="0"/>
                  </w:tcBorders>
                  <w:shd w:val="clear" w:color="auto" w:fill="auto"/>
                  <w:noWrap/>
                  <w:vAlign w:val="center"/>
                </w:tcPr>
                <w:p w14:paraId="14E5C826">
                  <w:pPr>
                    <w:pStyle w:val="48"/>
                    <w:rPr>
                      <w:color w:val="0000FF"/>
                    </w:rPr>
                  </w:pPr>
                  <w:r>
                    <w:rPr>
                      <w:color w:val="0000FF"/>
                    </w:rPr>
                    <w:t>0.0025</w:t>
                  </w:r>
                </w:p>
              </w:tc>
              <w:tc>
                <w:tcPr>
                  <w:tcW w:w="711" w:type="dxa"/>
                  <w:tcBorders>
                    <w:top w:val="single" w:color="000000" w:sz="4" w:space="0"/>
                    <w:bottom w:val="single" w:color="000000" w:sz="4" w:space="0"/>
                  </w:tcBorders>
                  <w:shd w:val="clear" w:color="auto" w:fill="auto"/>
                  <w:noWrap/>
                  <w:vAlign w:val="center"/>
                </w:tcPr>
                <w:p w14:paraId="4E3C1B71">
                  <w:pPr>
                    <w:pStyle w:val="48"/>
                    <w:rPr>
                      <w:color w:val="0000FF"/>
                    </w:rPr>
                  </w:pPr>
                  <w:r>
                    <w:rPr>
                      <w:color w:val="0000FF"/>
                    </w:rPr>
                    <w:t>0.006</w:t>
                  </w:r>
                </w:p>
              </w:tc>
              <w:tc>
                <w:tcPr>
                  <w:tcW w:w="567" w:type="dxa"/>
                  <w:tcBorders>
                    <w:top w:val="single" w:color="000000" w:sz="4" w:space="0"/>
                    <w:bottom w:val="single" w:color="000000" w:sz="4" w:space="0"/>
                  </w:tcBorders>
                  <w:shd w:val="clear" w:color="auto" w:fill="auto"/>
                  <w:noWrap/>
                  <w:vAlign w:val="center"/>
                </w:tcPr>
                <w:p w14:paraId="72F59C62">
                  <w:pPr>
                    <w:pStyle w:val="48"/>
                    <w:rPr>
                      <w:color w:val="0000FF"/>
                    </w:rPr>
                  </w:pPr>
                  <w:r>
                    <w:rPr>
                      <w:color w:val="0000FF"/>
                    </w:rPr>
                    <w:t>0.01</w:t>
                  </w:r>
                </w:p>
              </w:tc>
              <w:tc>
                <w:tcPr>
                  <w:tcW w:w="699" w:type="dxa"/>
                  <w:tcBorders>
                    <w:top w:val="single" w:color="000000" w:sz="4" w:space="0"/>
                    <w:bottom w:val="single" w:color="000000" w:sz="4" w:space="0"/>
                  </w:tcBorders>
                  <w:shd w:val="clear" w:color="auto" w:fill="auto"/>
                  <w:noWrap/>
                  <w:vAlign w:val="center"/>
                </w:tcPr>
                <w:p w14:paraId="537D4FBD">
                  <w:pPr>
                    <w:pStyle w:val="48"/>
                    <w:rPr>
                      <w:color w:val="0000FF"/>
                    </w:rPr>
                  </w:pPr>
                  <w:r>
                    <w:rPr>
                      <w:color w:val="0000FF"/>
                    </w:rPr>
                    <w:t>0.03</w:t>
                  </w:r>
                </w:p>
              </w:tc>
              <w:tc>
                <w:tcPr>
                  <w:tcW w:w="479" w:type="dxa"/>
                  <w:tcBorders>
                    <w:top w:val="single" w:color="000000" w:sz="4" w:space="0"/>
                    <w:bottom w:val="single" w:color="000000" w:sz="4" w:space="0"/>
                  </w:tcBorders>
                  <w:shd w:val="clear" w:color="auto" w:fill="auto"/>
                  <w:vAlign w:val="center"/>
                </w:tcPr>
                <w:p w14:paraId="0968F47C">
                  <w:pPr>
                    <w:pStyle w:val="48"/>
                    <w:rPr>
                      <w:color w:val="0000FF"/>
                    </w:rPr>
                  </w:pPr>
                  <w:r>
                    <w:rPr>
                      <w:color w:val="0000FF"/>
                    </w:rPr>
                    <w:t>-</w:t>
                  </w:r>
                </w:p>
              </w:tc>
            </w:tr>
            <w:tr w14:paraId="2621E1E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990" w:type="dxa"/>
                  <w:vMerge w:val="continue"/>
                  <w:tcBorders>
                    <w:top w:val="single" w:color="000000" w:sz="4" w:space="0"/>
                  </w:tcBorders>
                  <w:shd w:val="clear" w:color="auto" w:fill="auto"/>
                  <w:noWrap/>
                  <w:vAlign w:val="center"/>
                </w:tcPr>
                <w:p w14:paraId="03B159C3">
                  <w:pPr>
                    <w:pStyle w:val="48"/>
                    <w:rPr>
                      <w:color w:val="0000FF"/>
                    </w:rPr>
                  </w:pPr>
                </w:p>
              </w:tc>
              <w:tc>
                <w:tcPr>
                  <w:tcW w:w="645" w:type="dxa"/>
                  <w:vMerge w:val="continue"/>
                  <w:tcBorders>
                    <w:top w:val="single" w:color="000000" w:sz="4" w:space="0"/>
                  </w:tcBorders>
                  <w:shd w:val="clear" w:color="auto" w:fill="auto"/>
                  <w:vAlign w:val="center"/>
                </w:tcPr>
                <w:p w14:paraId="45CD51E0">
                  <w:pPr>
                    <w:pStyle w:val="48"/>
                    <w:rPr>
                      <w:color w:val="0000FF"/>
                    </w:rPr>
                  </w:pPr>
                </w:p>
              </w:tc>
              <w:tc>
                <w:tcPr>
                  <w:tcW w:w="573" w:type="dxa"/>
                  <w:tcBorders>
                    <w:top w:val="single" w:color="000000" w:sz="4" w:space="0"/>
                    <w:bottom w:val="single" w:color="000000" w:sz="4" w:space="0"/>
                  </w:tcBorders>
                  <w:shd w:val="clear" w:color="auto" w:fill="auto"/>
                  <w:noWrap/>
                  <w:vAlign w:val="center"/>
                </w:tcPr>
                <w:p w14:paraId="70CAD584">
                  <w:pPr>
                    <w:pStyle w:val="48"/>
                    <w:rPr>
                      <w:color w:val="0000FF"/>
                    </w:rPr>
                  </w:pPr>
                  <w:r>
                    <w:rPr>
                      <w:color w:val="0000FF"/>
                      <w:sz w:val="22"/>
                      <w:szCs w:val="22"/>
                    </w:rPr>
                    <w:t>AMn26</w:t>
                  </w:r>
                </w:p>
              </w:tc>
              <w:tc>
                <w:tcPr>
                  <w:tcW w:w="1175" w:type="dxa"/>
                  <w:tcBorders>
                    <w:top w:val="single" w:color="000000" w:sz="4" w:space="0"/>
                    <w:bottom w:val="single" w:color="000000" w:sz="4" w:space="0"/>
                  </w:tcBorders>
                  <w:shd w:val="clear" w:color="auto" w:fill="auto"/>
                  <w:noWrap/>
                  <w:vAlign w:val="center"/>
                </w:tcPr>
                <w:p w14:paraId="306E0C4F">
                  <w:pPr>
                    <w:pStyle w:val="48"/>
                    <w:rPr>
                      <w:color w:val="0000FF"/>
                    </w:rPr>
                  </w:pPr>
                  <w:r>
                    <w:rPr>
                      <w:color w:val="0000FF"/>
                      <w:sz w:val="22"/>
                      <w:szCs w:val="22"/>
                    </w:rPr>
                    <w:t>24.0~&lt;28.0</w:t>
                  </w:r>
                </w:p>
              </w:tc>
              <w:tc>
                <w:tcPr>
                  <w:tcW w:w="586" w:type="dxa"/>
                  <w:tcBorders>
                    <w:top w:val="single" w:color="000000" w:sz="4" w:space="0"/>
                    <w:bottom w:val="single" w:color="000000" w:sz="4" w:space="0"/>
                  </w:tcBorders>
                  <w:shd w:val="clear" w:color="auto" w:fill="auto"/>
                  <w:noWrap/>
                  <w:vAlign w:val="center"/>
                </w:tcPr>
                <w:p w14:paraId="08DB0726">
                  <w:pPr>
                    <w:pStyle w:val="48"/>
                    <w:rPr>
                      <w:color w:val="0000FF"/>
                    </w:rPr>
                  </w:pPr>
                  <w:r>
                    <w:rPr>
                      <w:color w:val="0000FF"/>
                      <w:sz w:val="22"/>
                      <w:szCs w:val="22"/>
                    </w:rPr>
                    <w:t>10</w:t>
                  </w:r>
                </w:p>
              </w:tc>
              <w:tc>
                <w:tcPr>
                  <w:tcW w:w="567" w:type="dxa"/>
                  <w:tcBorders>
                    <w:top w:val="single" w:color="000000" w:sz="4" w:space="0"/>
                    <w:bottom w:val="single" w:color="000000" w:sz="4" w:space="0"/>
                  </w:tcBorders>
                  <w:shd w:val="clear" w:color="auto" w:fill="auto"/>
                  <w:noWrap/>
                  <w:vAlign w:val="center"/>
                </w:tcPr>
                <w:p w14:paraId="55ADE51D">
                  <w:pPr>
                    <w:pStyle w:val="48"/>
                    <w:rPr>
                      <w:color w:val="0000FF"/>
                    </w:rPr>
                  </w:pPr>
                  <w:r>
                    <w:rPr>
                      <w:color w:val="0000FF"/>
                      <w:sz w:val="22"/>
                      <w:szCs w:val="22"/>
                    </w:rPr>
                    <w:t>5</w:t>
                  </w:r>
                </w:p>
              </w:tc>
              <w:tc>
                <w:tcPr>
                  <w:tcW w:w="569" w:type="dxa"/>
                  <w:tcBorders>
                    <w:top w:val="single" w:color="000000" w:sz="4" w:space="0"/>
                    <w:bottom w:val="single" w:color="000000" w:sz="4" w:space="0"/>
                  </w:tcBorders>
                  <w:shd w:val="clear" w:color="auto" w:fill="auto"/>
                  <w:noWrap/>
                  <w:vAlign w:val="center"/>
                </w:tcPr>
                <w:p w14:paraId="0B3B7F1A">
                  <w:pPr>
                    <w:pStyle w:val="48"/>
                    <w:rPr>
                      <w:color w:val="0000FF"/>
                    </w:rPr>
                  </w:pPr>
                  <w:r>
                    <w:rPr>
                      <w:color w:val="0000FF"/>
                      <w:sz w:val="22"/>
                      <w:szCs w:val="22"/>
                    </w:rPr>
                    <w:t>2</w:t>
                  </w:r>
                </w:p>
              </w:tc>
              <w:tc>
                <w:tcPr>
                  <w:tcW w:w="567" w:type="dxa"/>
                  <w:tcBorders>
                    <w:top w:val="single" w:color="000000" w:sz="4" w:space="0"/>
                    <w:bottom w:val="single" w:color="000000" w:sz="4" w:space="0"/>
                  </w:tcBorders>
                  <w:shd w:val="clear" w:color="auto" w:fill="auto"/>
                  <w:noWrap/>
                  <w:vAlign w:val="center"/>
                </w:tcPr>
                <w:p w14:paraId="0487BBB3">
                  <w:pPr>
                    <w:pStyle w:val="48"/>
                    <w:rPr>
                      <w:color w:val="0000FF"/>
                    </w:rPr>
                  </w:pPr>
                  <w:r>
                    <w:rPr>
                      <w:color w:val="0000FF"/>
                      <w:sz w:val="22"/>
                      <w:szCs w:val="22"/>
                    </w:rPr>
                    <w:t>0.0015</w:t>
                  </w:r>
                </w:p>
              </w:tc>
              <w:tc>
                <w:tcPr>
                  <w:tcW w:w="567" w:type="dxa"/>
                  <w:tcBorders>
                    <w:top w:val="single" w:color="000000" w:sz="4" w:space="0"/>
                    <w:bottom w:val="single" w:color="000000" w:sz="4" w:space="0"/>
                  </w:tcBorders>
                  <w:shd w:val="clear" w:color="auto" w:fill="auto"/>
                  <w:noWrap/>
                  <w:vAlign w:val="center"/>
                </w:tcPr>
                <w:p w14:paraId="66387ECB">
                  <w:pPr>
                    <w:pStyle w:val="48"/>
                    <w:rPr>
                      <w:color w:val="0000FF"/>
                    </w:rPr>
                  </w:pPr>
                  <w:r>
                    <w:rPr>
                      <w:color w:val="0000FF"/>
                      <w:sz w:val="22"/>
                      <w:szCs w:val="22"/>
                    </w:rPr>
                    <w:t>0.0025</w:t>
                  </w:r>
                </w:p>
              </w:tc>
              <w:tc>
                <w:tcPr>
                  <w:tcW w:w="711" w:type="dxa"/>
                  <w:tcBorders>
                    <w:top w:val="single" w:color="000000" w:sz="4" w:space="0"/>
                    <w:bottom w:val="single" w:color="000000" w:sz="4" w:space="0"/>
                  </w:tcBorders>
                  <w:shd w:val="clear" w:color="auto" w:fill="auto"/>
                  <w:noWrap/>
                  <w:vAlign w:val="center"/>
                </w:tcPr>
                <w:p w14:paraId="20651780">
                  <w:pPr>
                    <w:pStyle w:val="48"/>
                    <w:rPr>
                      <w:color w:val="0000FF"/>
                    </w:rPr>
                  </w:pPr>
                  <w:r>
                    <w:rPr>
                      <w:color w:val="0000FF"/>
                      <w:sz w:val="22"/>
                      <w:szCs w:val="22"/>
                    </w:rPr>
                    <w:t>0.006</w:t>
                  </w:r>
                </w:p>
              </w:tc>
              <w:tc>
                <w:tcPr>
                  <w:tcW w:w="567" w:type="dxa"/>
                  <w:tcBorders>
                    <w:top w:val="single" w:color="000000" w:sz="4" w:space="0"/>
                    <w:bottom w:val="single" w:color="000000" w:sz="4" w:space="0"/>
                  </w:tcBorders>
                  <w:shd w:val="clear" w:color="auto" w:fill="auto"/>
                  <w:noWrap/>
                  <w:vAlign w:val="center"/>
                </w:tcPr>
                <w:p w14:paraId="61435699">
                  <w:pPr>
                    <w:pStyle w:val="48"/>
                    <w:rPr>
                      <w:color w:val="0000FF"/>
                    </w:rPr>
                  </w:pPr>
                  <w:r>
                    <w:rPr>
                      <w:color w:val="0000FF"/>
                      <w:sz w:val="22"/>
                      <w:szCs w:val="22"/>
                    </w:rPr>
                    <w:t>0.01</w:t>
                  </w:r>
                </w:p>
              </w:tc>
              <w:tc>
                <w:tcPr>
                  <w:tcW w:w="699" w:type="dxa"/>
                  <w:tcBorders>
                    <w:top w:val="single" w:color="000000" w:sz="4" w:space="0"/>
                    <w:bottom w:val="single" w:color="000000" w:sz="4" w:space="0"/>
                  </w:tcBorders>
                  <w:shd w:val="clear" w:color="auto" w:fill="auto"/>
                  <w:noWrap/>
                  <w:vAlign w:val="center"/>
                </w:tcPr>
                <w:p w14:paraId="6F5E2843">
                  <w:pPr>
                    <w:pStyle w:val="48"/>
                    <w:rPr>
                      <w:color w:val="0000FF"/>
                    </w:rPr>
                  </w:pPr>
                  <w:r>
                    <w:rPr>
                      <w:color w:val="0000FF"/>
                      <w:sz w:val="22"/>
                      <w:szCs w:val="22"/>
                    </w:rPr>
                    <w:t>0.03</w:t>
                  </w:r>
                </w:p>
              </w:tc>
              <w:tc>
                <w:tcPr>
                  <w:tcW w:w="479" w:type="dxa"/>
                  <w:tcBorders>
                    <w:top w:val="single" w:color="000000" w:sz="4" w:space="0"/>
                    <w:bottom w:val="single" w:color="000000" w:sz="4" w:space="0"/>
                  </w:tcBorders>
                  <w:shd w:val="clear" w:color="auto" w:fill="auto"/>
                  <w:vAlign w:val="center"/>
                </w:tcPr>
                <w:p w14:paraId="0A3B75C6">
                  <w:pPr>
                    <w:pStyle w:val="48"/>
                    <w:rPr>
                      <w:color w:val="0000FF"/>
                    </w:rPr>
                  </w:pPr>
                </w:p>
              </w:tc>
            </w:tr>
            <w:tr w14:paraId="2FB62C4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990" w:type="dxa"/>
                  <w:vMerge w:val="continue"/>
                  <w:tcBorders>
                    <w:bottom w:val="single" w:color="000000" w:sz="4" w:space="0"/>
                  </w:tcBorders>
                  <w:shd w:val="clear" w:color="auto" w:fill="auto"/>
                  <w:noWrap/>
                  <w:vAlign w:val="center"/>
                </w:tcPr>
                <w:p w14:paraId="7CE444DD">
                  <w:pPr>
                    <w:pStyle w:val="48"/>
                    <w:rPr>
                      <w:color w:val="0000FF"/>
                    </w:rPr>
                  </w:pPr>
                </w:p>
              </w:tc>
              <w:tc>
                <w:tcPr>
                  <w:tcW w:w="645" w:type="dxa"/>
                  <w:vMerge w:val="continue"/>
                  <w:tcBorders>
                    <w:bottom w:val="single" w:color="000000" w:sz="4" w:space="0"/>
                  </w:tcBorders>
                  <w:shd w:val="clear" w:color="auto" w:fill="auto"/>
                  <w:vAlign w:val="center"/>
                </w:tcPr>
                <w:p w14:paraId="5C32CC58">
                  <w:pPr>
                    <w:pStyle w:val="48"/>
                    <w:rPr>
                      <w:color w:val="0000FF"/>
                    </w:rPr>
                  </w:pPr>
                </w:p>
              </w:tc>
              <w:tc>
                <w:tcPr>
                  <w:tcW w:w="573" w:type="dxa"/>
                  <w:tcBorders>
                    <w:top w:val="single" w:color="000000" w:sz="4" w:space="0"/>
                    <w:bottom w:val="single" w:color="000000" w:sz="4" w:space="0"/>
                  </w:tcBorders>
                  <w:shd w:val="clear" w:color="auto" w:fill="auto"/>
                  <w:noWrap/>
                  <w:vAlign w:val="center"/>
                </w:tcPr>
                <w:p w14:paraId="23D621C4">
                  <w:pPr>
                    <w:pStyle w:val="48"/>
                    <w:rPr>
                      <w:color w:val="0000FF"/>
                    </w:rPr>
                  </w:pPr>
                  <w:r>
                    <w:rPr>
                      <w:color w:val="0000FF"/>
                      <w:sz w:val="22"/>
                      <w:szCs w:val="22"/>
                    </w:rPr>
                    <w:t>AMn22</w:t>
                  </w:r>
                </w:p>
              </w:tc>
              <w:tc>
                <w:tcPr>
                  <w:tcW w:w="1175" w:type="dxa"/>
                  <w:tcBorders>
                    <w:top w:val="single" w:color="000000" w:sz="4" w:space="0"/>
                    <w:bottom w:val="single" w:color="000000" w:sz="4" w:space="0"/>
                  </w:tcBorders>
                  <w:shd w:val="clear" w:color="auto" w:fill="auto"/>
                  <w:noWrap/>
                  <w:vAlign w:val="center"/>
                </w:tcPr>
                <w:p w14:paraId="68DA0EDA">
                  <w:pPr>
                    <w:pStyle w:val="48"/>
                    <w:rPr>
                      <w:color w:val="0000FF"/>
                    </w:rPr>
                  </w:pPr>
                  <w:r>
                    <w:rPr>
                      <w:color w:val="0000FF"/>
                      <w:sz w:val="22"/>
                      <w:szCs w:val="22"/>
                    </w:rPr>
                    <w:t>22.0~&lt;24.0</w:t>
                  </w:r>
                </w:p>
              </w:tc>
              <w:tc>
                <w:tcPr>
                  <w:tcW w:w="586" w:type="dxa"/>
                  <w:tcBorders>
                    <w:top w:val="single" w:color="000000" w:sz="4" w:space="0"/>
                    <w:bottom w:val="single" w:color="000000" w:sz="4" w:space="0"/>
                  </w:tcBorders>
                  <w:shd w:val="clear" w:color="auto" w:fill="auto"/>
                  <w:noWrap/>
                  <w:vAlign w:val="center"/>
                </w:tcPr>
                <w:p w14:paraId="1078B94F">
                  <w:pPr>
                    <w:pStyle w:val="48"/>
                    <w:rPr>
                      <w:color w:val="0000FF"/>
                    </w:rPr>
                  </w:pPr>
                  <w:r>
                    <w:rPr>
                      <w:color w:val="0000FF"/>
                      <w:sz w:val="22"/>
                      <w:szCs w:val="22"/>
                    </w:rPr>
                    <w:t>10</w:t>
                  </w:r>
                </w:p>
              </w:tc>
              <w:tc>
                <w:tcPr>
                  <w:tcW w:w="567" w:type="dxa"/>
                  <w:tcBorders>
                    <w:top w:val="single" w:color="000000" w:sz="4" w:space="0"/>
                    <w:bottom w:val="single" w:color="000000" w:sz="4" w:space="0"/>
                  </w:tcBorders>
                  <w:shd w:val="clear" w:color="auto" w:fill="auto"/>
                  <w:noWrap/>
                  <w:vAlign w:val="center"/>
                </w:tcPr>
                <w:p w14:paraId="0269C5B3">
                  <w:pPr>
                    <w:pStyle w:val="48"/>
                    <w:rPr>
                      <w:color w:val="0000FF"/>
                    </w:rPr>
                  </w:pPr>
                  <w:r>
                    <w:rPr>
                      <w:color w:val="0000FF"/>
                      <w:sz w:val="22"/>
                      <w:szCs w:val="22"/>
                    </w:rPr>
                    <w:t>5</w:t>
                  </w:r>
                </w:p>
              </w:tc>
              <w:tc>
                <w:tcPr>
                  <w:tcW w:w="569" w:type="dxa"/>
                  <w:tcBorders>
                    <w:top w:val="single" w:color="000000" w:sz="4" w:space="0"/>
                    <w:bottom w:val="single" w:color="000000" w:sz="4" w:space="0"/>
                  </w:tcBorders>
                  <w:shd w:val="clear" w:color="auto" w:fill="auto"/>
                  <w:noWrap/>
                  <w:vAlign w:val="center"/>
                </w:tcPr>
                <w:p w14:paraId="2ED207C5">
                  <w:pPr>
                    <w:pStyle w:val="48"/>
                    <w:rPr>
                      <w:color w:val="0000FF"/>
                    </w:rPr>
                  </w:pPr>
                  <w:r>
                    <w:rPr>
                      <w:color w:val="0000FF"/>
                      <w:sz w:val="22"/>
                      <w:szCs w:val="22"/>
                    </w:rPr>
                    <w:t>2</w:t>
                  </w:r>
                </w:p>
              </w:tc>
              <w:tc>
                <w:tcPr>
                  <w:tcW w:w="567" w:type="dxa"/>
                  <w:tcBorders>
                    <w:top w:val="single" w:color="000000" w:sz="4" w:space="0"/>
                    <w:bottom w:val="single" w:color="000000" w:sz="4" w:space="0"/>
                  </w:tcBorders>
                  <w:shd w:val="clear" w:color="auto" w:fill="auto"/>
                  <w:noWrap/>
                  <w:vAlign w:val="center"/>
                </w:tcPr>
                <w:p w14:paraId="4A80DCB2">
                  <w:pPr>
                    <w:pStyle w:val="48"/>
                    <w:rPr>
                      <w:color w:val="0000FF"/>
                    </w:rPr>
                  </w:pPr>
                  <w:r>
                    <w:rPr>
                      <w:color w:val="0000FF"/>
                      <w:sz w:val="22"/>
                      <w:szCs w:val="22"/>
                    </w:rPr>
                    <w:t>0.0015</w:t>
                  </w:r>
                </w:p>
              </w:tc>
              <w:tc>
                <w:tcPr>
                  <w:tcW w:w="567" w:type="dxa"/>
                  <w:tcBorders>
                    <w:top w:val="single" w:color="000000" w:sz="4" w:space="0"/>
                    <w:bottom w:val="single" w:color="000000" w:sz="4" w:space="0"/>
                  </w:tcBorders>
                  <w:shd w:val="clear" w:color="auto" w:fill="auto"/>
                  <w:noWrap/>
                  <w:vAlign w:val="center"/>
                </w:tcPr>
                <w:p w14:paraId="4C9F781F">
                  <w:pPr>
                    <w:pStyle w:val="48"/>
                    <w:rPr>
                      <w:color w:val="0000FF"/>
                    </w:rPr>
                  </w:pPr>
                  <w:r>
                    <w:rPr>
                      <w:color w:val="0000FF"/>
                      <w:sz w:val="22"/>
                      <w:szCs w:val="22"/>
                    </w:rPr>
                    <w:t>0.0025</w:t>
                  </w:r>
                </w:p>
              </w:tc>
              <w:tc>
                <w:tcPr>
                  <w:tcW w:w="711" w:type="dxa"/>
                  <w:tcBorders>
                    <w:top w:val="single" w:color="000000" w:sz="4" w:space="0"/>
                    <w:bottom w:val="single" w:color="000000" w:sz="4" w:space="0"/>
                  </w:tcBorders>
                  <w:shd w:val="clear" w:color="auto" w:fill="auto"/>
                  <w:noWrap/>
                  <w:vAlign w:val="center"/>
                </w:tcPr>
                <w:p w14:paraId="1CD026D7">
                  <w:pPr>
                    <w:pStyle w:val="48"/>
                    <w:rPr>
                      <w:color w:val="0000FF"/>
                    </w:rPr>
                  </w:pPr>
                  <w:r>
                    <w:rPr>
                      <w:color w:val="0000FF"/>
                      <w:sz w:val="22"/>
                      <w:szCs w:val="22"/>
                    </w:rPr>
                    <w:t>0.006</w:t>
                  </w:r>
                </w:p>
              </w:tc>
              <w:tc>
                <w:tcPr>
                  <w:tcW w:w="567" w:type="dxa"/>
                  <w:tcBorders>
                    <w:top w:val="single" w:color="000000" w:sz="4" w:space="0"/>
                    <w:bottom w:val="single" w:color="000000" w:sz="4" w:space="0"/>
                  </w:tcBorders>
                  <w:shd w:val="clear" w:color="auto" w:fill="auto"/>
                  <w:noWrap/>
                  <w:vAlign w:val="center"/>
                </w:tcPr>
                <w:p w14:paraId="786EB6F5">
                  <w:pPr>
                    <w:pStyle w:val="48"/>
                    <w:rPr>
                      <w:color w:val="0000FF"/>
                    </w:rPr>
                  </w:pPr>
                  <w:r>
                    <w:rPr>
                      <w:color w:val="0000FF"/>
                      <w:sz w:val="22"/>
                      <w:szCs w:val="22"/>
                    </w:rPr>
                    <w:t>0.01</w:t>
                  </w:r>
                </w:p>
              </w:tc>
              <w:tc>
                <w:tcPr>
                  <w:tcW w:w="699" w:type="dxa"/>
                  <w:tcBorders>
                    <w:top w:val="single" w:color="000000" w:sz="4" w:space="0"/>
                    <w:bottom w:val="single" w:color="000000" w:sz="4" w:space="0"/>
                  </w:tcBorders>
                  <w:shd w:val="clear" w:color="auto" w:fill="auto"/>
                  <w:noWrap/>
                  <w:vAlign w:val="center"/>
                </w:tcPr>
                <w:p w14:paraId="4A6DBF54">
                  <w:pPr>
                    <w:pStyle w:val="48"/>
                    <w:rPr>
                      <w:color w:val="0000FF"/>
                    </w:rPr>
                  </w:pPr>
                  <w:r>
                    <w:rPr>
                      <w:color w:val="0000FF"/>
                      <w:sz w:val="22"/>
                      <w:szCs w:val="22"/>
                    </w:rPr>
                    <w:t>0.03</w:t>
                  </w:r>
                </w:p>
              </w:tc>
              <w:tc>
                <w:tcPr>
                  <w:tcW w:w="479" w:type="dxa"/>
                  <w:tcBorders>
                    <w:top w:val="single" w:color="000000" w:sz="4" w:space="0"/>
                    <w:bottom w:val="single" w:color="000000" w:sz="4" w:space="0"/>
                  </w:tcBorders>
                  <w:shd w:val="clear" w:color="auto" w:fill="auto"/>
                  <w:vAlign w:val="center"/>
                </w:tcPr>
                <w:p w14:paraId="6F51C9C3">
                  <w:pPr>
                    <w:pStyle w:val="48"/>
                    <w:rPr>
                      <w:color w:val="0000FF"/>
                    </w:rPr>
                  </w:pPr>
                  <w:r>
                    <w:rPr>
                      <w:color w:val="0000FF"/>
                    </w:rPr>
                    <w:t>-</w:t>
                  </w:r>
                </w:p>
              </w:tc>
            </w:tr>
            <w:tr w14:paraId="643DE8E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990" w:type="dxa"/>
                  <w:tcBorders>
                    <w:top w:val="single" w:color="000000" w:sz="4" w:space="0"/>
                  </w:tcBorders>
                  <w:shd w:val="clear" w:color="auto" w:fill="auto"/>
                  <w:noWrap/>
                  <w:vAlign w:val="center"/>
                </w:tcPr>
                <w:p w14:paraId="7ACDBC77">
                  <w:pPr>
                    <w:pStyle w:val="48"/>
                    <w:rPr>
                      <w:color w:val="0000FF"/>
                    </w:rPr>
                  </w:pPr>
                  <w:r>
                    <w:rPr>
                      <w:color w:val="0000FF"/>
                    </w:rPr>
                    <w:t>本项目产品热造块</w:t>
                  </w:r>
                </w:p>
              </w:tc>
              <w:tc>
                <w:tcPr>
                  <w:tcW w:w="645" w:type="dxa"/>
                  <w:tcBorders>
                    <w:top w:val="single" w:color="000000" w:sz="4" w:space="0"/>
                  </w:tcBorders>
                  <w:shd w:val="clear" w:color="auto" w:fill="auto"/>
                  <w:vAlign w:val="center"/>
                </w:tcPr>
                <w:p w14:paraId="41C41A2A">
                  <w:pPr>
                    <w:pStyle w:val="48"/>
                    <w:rPr>
                      <w:color w:val="0000FF"/>
                    </w:rPr>
                  </w:pPr>
                  <w:r>
                    <w:rPr>
                      <w:color w:val="0000FF"/>
                    </w:rPr>
                    <w:t>A类</w:t>
                  </w:r>
                </w:p>
              </w:tc>
              <w:tc>
                <w:tcPr>
                  <w:tcW w:w="573" w:type="dxa"/>
                  <w:tcBorders>
                    <w:top w:val="single" w:color="000000" w:sz="4" w:space="0"/>
                  </w:tcBorders>
                  <w:shd w:val="clear" w:color="auto" w:fill="auto"/>
                  <w:noWrap/>
                  <w:vAlign w:val="center"/>
                </w:tcPr>
                <w:p w14:paraId="1B2C9DB1">
                  <w:pPr>
                    <w:pStyle w:val="48"/>
                    <w:rPr>
                      <w:color w:val="0000FF"/>
                    </w:rPr>
                  </w:pPr>
                  <w:r>
                    <w:rPr>
                      <w:color w:val="0000FF"/>
                      <w:sz w:val="22"/>
                      <w:szCs w:val="22"/>
                    </w:rPr>
                    <w:t>AMn26</w:t>
                  </w:r>
                </w:p>
              </w:tc>
              <w:tc>
                <w:tcPr>
                  <w:tcW w:w="1175" w:type="dxa"/>
                  <w:tcBorders>
                    <w:top w:val="single" w:color="000000" w:sz="4" w:space="0"/>
                  </w:tcBorders>
                  <w:shd w:val="clear" w:color="auto" w:fill="auto"/>
                  <w:noWrap/>
                  <w:vAlign w:val="center"/>
                </w:tcPr>
                <w:p w14:paraId="19AA6060">
                  <w:pPr>
                    <w:pStyle w:val="48"/>
                    <w:rPr>
                      <w:color w:val="0000FF"/>
                    </w:rPr>
                  </w:pPr>
                  <w:r>
                    <w:rPr>
                      <w:color w:val="0000FF"/>
                    </w:rPr>
                    <w:t>26.67</w:t>
                  </w:r>
                </w:p>
              </w:tc>
              <w:tc>
                <w:tcPr>
                  <w:tcW w:w="586" w:type="dxa"/>
                  <w:tcBorders>
                    <w:top w:val="single" w:color="000000" w:sz="4" w:space="0"/>
                  </w:tcBorders>
                  <w:shd w:val="clear" w:color="auto" w:fill="auto"/>
                  <w:noWrap/>
                  <w:vAlign w:val="center"/>
                </w:tcPr>
                <w:p w14:paraId="38400AE2">
                  <w:pPr>
                    <w:pStyle w:val="48"/>
                    <w:rPr>
                      <w:color w:val="0000FF"/>
                    </w:rPr>
                  </w:pPr>
                  <w:r>
                    <w:rPr>
                      <w:color w:val="0000FF"/>
                    </w:rPr>
                    <w:t>-</w:t>
                  </w:r>
                </w:p>
              </w:tc>
              <w:tc>
                <w:tcPr>
                  <w:tcW w:w="567" w:type="dxa"/>
                  <w:tcBorders>
                    <w:top w:val="single" w:color="000000" w:sz="4" w:space="0"/>
                  </w:tcBorders>
                  <w:shd w:val="clear" w:color="auto" w:fill="auto"/>
                  <w:noWrap/>
                  <w:vAlign w:val="center"/>
                </w:tcPr>
                <w:p w14:paraId="0BEE48EF">
                  <w:pPr>
                    <w:pStyle w:val="48"/>
                    <w:rPr>
                      <w:color w:val="0000FF"/>
                    </w:rPr>
                  </w:pPr>
                  <w:r>
                    <w:rPr>
                      <w:color w:val="0000FF"/>
                    </w:rPr>
                    <w:t>-</w:t>
                  </w:r>
                </w:p>
              </w:tc>
              <w:tc>
                <w:tcPr>
                  <w:tcW w:w="569" w:type="dxa"/>
                  <w:tcBorders>
                    <w:top w:val="single" w:color="000000" w:sz="4" w:space="0"/>
                  </w:tcBorders>
                  <w:shd w:val="clear" w:color="auto" w:fill="auto"/>
                  <w:noWrap/>
                  <w:vAlign w:val="center"/>
                </w:tcPr>
                <w:p w14:paraId="4F70C194">
                  <w:pPr>
                    <w:pStyle w:val="48"/>
                    <w:rPr>
                      <w:color w:val="0000FF"/>
                    </w:rPr>
                  </w:pPr>
                  <w:r>
                    <w:rPr>
                      <w:color w:val="0000FF"/>
                    </w:rPr>
                    <w:t>2.14</w:t>
                  </w:r>
                </w:p>
              </w:tc>
              <w:tc>
                <w:tcPr>
                  <w:tcW w:w="567" w:type="dxa"/>
                  <w:tcBorders>
                    <w:top w:val="single" w:color="000000" w:sz="4" w:space="0"/>
                  </w:tcBorders>
                  <w:shd w:val="clear" w:color="auto" w:fill="auto"/>
                  <w:noWrap/>
                  <w:vAlign w:val="center"/>
                </w:tcPr>
                <w:p w14:paraId="33BF32EB">
                  <w:pPr>
                    <w:pStyle w:val="48"/>
                    <w:rPr>
                      <w:color w:val="0000FF"/>
                    </w:rPr>
                  </w:pPr>
                  <w:r>
                    <w:rPr>
                      <w:color w:val="0000FF"/>
                    </w:rPr>
                    <w:t>0.0002</w:t>
                  </w:r>
                </w:p>
              </w:tc>
              <w:tc>
                <w:tcPr>
                  <w:tcW w:w="567" w:type="dxa"/>
                  <w:tcBorders>
                    <w:top w:val="single" w:color="000000" w:sz="4" w:space="0"/>
                  </w:tcBorders>
                  <w:shd w:val="clear" w:color="auto" w:fill="auto"/>
                  <w:noWrap/>
                  <w:vAlign w:val="center"/>
                </w:tcPr>
                <w:p w14:paraId="49112747">
                  <w:pPr>
                    <w:pStyle w:val="48"/>
                    <w:rPr>
                      <w:color w:val="0000FF"/>
                    </w:rPr>
                  </w:pPr>
                  <w:r>
                    <w:rPr>
                      <w:color w:val="0000FF"/>
                    </w:rPr>
                    <w:t>-</w:t>
                  </w:r>
                </w:p>
              </w:tc>
              <w:tc>
                <w:tcPr>
                  <w:tcW w:w="711" w:type="dxa"/>
                  <w:tcBorders>
                    <w:top w:val="single" w:color="000000" w:sz="4" w:space="0"/>
                  </w:tcBorders>
                  <w:shd w:val="clear" w:color="auto" w:fill="auto"/>
                  <w:noWrap/>
                  <w:vAlign w:val="center"/>
                </w:tcPr>
                <w:p w14:paraId="321CBAB1">
                  <w:pPr>
                    <w:pStyle w:val="48"/>
                    <w:rPr>
                      <w:color w:val="0000FF"/>
                    </w:rPr>
                  </w:pPr>
                  <w:r>
                    <w:rPr>
                      <w:color w:val="0000FF"/>
                    </w:rPr>
                    <w:t>-</w:t>
                  </w:r>
                </w:p>
              </w:tc>
              <w:tc>
                <w:tcPr>
                  <w:tcW w:w="567" w:type="dxa"/>
                  <w:tcBorders>
                    <w:top w:val="single" w:color="000000" w:sz="4" w:space="0"/>
                  </w:tcBorders>
                  <w:shd w:val="clear" w:color="auto" w:fill="auto"/>
                  <w:noWrap/>
                  <w:vAlign w:val="center"/>
                </w:tcPr>
                <w:p w14:paraId="1332E15C">
                  <w:pPr>
                    <w:pStyle w:val="48"/>
                    <w:rPr>
                      <w:color w:val="0000FF"/>
                    </w:rPr>
                  </w:pPr>
                  <w:r>
                    <w:rPr>
                      <w:color w:val="0000FF"/>
                    </w:rPr>
                    <w:t>0.0047</w:t>
                  </w:r>
                </w:p>
              </w:tc>
              <w:tc>
                <w:tcPr>
                  <w:tcW w:w="699" w:type="dxa"/>
                  <w:tcBorders>
                    <w:top w:val="single" w:color="000000" w:sz="4" w:space="0"/>
                  </w:tcBorders>
                  <w:shd w:val="clear" w:color="auto" w:fill="auto"/>
                  <w:noWrap/>
                  <w:vAlign w:val="center"/>
                </w:tcPr>
                <w:p w14:paraId="21FC3DB9">
                  <w:pPr>
                    <w:pStyle w:val="48"/>
                    <w:rPr>
                      <w:color w:val="0000FF"/>
                    </w:rPr>
                  </w:pPr>
                  <w:r>
                    <w:rPr>
                      <w:color w:val="0000FF"/>
                    </w:rPr>
                    <w:t>-</w:t>
                  </w:r>
                </w:p>
              </w:tc>
              <w:tc>
                <w:tcPr>
                  <w:tcW w:w="479" w:type="dxa"/>
                  <w:tcBorders>
                    <w:top w:val="single" w:color="000000" w:sz="4" w:space="0"/>
                  </w:tcBorders>
                  <w:shd w:val="clear" w:color="auto" w:fill="auto"/>
                  <w:vAlign w:val="center"/>
                </w:tcPr>
                <w:p w14:paraId="64D897A1">
                  <w:pPr>
                    <w:pStyle w:val="48"/>
                    <w:rPr>
                      <w:color w:val="0000FF"/>
                    </w:rPr>
                  </w:pPr>
                  <w:r>
                    <w:rPr>
                      <w:color w:val="0000FF"/>
                    </w:rPr>
                    <w:t>-</w:t>
                  </w:r>
                </w:p>
              </w:tc>
            </w:tr>
          </w:tbl>
          <w:p w14:paraId="361C076F">
            <w:pPr>
              <w:pStyle w:val="65"/>
              <w:spacing w:before="156"/>
              <w:ind w:firstLine="480"/>
              <w:rPr>
                <w:rFonts w:eastAsiaTheme="minorEastAsia"/>
                <w:b/>
                <w:color w:val="0000FF"/>
              </w:rPr>
            </w:pPr>
            <w:r>
              <w:rPr>
                <w:rFonts w:eastAsiaTheme="minorEastAsia"/>
                <w:bCs/>
                <w:color w:val="0000FF"/>
              </w:rPr>
              <w:t>由上表可知，本项目产品满足</w:t>
            </w:r>
            <w:r>
              <w:rPr>
                <w:rFonts w:eastAsiaTheme="minorEastAsia"/>
                <w:color w:val="0000FF"/>
              </w:rPr>
              <w:t>《冶金用锰矿石》（YB/T 319-2015）中A类指标中最低品级AMn26中III类标准要求。</w:t>
            </w:r>
          </w:p>
          <w:p w14:paraId="6C56054A">
            <w:pPr>
              <w:pStyle w:val="65"/>
              <w:ind w:firstLine="482"/>
              <w:rPr>
                <w:rFonts w:eastAsiaTheme="minorEastAsia"/>
                <w:b/>
                <w:bCs/>
                <w:color w:val="0000FF"/>
              </w:rPr>
            </w:pPr>
            <w:r>
              <w:rPr>
                <w:rFonts w:eastAsiaTheme="minorEastAsia"/>
                <w:b/>
                <w:bCs/>
                <w:color w:val="0000FF"/>
              </w:rPr>
              <w:t>（3）产品含水率</w:t>
            </w:r>
          </w:p>
          <w:p w14:paraId="3B15CB2A">
            <w:pPr>
              <w:pStyle w:val="65"/>
              <w:ind w:firstLine="480"/>
              <w:rPr>
                <w:rFonts w:eastAsiaTheme="minorEastAsia"/>
                <w:color w:val="0000FF"/>
              </w:rPr>
            </w:pPr>
            <w:r>
              <w:rPr>
                <w:rFonts w:eastAsiaTheme="minorEastAsia"/>
                <w:color w:val="0000FF"/>
              </w:rPr>
              <w:t>根据水平衡结果，45000t产品热造块含水1187.1909t，含水率为2.63%。</w:t>
            </w:r>
          </w:p>
          <w:p w14:paraId="4E1FD7A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（4）产品去向</w:t>
            </w:r>
          </w:p>
          <w:p w14:paraId="36A13A39">
            <w:pPr>
              <w:pStyle w:val="13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表2-8项目产品去向一览表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00"/>
              <w:gridCol w:w="1440"/>
              <w:gridCol w:w="1440"/>
              <w:gridCol w:w="899"/>
              <w:gridCol w:w="2448"/>
              <w:gridCol w:w="899"/>
            </w:tblGrid>
            <w:tr w14:paraId="0FCABC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Align w:val="center"/>
                </w:tcPr>
                <w:p w14:paraId="62436FA7">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序号</w:t>
                  </w:r>
                </w:p>
              </w:tc>
              <w:tc>
                <w:tcPr>
                  <w:tcW w:w="900" w:type="dxa"/>
                  <w:vAlign w:val="center"/>
                </w:tcPr>
                <w:p w14:paraId="501F366E">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产品名称</w:t>
                  </w:r>
                </w:p>
              </w:tc>
              <w:tc>
                <w:tcPr>
                  <w:tcW w:w="1440" w:type="dxa"/>
                  <w:vAlign w:val="center"/>
                </w:tcPr>
                <w:p w14:paraId="5877EEDB">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规格</w:t>
                  </w:r>
                </w:p>
              </w:tc>
              <w:tc>
                <w:tcPr>
                  <w:tcW w:w="1440" w:type="dxa"/>
                  <w:vAlign w:val="center"/>
                </w:tcPr>
                <w:p w14:paraId="0C1319AF">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产品量t/年</w:t>
                  </w:r>
                </w:p>
              </w:tc>
              <w:tc>
                <w:tcPr>
                  <w:tcW w:w="899" w:type="dxa"/>
                  <w:vAlign w:val="center"/>
                </w:tcPr>
                <w:p w14:paraId="53CD050C">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包装</w:t>
                  </w:r>
                </w:p>
                <w:p w14:paraId="7B477938">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方式</w:t>
                  </w:r>
                </w:p>
              </w:tc>
              <w:tc>
                <w:tcPr>
                  <w:tcW w:w="2448" w:type="dxa"/>
                  <w:vAlign w:val="center"/>
                </w:tcPr>
                <w:p w14:paraId="00024DB6">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产品去向</w:t>
                  </w:r>
                </w:p>
              </w:tc>
              <w:tc>
                <w:tcPr>
                  <w:tcW w:w="899" w:type="dxa"/>
                  <w:vAlign w:val="center"/>
                </w:tcPr>
                <w:p w14:paraId="736BF609">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外运方式</w:t>
                  </w:r>
                </w:p>
              </w:tc>
            </w:tr>
            <w:tr w14:paraId="59E10AD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Align w:val="center"/>
                </w:tcPr>
                <w:p w14:paraId="6FBF531F">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900" w:type="dxa"/>
                  <w:vMerge w:val="restart"/>
                  <w:vAlign w:val="center"/>
                </w:tcPr>
                <w:p w14:paraId="19E4C9D8">
                  <w:pPr>
                    <w:pStyle w:val="137"/>
                    <w:jc w:val="both"/>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热造块</w:t>
                  </w:r>
                </w:p>
              </w:tc>
              <w:tc>
                <w:tcPr>
                  <w:tcW w:w="1440" w:type="dxa"/>
                  <w:vMerge w:val="restart"/>
                  <w:vAlign w:val="center"/>
                </w:tcPr>
                <w:p w14:paraId="7920276D">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球块（50mm以下）</w:t>
                  </w:r>
                </w:p>
              </w:tc>
              <w:tc>
                <w:tcPr>
                  <w:tcW w:w="1440" w:type="dxa"/>
                  <w:vAlign w:val="center"/>
                </w:tcPr>
                <w:p w14:paraId="61957722">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25000</w:t>
                  </w:r>
                </w:p>
              </w:tc>
              <w:tc>
                <w:tcPr>
                  <w:tcW w:w="899" w:type="dxa"/>
                  <w:vAlign w:val="center"/>
                </w:tcPr>
                <w:p w14:paraId="3E083AFA">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散装</w:t>
                  </w:r>
                </w:p>
              </w:tc>
              <w:tc>
                <w:tcPr>
                  <w:tcW w:w="2448" w:type="dxa"/>
                </w:tcPr>
                <w:p w14:paraId="5CCB6AAD">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朝阳县瓦房子镇宏兴锰矿</w:t>
                  </w:r>
                </w:p>
              </w:tc>
              <w:tc>
                <w:tcPr>
                  <w:tcW w:w="899" w:type="dxa"/>
                  <w:vAlign w:val="center"/>
                </w:tcPr>
                <w:p w14:paraId="02C8513C">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汽运</w:t>
                  </w:r>
                </w:p>
              </w:tc>
            </w:tr>
            <w:tr w14:paraId="5A68B01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Align w:val="center"/>
                </w:tcPr>
                <w:p w14:paraId="296AB69A">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900" w:type="dxa"/>
                  <w:vMerge w:val="continue"/>
                  <w:vAlign w:val="center"/>
                </w:tcPr>
                <w:p w14:paraId="7DEBF527">
                  <w:pPr>
                    <w:widowControl/>
                    <w:jc w:val="left"/>
                    <w:rPr>
                      <w:rFonts w:eastAsiaTheme="minorEastAsia"/>
                      <w:color w:val="000000" w:themeColor="text1"/>
                      <w:kern w:val="0"/>
                      <w:szCs w:val="21"/>
                      <w14:textFill>
                        <w14:solidFill>
                          <w14:schemeClr w14:val="tx1"/>
                        </w14:solidFill>
                      </w14:textFill>
                    </w:rPr>
                  </w:pPr>
                </w:p>
              </w:tc>
              <w:tc>
                <w:tcPr>
                  <w:tcW w:w="1440" w:type="dxa"/>
                  <w:vMerge w:val="continue"/>
                  <w:vAlign w:val="center"/>
                </w:tcPr>
                <w:p w14:paraId="6028D6BF">
                  <w:pPr>
                    <w:widowControl/>
                    <w:jc w:val="left"/>
                    <w:rPr>
                      <w:rFonts w:eastAsiaTheme="minorEastAsia"/>
                      <w:color w:val="000000" w:themeColor="text1"/>
                      <w:kern w:val="0"/>
                      <w:szCs w:val="21"/>
                      <w14:textFill>
                        <w14:solidFill>
                          <w14:schemeClr w14:val="tx1"/>
                        </w14:solidFill>
                      </w14:textFill>
                    </w:rPr>
                  </w:pPr>
                </w:p>
              </w:tc>
              <w:tc>
                <w:tcPr>
                  <w:tcW w:w="1440" w:type="dxa"/>
                  <w:vAlign w:val="center"/>
                </w:tcPr>
                <w:p w14:paraId="19C347B6">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10000</w:t>
                  </w:r>
                </w:p>
              </w:tc>
              <w:tc>
                <w:tcPr>
                  <w:tcW w:w="899" w:type="dxa"/>
                  <w:vAlign w:val="center"/>
                </w:tcPr>
                <w:p w14:paraId="73A2E14A">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散装</w:t>
                  </w:r>
                </w:p>
              </w:tc>
              <w:tc>
                <w:tcPr>
                  <w:tcW w:w="2448" w:type="dxa"/>
                </w:tcPr>
                <w:p w14:paraId="4AA9BB5C">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葫芦岛市八家子经济开发区安胜矿产品综合利用有限公司</w:t>
                  </w:r>
                </w:p>
              </w:tc>
              <w:tc>
                <w:tcPr>
                  <w:tcW w:w="899" w:type="dxa"/>
                  <w:vAlign w:val="center"/>
                </w:tcPr>
                <w:p w14:paraId="6C858C6A">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汽运</w:t>
                  </w:r>
                </w:p>
              </w:tc>
            </w:tr>
            <w:tr w14:paraId="0AC4977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Align w:val="center"/>
                </w:tcPr>
                <w:p w14:paraId="7D389701">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900" w:type="dxa"/>
                  <w:vMerge w:val="continue"/>
                  <w:vAlign w:val="center"/>
                </w:tcPr>
                <w:p w14:paraId="7F05FF17">
                  <w:pPr>
                    <w:widowControl/>
                    <w:jc w:val="left"/>
                    <w:rPr>
                      <w:rFonts w:eastAsiaTheme="minorEastAsia"/>
                      <w:color w:val="000000" w:themeColor="text1"/>
                      <w:kern w:val="0"/>
                      <w:szCs w:val="21"/>
                      <w14:textFill>
                        <w14:solidFill>
                          <w14:schemeClr w14:val="tx1"/>
                        </w14:solidFill>
                      </w14:textFill>
                    </w:rPr>
                  </w:pPr>
                </w:p>
              </w:tc>
              <w:tc>
                <w:tcPr>
                  <w:tcW w:w="1440" w:type="dxa"/>
                  <w:vMerge w:val="continue"/>
                  <w:vAlign w:val="center"/>
                </w:tcPr>
                <w:p w14:paraId="24180DC4">
                  <w:pPr>
                    <w:widowControl/>
                    <w:jc w:val="left"/>
                    <w:rPr>
                      <w:rFonts w:eastAsiaTheme="minorEastAsia"/>
                      <w:color w:val="000000" w:themeColor="text1"/>
                      <w:kern w:val="0"/>
                      <w:szCs w:val="21"/>
                      <w14:textFill>
                        <w14:solidFill>
                          <w14:schemeClr w14:val="tx1"/>
                        </w14:solidFill>
                      </w14:textFill>
                    </w:rPr>
                  </w:pPr>
                </w:p>
              </w:tc>
              <w:tc>
                <w:tcPr>
                  <w:tcW w:w="1440" w:type="dxa"/>
                  <w:vAlign w:val="center"/>
                </w:tcPr>
                <w:p w14:paraId="49D4EE25">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10000</w:t>
                  </w:r>
                </w:p>
              </w:tc>
              <w:tc>
                <w:tcPr>
                  <w:tcW w:w="899" w:type="dxa"/>
                  <w:vAlign w:val="center"/>
                </w:tcPr>
                <w:p w14:paraId="08C0E866">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散装</w:t>
                  </w:r>
                </w:p>
              </w:tc>
              <w:tc>
                <w:tcPr>
                  <w:tcW w:w="2448" w:type="dxa"/>
                </w:tcPr>
                <w:p w14:paraId="6BA03432">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辽宁鑫方成新材料有限公司</w:t>
                  </w:r>
                </w:p>
              </w:tc>
              <w:tc>
                <w:tcPr>
                  <w:tcW w:w="899" w:type="dxa"/>
                  <w:vAlign w:val="center"/>
                </w:tcPr>
                <w:p w14:paraId="7BFF4345">
                  <w:pPr>
                    <w:pStyle w:val="137"/>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汽运</w:t>
                  </w:r>
                </w:p>
              </w:tc>
            </w:tr>
          </w:tbl>
          <w:p w14:paraId="32F4862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4、主要生产设备</w:t>
            </w:r>
          </w:p>
          <w:p w14:paraId="69CA732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本项目工程生产设备见表2-9。</w:t>
            </w:r>
          </w:p>
          <w:p w14:paraId="16B0B733">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表2-9项目主要生产设备一览表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186"/>
              <w:gridCol w:w="992"/>
              <w:gridCol w:w="788"/>
              <w:gridCol w:w="913"/>
              <w:gridCol w:w="1276"/>
              <w:gridCol w:w="1276"/>
              <w:gridCol w:w="1644"/>
            </w:tblGrid>
            <w:tr w14:paraId="219FF72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1470E810">
                  <w:pPr>
                    <w:pStyle w:val="48"/>
                  </w:pPr>
                  <w:r>
                    <w:t>序号</w:t>
                  </w:r>
                </w:p>
              </w:tc>
              <w:tc>
                <w:tcPr>
                  <w:tcW w:w="1186" w:type="dxa"/>
                  <w:vAlign w:val="center"/>
                </w:tcPr>
                <w:p w14:paraId="4A835AB2">
                  <w:pPr>
                    <w:pStyle w:val="48"/>
                  </w:pPr>
                  <w:r>
                    <w:t>设备名称</w:t>
                  </w:r>
                </w:p>
              </w:tc>
              <w:tc>
                <w:tcPr>
                  <w:tcW w:w="992" w:type="dxa"/>
                  <w:vAlign w:val="center"/>
                </w:tcPr>
                <w:p w14:paraId="2C3B30F0">
                  <w:pPr>
                    <w:pStyle w:val="48"/>
                  </w:pPr>
                  <w:r>
                    <w:t>设备型号</w:t>
                  </w:r>
                </w:p>
              </w:tc>
              <w:tc>
                <w:tcPr>
                  <w:tcW w:w="788" w:type="dxa"/>
                  <w:vAlign w:val="center"/>
                </w:tcPr>
                <w:p w14:paraId="75D12B98">
                  <w:pPr>
                    <w:pStyle w:val="48"/>
                  </w:pPr>
                  <w:r>
                    <w:t>单位</w:t>
                  </w:r>
                </w:p>
              </w:tc>
              <w:tc>
                <w:tcPr>
                  <w:tcW w:w="913" w:type="dxa"/>
                  <w:vAlign w:val="center"/>
                </w:tcPr>
                <w:p w14:paraId="74826033">
                  <w:pPr>
                    <w:pStyle w:val="48"/>
                  </w:pPr>
                  <w:r>
                    <w:t>数量</w:t>
                  </w:r>
                </w:p>
              </w:tc>
              <w:tc>
                <w:tcPr>
                  <w:tcW w:w="1276" w:type="dxa"/>
                  <w:vAlign w:val="center"/>
                </w:tcPr>
                <w:p w14:paraId="48B179A4">
                  <w:pPr>
                    <w:pStyle w:val="48"/>
                  </w:pPr>
                  <w:r>
                    <w:t>年运行时间（h）</w:t>
                  </w:r>
                </w:p>
              </w:tc>
              <w:tc>
                <w:tcPr>
                  <w:tcW w:w="1276" w:type="dxa"/>
                  <w:vAlign w:val="center"/>
                </w:tcPr>
                <w:p w14:paraId="5B945ED2">
                  <w:pPr>
                    <w:pStyle w:val="48"/>
                  </w:pPr>
                  <w:r>
                    <w:t>单台设备处理能力t/h</w:t>
                  </w:r>
                </w:p>
              </w:tc>
              <w:tc>
                <w:tcPr>
                  <w:tcW w:w="1644" w:type="dxa"/>
                  <w:vAlign w:val="center"/>
                </w:tcPr>
                <w:p w14:paraId="66067AC0">
                  <w:pPr>
                    <w:pStyle w:val="48"/>
                  </w:pPr>
                  <w:r>
                    <w:t>备注</w:t>
                  </w:r>
                </w:p>
              </w:tc>
            </w:tr>
            <w:tr w14:paraId="0E35787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10D8B5F6">
                  <w:pPr>
                    <w:pStyle w:val="48"/>
                  </w:pPr>
                  <w:r>
                    <w:t>1</w:t>
                  </w:r>
                </w:p>
              </w:tc>
              <w:tc>
                <w:tcPr>
                  <w:tcW w:w="1186" w:type="dxa"/>
                  <w:vAlign w:val="center"/>
                </w:tcPr>
                <w:p w14:paraId="64C95357">
                  <w:pPr>
                    <w:pStyle w:val="48"/>
                  </w:pPr>
                  <w:r>
                    <w:t>给料仓</w:t>
                  </w:r>
                </w:p>
              </w:tc>
              <w:tc>
                <w:tcPr>
                  <w:tcW w:w="992" w:type="dxa"/>
                  <w:vAlign w:val="center"/>
                </w:tcPr>
                <w:p w14:paraId="1A8F1A8F">
                  <w:pPr>
                    <w:pStyle w:val="48"/>
                  </w:pPr>
                  <w:r>
                    <w:t>3.5kW</w:t>
                  </w:r>
                </w:p>
              </w:tc>
              <w:tc>
                <w:tcPr>
                  <w:tcW w:w="788" w:type="dxa"/>
                  <w:vAlign w:val="center"/>
                </w:tcPr>
                <w:p w14:paraId="7EFA8D47">
                  <w:pPr>
                    <w:pStyle w:val="48"/>
                  </w:pPr>
                  <w:r>
                    <w:t>台</w:t>
                  </w:r>
                </w:p>
              </w:tc>
              <w:tc>
                <w:tcPr>
                  <w:tcW w:w="913" w:type="dxa"/>
                  <w:vAlign w:val="center"/>
                </w:tcPr>
                <w:p w14:paraId="6D0AD8DF">
                  <w:pPr>
                    <w:pStyle w:val="48"/>
                  </w:pPr>
                  <w:r>
                    <w:t>1</w:t>
                  </w:r>
                </w:p>
              </w:tc>
              <w:tc>
                <w:tcPr>
                  <w:tcW w:w="1276" w:type="dxa"/>
                  <w:vAlign w:val="center"/>
                </w:tcPr>
                <w:p w14:paraId="542EDB6C">
                  <w:pPr>
                    <w:pStyle w:val="48"/>
                  </w:pPr>
                  <w:r>
                    <w:t>2880</w:t>
                  </w:r>
                </w:p>
              </w:tc>
              <w:tc>
                <w:tcPr>
                  <w:tcW w:w="1276" w:type="dxa"/>
                  <w:vAlign w:val="center"/>
                </w:tcPr>
                <w:p w14:paraId="24A4942E">
                  <w:pPr>
                    <w:pStyle w:val="48"/>
                  </w:pPr>
                  <w:r>
                    <w:t>20</w:t>
                  </w:r>
                </w:p>
              </w:tc>
              <w:tc>
                <w:tcPr>
                  <w:tcW w:w="1644" w:type="dxa"/>
                  <w:vAlign w:val="center"/>
                </w:tcPr>
                <w:p w14:paraId="58D5694C">
                  <w:pPr>
                    <w:pStyle w:val="48"/>
                  </w:pPr>
                  <w:r>
                    <w:t>-</w:t>
                  </w:r>
                </w:p>
              </w:tc>
            </w:tr>
            <w:tr w14:paraId="1987EC7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345BC16E">
                  <w:pPr>
                    <w:pStyle w:val="48"/>
                  </w:pPr>
                  <w:r>
                    <w:t>2</w:t>
                  </w:r>
                </w:p>
              </w:tc>
              <w:tc>
                <w:tcPr>
                  <w:tcW w:w="1186" w:type="dxa"/>
                  <w:vAlign w:val="center"/>
                </w:tcPr>
                <w:p w14:paraId="3F185C06">
                  <w:pPr>
                    <w:pStyle w:val="48"/>
                  </w:pPr>
                  <w:r>
                    <w:t>皮带输送机</w:t>
                  </w:r>
                </w:p>
              </w:tc>
              <w:tc>
                <w:tcPr>
                  <w:tcW w:w="992" w:type="dxa"/>
                  <w:vAlign w:val="center"/>
                </w:tcPr>
                <w:p w14:paraId="248F1B76">
                  <w:pPr>
                    <w:pStyle w:val="48"/>
                  </w:pPr>
                  <w:r>
                    <w:t>-</w:t>
                  </w:r>
                </w:p>
              </w:tc>
              <w:tc>
                <w:tcPr>
                  <w:tcW w:w="788" w:type="dxa"/>
                  <w:vAlign w:val="center"/>
                </w:tcPr>
                <w:p w14:paraId="211D4A12">
                  <w:pPr>
                    <w:pStyle w:val="48"/>
                  </w:pPr>
                  <w:r>
                    <w:t>台</w:t>
                  </w:r>
                </w:p>
              </w:tc>
              <w:tc>
                <w:tcPr>
                  <w:tcW w:w="913" w:type="dxa"/>
                  <w:vAlign w:val="center"/>
                </w:tcPr>
                <w:p w14:paraId="7BAF63F6">
                  <w:pPr>
                    <w:pStyle w:val="48"/>
                  </w:pPr>
                  <w:r>
                    <w:t>2</w:t>
                  </w:r>
                </w:p>
              </w:tc>
              <w:tc>
                <w:tcPr>
                  <w:tcW w:w="1276" w:type="dxa"/>
                  <w:vAlign w:val="center"/>
                </w:tcPr>
                <w:p w14:paraId="129AC2E4">
                  <w:pPr>
                    <w:pStyle w:val="48"/>
                  </w:pPr>
                  <w:r>
                    <w:t>2880</w:t>
                  </w:r>
                </w:p>
              </w:tc>
              <w:tc>
                <w:tcPr>
                  <w:tcW w:w="1276" w:type="dxa"/>
                  <w:vAlign w:val="center"/>
                </w:tcPr>
                <w:p w14:paraId="5633554E">
                  <w:pPr>
                    <w:pStyle w:val="48"/>
                  </w:pPr>
                  <w:r>
                    <w:t>20</w:t>
                  </w:r>
                </w:p>
              </w:tc>
              <w:tc>
                <w:tcPr>
                  <w:tcW w:w="1644" w:type="dxa"/>
                  <w:vAlign w:val="center"/>
                </w:tcPr>
                <w:p w14:paraId="0A5C7F2F">
                  <w:pPr>
                    <w:pStyle w:val="48"/>
                  </w:pPr>
                  <w:r>
                    <w:t>-</w:t>
                  </w:r>
                </w:p>
              </w:tc>
            </w:tr>
            <w:tr w14:paraId="068CCBF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0E885D04">
                  <w:pPr>
                    <w:pStyle w:val="48"/>
                  </w:pPr>
                  <w:r>
                    <w:t>3</w:t>
                  </w:r>
                </w:p>
              </w:tc>
              <w:tc>
                <w:tcPr>
                  <w:tcW w:w="1186" w:type="dxa"/>
                  <w:vAlign w:val="center"/>
                </w:tcPr>
                <w:p w14:paraId="2065219F">
                  <w:pPr>
                    <w:pStyle w:val="48"/>
                  </w:pPr>
                  <w:r>
                    <w:t>混料机</w:t>
                  </w:r>
                </w:p>
              </w:tc>
              <w:tc>
                <w:tcPr>
                  <w:tcW w:w="992" w:type="dxa"/>
                  <w:vAlign w:val="center"/>
                </w:tcPr>
                <w:p w14:paraId="62C788F5">
                  <w:pPr>
                    <w:pStyle w:val="48"/>
                  </w:pPr>
                  <w:r>
                    <w:t>GH-100L</w:t>
                  </w:r>
                </w:p>
              </w:tc>
              <w:tc>
                <w:tcPr>
                  <w:tcW w:w="788" w:type="dxa"/>
                  <w:vAlign w:val="center"/>
                </w:tcPr>
                <w:p w14:paraId="1BDE01B0">
                  <w:pPr>
                    <w:pStyle w:val="48"/>
                  </w:pPr>
                  <w:r>
                    <w:t>台</w:t>
                  </w:r>
                </w:p>
              </w:tc>
              <w:tc>
                <w:tcPr>
                  <w:tcW w:w="913" w:type="dxa"/>
                  <w:vAlign w:val="center"/>
                </w:tcPr>
                <w:p w14:paraId="2EF378E2">
                  <w:pPr>
                    <w:pStyle w:val="48"/>
                  </w:pPr>
                  <w:r>
                    <w:t>2</w:t>
                  </w:r>
                </w:p>
              </w:tc>
              <w:tc>
                <w:tcPr>
                  <w:tcW w:w="1276" w:type="dxa"/>
                  <w:vAlign w:val="center"/>
                </w:tcPr>
                <w:p w14:paraId="4D713591">
                  <w:pPr>
                    <w:pStyle w:val="48"/>
                  </w:pPr>
                  <w:r>
                    <w:t>2880</w:t>
                  </w:r>
                </w:p>
              </w:tc>
              <w:tc>
                <w:tcPr>
                  <w:tcW w:w="1276" w:type="dxa"/>
                  <w:vAlign w:val="center"/>
                </w:tcPr>
                <w:p w14:paraId="0B20CFC0">
                  <w:pPr>
                    <w:pStyle w:val="48"/>
                  </w:pPr>
                  <w:r>
                    <w:t>20</w:t>
                  </w:r>
                </w:p>
              </w:tc>
              <w:tc>
                <w:tcPr>
                  <w:tcW w:w="1644" w:type="dxa"/>
                  <w:vAlign w:val="center"/>
                </w:tcPr>
                <w:p w14:paraId="04CEA496">
                  <w:pPr>
                    <w:pStyle w:val="48"/>
                  </w:pPr>
                  <w:r>
                    <w:t>-</w:t>
                  </w:r>
                </w:p>
              </w:tc>
            </w:tr>
            <w:tr w14:paraId="1CDD860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62786790">
                  <w:pPr>
                    <w:pStyle w:val="48"/>
                  </w:pPr>
                  <w:r>
                    <w:t>4</w:t>
                  </w:r>
                </w:p>
              </w:tc>
              <w:tc>
                <w:tcPr>
                  <w:tcW w:w="1186" w:type="dxa"/>
                  <w:vAlign w:val="center"/>
                </w:tcPr>
                <w:p w14:paraId="4029F40D">
                  <w:pPr>
                    <w:pStyle w:val="48"/>
                  </w:pPr>
                  <w:r>
                    <w:t>造球机</w:t>
                  </w:r>
                </w:p>
              </w:tc>
              <w:tc>
                <w:tcPr>
                  <w:tcW w:w="992" w:type="dxa"/>
                  <w:vAlign w:val="center"/>
                </w:tcPr>
                <w:p w14:paraId="2484706A">
                  <w:pPr>
                    <w:pStyle w:val="48"/>
                  </w:pPr>
                  <w:r>
                    <w:t>-</w:t>
                  </w:r>
                </w:p>
              </w:tc>
              <w:tc>
                <w:tcPr>
                  <w:tcW w:w="788" w:type="dxa"/>
                  <w:vAlign w:val="center"/>
                </w:tcPr>
                <w:p w14:paraId="07D9563F">
                  <w:pPr>
                    <w:pStyle w:val="48"/>
                  </w:pPr>
                  <w:r>
                    <w:t>台</w:t>
                  </w:r>
                </w:p>
              </w:tc>
              <w:tc>
                <w:tcPr>
                  <w:tcW w:w="913" w:type="dxa"/>
                  <w:vAlign w:val="center"/>
                </w:tcPr>
                <w:p w14:paraId="37CE6A28">
                  <w:pPr>
                    <w:pStyle w:val="48"/>
                  </w:pPr>
                  <w:r>
                    <w:t>1</w:t>
                  </w:r>
                </w:p>
              </w:tc>
              <w:tc>
                <w:tcPr>
                  <w:tcW w:w="1276" w:type="dxa"/>
                  <w:vAlign w:val="center"/>
                </w:tcPr>
                <w:p w14:paraId="04CB4E03">
                  <w:pPr>
                    <w:pStyle w:val="48"/>
                  </w:pPr>
                  <w:r>
                    <w:t>2880</w:t>
                  </w:r>
                </w:p>
              </w:tc>
              <w:tc>
                <w:tcPr>
                  <w:tcW w:w="1276" w:type="dxa"/>
                  <w:vAlign w:val="center"/>
                </w:tcPr>
                <w:p w14:paraId="067C7587">
                  <w:pPr>
                    <w:pStyle w:val="48"/>
                  </w:pPr>
                  <w:r>
                    <w:t>20</w:t>
                  </w:r>
                </w:p>
              </w:tc>
              <w:tc>
                <w:tcPr>
                  <w:tcW w:w="1644" w:type="dxa"/>
                  <w:vAlign w:val="center"/>
                </w:tcPr>
                <w:p w14:paraId="6FB56480">
                  <w:pPr>
                    <w:pStyle w:val="48"/>
                  </w:pPr>
                  <w:r>
                    <w:t>-</w:t>
                  </w:r>
                </w:p>
              </w:tc>
            </w:tr>
            <w:tr w14:paraId="3CEB919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796A7F72">
                  <w:pPr>
                    <w:pStyle w:val="48"/>
                  </w:pPr>
                  <w:r>
                    <w:t>5</w:t>
                  </w:r>
                </w:p>
              </w:tc>
              <w:tc>
                <w:tcPr>
                  <w:tcW w:w="1186" w:type="dxa"/>
                  <w:vAlign w:val="center"/>
                </w:tcPr>
                <w:p w14:paraId="05A82344">
                  <w:pPr>
                    <w:pStyle w:val="48"/>
                  </w:pPr>
                  <w:r>
                    <w:t>温控烘干炉</w:t>
                  </w:r>
                </w:p>
              </w:tc>
              <w:tc>
                <w:tcPr>
                  <w:tcW w:w="992" w:type="dxa"/>
                  <w:vAlign w:val="center"/>
                </w:tcPr>
                <w:p w14:paraId="1E5D9C15">
                  <w:pPr>
                    <w:pStyle w:val="48"/>
                  </w:pPr>
                  <w:r>
                    <w:t>0.8t</w:t>
                  </w:r>
                </w:p>
              </w:tc>
              <w:tc>
                <w:tcPr>
                  <w:tcW w:w="788" w:type="dxa"/>
                  <w:vAlign w:val="center"/>
                </w:tcPr>
                <w:p w14:paraId="083983D6">
                  <w:pPr>
                    <w:pStyle w:val="48"/>
                  </w:pPr>
                  <w:r>
                    <w:t>台</w:t>
                  </w:r>
                </w:p>
              </w:tc>
              <w:tc>
                <w:tcPr>
                  <w:tcW w:w="913" w:type="dxa"/>
                  <w:vAlign w:val="center"/>
                </w:tcPr>
                <w:p w14:paraId="218350AE">
                  <w:pPr>
                    <w:pStyle w:val="48"/>
                  </w:pPr>
                  <w:r>
                    <w:t>1</w:t>
                  </w:r>
                </w:p>
              </w:tc>
              <w:tc>
                <w:tcPr>
                  <w:tcW w:w="1276" w:type="dxa"/>
                  <w:vAlign w:val="center"/>
                </w:tcPr>
                <w:p w14:paraId="45BAF5EF">
                  <w:pPr>
                    <w:pStyle w:val="48"/>
                  </w:pPr>
                  <w:r>
                    <w:t>2880</w:t>
                  </w:r>
                </w:p>
              </w:tc>
              <w:tc>
                <w:tcPr>
                  <w:tcW w:w="1276" w:type="dxa"/>
                  <w:vAlign w:val="center"/>
                </w:tcPr>
                <w:p w14:paraId="307999AF">
                  <w:pPr>
                    <w:pStyle w:val="48"/>
                  </w:pPr>
                </w:p>
              </w:tc>
              <w:tc>
                <w:tcPr>
                  <w:tcW w:w="1644" w:type="dxa"/>
                  <w:vAlign w:val="center"/>
                </w:tcPr>
                <w:p w14:paraId="44098978">
                  <w:pPr>
                    <w:pStyle w:val="48"/>
                  </w:pPr>
                  <w:r>
                    <w:t>-</w:t>
                  </w:r>
                </w:p>
              </w:tc>
            </w:tr>
            <w:tr w14:paraId="768F733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343D3542">
                  <w:pPr>
                    <w:pStyle w:val="48"/>
                  </w:pPr>
                  <w:r>
                    <w:t>6</w:t>
                  </w:r>
                </w:p>
              </w:tc>
              <w:tc>
                <w:tcPr>
                  <w:tcW w:w="1186" w:type="dxa"/>
                  <w:vAlign w:val="center"/>
                </w:tcPr>
                <w:p w14:paraId="2B30F1EE">
                  <w:pPr>
                    <w:pStyle w:val="48"/>
                  </w:pPr>
                  <w:r>
                    <w:t>袋式除尘器</w:t>
                  </w:r>
                </w:p>
              </w:tc>
              <w:tc>
                <w:tcPr>
                  <w:tcW w:w="992" w:type="dxa"/>
                  <w:vAlign w:val="center"/>
                </w:tcPr>
                <w:p w14:paraId="0FBDFFD8">
                  <w:pPr>
                    <w:pStyle w:val="48"/>
                  </w:pPr>
                  <w:r>
                    <w:t>DMF-5-48</w:t>
                  </w:r>
                </w:p>
              </w:tc>
              <w:tc>
                <w:tcPr>
                  <w:tcW w:w="788" w:type="dxa"/>
                  <w:vAlign w:val="center"/>
                </w:tcPr>
                <w:p w14:paraId="070CC6C8">
                  <w:pPr>
                    <w:pStyle w:val="48"/>
                  </w:pPr>
                  <w:r>
                    <w:t>台</w:t>
                  </w:r>
                </w:p>
              </w:tc>
              <w:tc>
                <w:tcPr>
                  <w:tcW w:w="913" w:type="dxa"/>
                  <w:vAlign w:val="center"/>
                </w:tcPr>
                <w:p w14:paraId="10329ACF">
                  <w:pPr>
                    <w:pStyle w:val="48"/>
                  </w:pPr>
                  <w:r>
                    <w:t>2</w:t>
                  </w:r>
                </w:p>
              </w:tc>
              <w:tc>
                <w:tcPr>
                  <w:tcW w:w="1276" w:type="dxa"/>
                  <w:vAlign w:val="center"/>
                </w:tcPr>
                <w:p w14:paraId="0069BADD">
                  <w:pPr>
                    <w:pStyle w:val="48"/>
                  </w:pPr>
                  <w:r>
                    <w:t>2880</w:t>
                  </w:r>
                </w:p>
              </w:tc>
              <w:tc>
                <w:tcPr>
                  <w:tcW w:w="1276" w:type="dxa"/>
                  <w:vAlign w:val="center"/>
                </w:tcPr>
                <w:p w14:paraId="73326495">
                  <w:pPr>
                    <w:pStyle w:val="48"/>
                  </w:pPr>
                  <w:r>
                    <w:t>-</w:t>
                  </w:r>
                </w:p>
              </w:tc>
              <w:tc>
                <w:tcPr>
                  <w:tcW w:w="1644" w:type="dxa"/>
                  <w:vAlign w:val="center"/>
                </w:tcPr>
                <w:p w14:paraId="6F49A017">
                  <w:pPr>
                    <w:pStyle w:val="48"/>
                  </w:pPr>
                  <w:r>
                    <w:t>-</w:t>
                  </w:r>
                </w:p>
              </w:tc>
            </w:tr>
            <w:tr w14:paraId="2760F81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425" w:hRule="atLeast"/>
                <w:jc w:val="center"/>
              </w:trPr>
              <w:tc>
                <w:tcPr>
                  <w:tcW w:w="611" w:type="dxa"/>
                  <w:vAlign w:val="center"/>
                </w:tcPr>
                <w:p w14:paraId="7844BFC0">
                  <w:pPr>
                    <w:pStyle w:val="48"/>
                  </w:pPr>
                  <w:r>
                    <w:t>7</w:t>
                  </w:r>
                </w:p>
              </w:tc>
              <w:tc>
                <w:tcPr>
                  <w:tcW w:w="1186" w:type="dxa"/>
                  <w:vAlign w:val="center"/>
                </w:tcPr>
                <w:p w14:paraId="007D2BCE">
                  <w:pPr>
                    <w:pStyle w:val="48"/>
                  </w:pPr>
                  <w:r>
                    <w:t>铲车</w:t>
                  </w:r>
                </w:p>
              </w:tc>
              <w:tc>
                <w:tcPr>
                  <w:tcW w:w="992" w:type="dxa"/>
                  <w:vAlign w:val="center"/>
                </w:tcPr>
                <w:p w14:paraId="5D062579">
                  <w:pPr>
                    <w:pStyle w:val="48"/>
                  </w:pPr>
                  <w:r>
                    <w:t>-</w:t>
                  </w:r>
                </w:p>
              </w:tc>
              <w:tc>
                <w:tcPr>
                  <w:tcW w:w="788" w:type="dxa"/>
                  <w:vAlign w:val="center"/>
                </w:tcPr>
                <w:p w14:paraId="4FD8702B">
                  <w:pPr>
                    <w:pStyle w:val="48"/>
                  </w:pPr>
                  <w:r>
                    <w:t>辆</w:t>
                  </w:r>
                </w:p>
              </w:tc>
              <w:tc>
                <w:tcPr>
                  <w:tcW w:w="913" w:type="dxa"/>
                  <w:vAlign w:val="center"/>
                </w:tcPr>
                <w:p w14:paraId="3D54056D">
                  <w:pPr>
                    <w:pStyle w:val="48"/>
                  </w:pPr>
                  <w:r>
                    <w:t>1</w:t>
                  </w:r>
                </w:p>
              </w:tc>
              <w:tc>
                <w:tcPr>
                  <w:tcW w:w="1276" w:type="dxa"/>
                  <w:vAlign w:val="center"/>
                </w:tcPr>
                <w:p w14:paraId="5B60FE56">
                  <w:pPr>
                    <w:pStyle w:val="48"/>
                  </w:pPr>
                  <w:r>
                    <w:t>2880</w:t>
                  </w:r>
                </w:p>
              </w:tc>
              <w:tc>
                <w:tcPr>
                  <w:tcW w:w="1276" w:type="dxa"/>
                  <w:vAlign w:val="center"/>
                </w:tcPr>
                <w:p w14:paraId="330A1DFB">
                  <w:pPr>
                    <w:pStyle w:val="48"/>
                  </w:pPr>
                  <w:r>
                    <w:t>-</w:t>
                  </w:r>
                </w:p>
              </w:tc>
              <w:tc>
                <w:tcPr>
                  <w:tcW w:w="1644" w:type="dxa"/>
                  <w:vAlign w:val="center"/>
                </w:tcPr>
                <w:p w14:paraId="262CFFE0">
                  <w:pPr>
                    <w:pStyle w:val="48"/>
                  </w:pPr>
                  <w:r>
                    <w:t>-</w:t>
                  </w:r>
                </w:p>
              </w:tc>
            </w:tr>
            <w:tr w14:paraId="3B474D4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4E1B2BCE">
                  <w:pPr>
                    <w:pStyle w:val="48"/>
                  </w:pPr>
                  <w:r>
                    <w:t>8</w:t>
                  </w:r>
                </w:p>
              </w:tc>
              <w:tc>
                <w:tcPr>
                  <w:tcW w:w="1186" w:type="dxa"/>
                  <w:vAlign w:val="center"/>
                </w:tcPr>
                <w:p w14:paraId="036C4B51">
                  <w:pPr>
                    <w:pStyle w:val="48"/>
                  </w:pPr>
                  <w:r>
                    <w:t>电动葫芦</w:t>
                  </w:r>
                </w:p>
              </w:tc>
              <w:tc>
                <w:tcPr>
                  <w:tcW w:w="992" w:type="dxa"/>
                  <w:vAlign w:val="center"/>
                </w:tcPr>
                <w:p w14:paraId="6C920EDB">
                  <w:pPr>
                    <w:pStyle w:val="48"/>
                  </w:pPr>
                  <w:r>
                    <w:t>2t</w:t>
                  </w:r>
                </w:p>
              </w:tc>
              <w:tc>
                <w:tcPr>
                  <w:tcW w:w="788" w:type="dxa"/>
                  <w:vAlign w:val="center"/>
                </w:tcPr>
                <w:p w14:paraId="3A50DCBF">
                  <w:pPr>
                    <w:pStyle w:val="48"/>
                  </w:pPr>
                  <w:r>
                    <w:t>台</w:t>
                  </w:r>
                </w:p>
              </w:tc>
              <w:tc>
                <w:tcPr>
                  <w:tcW w:w="913" w:type="dxa"/>
                  <w:vAlign w:val="center"/>
                </w:tcPr>
                <w:p w14:paraId="4B316886">
                  <w:pPr>
                    <w:pStyle w:val="48"/>
                  </w:pPr>
                  <w:r>
                    <w:t>2</w:t>
                  </w:r>
                </w:p>
              </w:tc>
              <w:tc>
                <w:tcPr>
                  <w:tcW w:w="1276" w:type="dxa"/>
                  <w:vAlign w:val="center"/>
                </w:tcPr>
                <w:p w14:paraId="4183AE0D">
                  <w:pPr>
                    <w:pStyle w:val="48"/>
                  </w:pPr>
                  <w:r>
                    <w:t>2880</w:t>
                  </w:r>
                </w:p>
              </w:tc>
              <w:tc>
                <w:tcPr>
                  <w:tcW w:w="1276" w:type="dxa"/>
                  <w:vAlign w:val="center"/>
                </w:tcPr>
                <w:p w14:paraId="73B90C99">
                  <w:pPr>
                    <w:pStyle w:val="48"/>
                  </w:pPr>
                  <w:r>
                    <w:t>-</w:t>
                  </w:r>
                </w:p>
              </w:tc>
              <w:tc>
                <w:tcPr>
                  <w:tcW w:w="1644" w:type="dxa"/>
                  <w:vAlign w:val="center"/>
                </w:tcPr>
                <w:p w14:paraId="1D254EA8">
                  <w:pPr>
                    <w:pStyle w:val="48"/>
                  </w:pPr>
                  <w:r>
                    <w:t>-</w:t>
                  </w:r>
                </w:p>
              </w:tc>
            </w:tr>
            <w:tr w14:paraId="2859F2A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396CC396">
                  <w:pPr>
                    <w:pStyle w:val="48"/>
                  </w:pPr>
                  <w:r>
                    <w:t>9</w:t>
                  </w:r>
                </w:p>
              </w:tc>
              <w:tc>
                <w:tcPr>
                  <w:tcW w:w="1186" w:type="dxa"/>
                  <w:vAlign w:val="center"/>
                </w:tcPr>
                <w:p w14:paraId="1C9811B5">
                  <w:pPr>
                    <w:pStyle w:val="48"/>
                  </w:pPr>
                  <w:r>
                    <w:t>风机</w:t>
                  </w:r>
                </w:p>
              </w:tc>
              <w:tc>
                <w:tcPr>
                  <w:tcW w:w="992" w:type="dxa"/>
                  <w:vAlign w:val="center"/>
                </w:tcPr>
                <w:p w14:paraId="10EC19C9">
                  <w:pPr>
                    <w:pStyle w:val="48"/>
                  </w:pPr>
                  <w:r>
                    <w:t>YVF450-6</w:t>
                  </w:r>
                </w:p>
              </w:tc>
              <w:tc>
                <w:tcPr>
                  <w:tcW w:w="788" w:type="dxa"/>
                  <w:vAlign w:val="center"/>
                </w:tcPr>
                <w:p w14:paraId="4CA5DD01">
                  <w:pPr>
                    <w:pStyle w:val="48"/>
                  </w:pPr>
                  <w:r>
                    <w:t>台</w:t>
                  </w:r>
                </w:p>
              </w:tc>
              <w:tc>
                <w:tcPr>
                  <w:tcW w:w="913" w:type="dxa"/>
                  <w:vAlign w:val="center"/>
                </w:tcPr>
                <w:p w14:paraId="121C56EB">
                  <w:pPr>
                    <w:pStyle w:val="48"/>
                  </w:pPr>
                  <w:r>
                    <w:t>1</w:t>
                  </w:r>
                </w:p>
              </w:tc>
              <w:tc>
                <w:tcPr>
                  <w:tcW w:w="1276" w:type="dxa"/>
                  <w:vAlign w:val="center"/>
                </w:tcPr>
                <w:p w14:paraId="643F29E5">
                  <w:pPr>
                    <w:pStyle w:val="48"/>
                  </w:pPr>
                  <w:r>
                    <w:t>2880</w:t>
                  </w:r>
                </w:p>
              </w:tc>
              <w:tc>
                <w:tcPr>
                  <w:tcW w:w="1276" w:type="dxa"/>
                  <w:vAlign w:val="center"/>
                </w:tcPr>
                <w:p w14:paraId="66371CB1">
                  <w:pPr>
                    <w:pStyle w:val="48"/>
                  </w:pPr>
                  <w:r>
                    <w:t>5000m</w:t>
                  </w:r>
                  <w:r>
                    <w:rPr>
                      <w:vertAlign w:val="superscript"/>
                    </w:rPr>
                    <w:t>3</w:t>
                  </w:r>
                  <w:r>
                    <w:t>/h</w:t>
                  </w:r>
                </w:p>
              </w:tc>
              <w:tc>
                <w:tcPr>
                  <w:tcW w:w="1644" w:type="dxa"/>
                  <w:vAlign w:val="center"/>
                </w:tcPr>
                <w:p w14:paraId="6B549EB8">
                  <w:pPr>
                    <w:pStyle w:val="48"/>
                  </w:pPr>
                  <w:r>
                    <w:t>-</w:t>
                  </w:r>
                </w:p>
              </w:tc>
            </w:tr>
            <w:tr w14:paraId="3F2EF6B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1DBFBE2D">
                  <w:pPr>
                    <w:pStyle w:val="48"/>
                  </w:pPr>
                  <w:r>
                    <w:t>11</w:t>
                  </w:r>
                </w:p>
              </w:tc>
              <w:tc>
                <w:tcPr>
                  <w:tcW w:w="1186" w:type="dxa"/>
                  <w:vAlign w:val="center"/>
                </w:tcPr>
                <w:p w14:paraId="5FEF8A54">
                  <w:pPr>
                    <w:pStyle w:val="48"/>
                  </w:pPr>
                  <w:r>
                    <w:t>空压机</w:t>
                  </w:r>
                </w:p>
              </w:tc>
              <w:tc>
                <w:tcPr>
                  <w:tcW w:w="992" w:type="dxa"/>
                  <w:vAlign w:val="center"/>
                </w:tcPr>
                <w:p w14:paraId="039AAB62">
                  <w:pPr>
                    <w:pStyle w:val="48"/>
                  </w:pPr>
                  <w:r>
                    <w:t>-</w:t>
                  </w:r>
                </w:p>
              </w:tc>
              <w:tc>
                <w:tcPr>
                  <w:tcW w:w="788" w:type="dxa"/>
                  <w:vAlign w:val="center"/>
                </w:tcPr>
                <w:p w14:paraId="5FAD9389">
                  <w:pPr>
                    <w:pStyle w:val="48"/>
                  </w:pPr>
                  <w:r>
                    <w:t>台</w:t>
                  </w:r>
                </w:p>
              </w:tc>
              <w:tc>
                <w:tcPr>
                  <w:tcW w:w="913" w:type="dxa"/>
                  <w:vAlign w:val="center"/>
                </w:tcPr>
                <w:p w14:paraId="2101CCCF">
                  <w:pPr>
                    <w:pStyle w:val="48"/>
                  </w:pPr>
                  <w:r>
                    <w:t>1</w:t>
                  </w:r>
                </w:p>
              </w:tc>
              <w:tc>
                <w:tcPr>
                  <w:tcW w:w="1276" w:type="dxa"/>
                  <w:vAlign w:val="center"/>
                </w:tcPr>
                <w:p w14:paraId="5D1AD31A">
                  <w:pPr>
                    <w:pStyle w:val="48"/>
                  </w:pPr>
                  <w:r>
                    <w:t>2880</w:t>
                  </w:r>
                </w:p>
              </w:tc>
              <w:tc>
                <w:tcPr>
                  <w:tcW w:w="1276" w:type="dxa"/>
                  <w:vAlign w:val="center"/>
                </w:tcPr>
                <w:p w14:paraId="6921653C">
                  <w:pPr>
                    <w:pStyle w:val="48"/>
                  </w:pPr>
                  <w:r>
                    <w:t>-</w:t>
                  </w:r>
                  <w:r>
                    <w:rPr>
                      <w:vertAlign w:val="superscript"/>
                    </w:rPr>
                    <w:t>3</w:t>
                  </w:r>
                  <w:r>
                    <w:t>/h</w:t>
                  </w:r>
                </w:p>
              </w:tc>
              <w:tc>
                <w:tcPr>
                  <w:tcW w:w="1644" w:type="dxa"/>
                  <w:vAlign w:val="center"/>
                </w:tcPr>
                <w:p w14:paraId="41359201">
                  <w:pPr>
                    <w:pStyle w:val="48"/>
                  </w:pPr>
                  <w:r>
                    <w:t>布袋除尘器喷吹用</w:t>
                  </w:r>
                </w:p>
              </w:tc>
            </w:tr>
            <w:tr w14:paraId="3997FCC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07BBE031">
                  <w:pPr>
                    <w:pStyle w:val="48"/>
                  </w:pPr>
                  <w:r>
                    <w:t>12</w:t>
                  </w:r>
                </w:p>
              </w:tc>
              <w:tc>
                <w:tcPr>
                  <w:tcW w:w="1186" w:type="dxa"/>
                  <w:vAlign w:val="center"/>
                </w:tcPr>
                <w:p w14:paraId="4D946821">
                  <w:pPr>
                    <w:pStyle w:val="48"/>
                  </w:pPr>
                  <w:r>
                    <w:t>循环水泵</w:t>
                  </w:r>
                </w:p>
              </w:tc>
              <w:tc>
                <w:tcPr>
                  <w:tcW w:w="992" w:type="dxa"/>
                  <w:vAlign w:val="center"/>
                </w:tcPr>
                <w:p w14:paraId="516B99E5">
                  <w:pPr>
                    <w:pStyle w:val="48"/>
                  </w:pPr>
                  <w:r>
                    <w:t>-</w:t>
                  </w:r>
                </w:p>
              </w:tc>
              <w:tc>
                <w:tcPr>
                  <w:tcW w:w="788" w:type="dxa"/>
                  <w:vAlign w:val="center"/>
                </w:tcPr>
                <w:p w14:paraId="27FBD337">
                  <w:pPr>
                    <w:pStyle w:val="48"/>
                  </w:pPr>
                  <w:r>
                    <w:t>台</w:t>
                  </w:r>
                </w:p>
              </w:tc>
              <w:tc>
                <w:tcPr>
                  <w:tcW w:w="913" w:type="dxa"/>
                  <w:vAlign w:val="center"/>
                </w:tcPr>
                <w:p w14:paraId="02E2A37A">
                  <w:pPr>
                    <w:pStyle w:val="48"/>
                  </w:pPr>
                  <w:r>
                    <w:t>1</w:t>
                  </w:r>
                </w:p>
              </w:tc>
              <w:tc>
                <w:tcPr>
                  <w:tcW w:w="1276" w:type="dxa"/>
                  <w:vAlign w:val="center"/>
                </w:tcPr>
                <w:p w14:paraId="4BA61F2A">
                  <w:pPr>
                    <w:pStyle w:val="48"/>
                  </w:pPr>
                  <w:r>
                    <w:t>2880</w:t>
                  </w:r>
                </w:p>
              </w:tc>
              <w:tc>
                <w:tcPr>
                  <w:tcW w:w="1276" w:type="dxa"/>
                  <w:vAlign w:val="center"/>
                </w:tcPr>
                <w:p w14:paraId="3F066FAB">
                  <w:pPr>
                    <w:pStyle w:val="48"/>
                  </w:pPr>
                  <w:r>
                    <w:t>-</w:t>
                  </w:r>
                  <w:r>
                    <w:rPr>
                      <w:vertAlign w:val="superscript"/>
                    </w:rPr>
                    <w:t>3</w:t>
                  </w:r>
                  <w:r>
                    <w:t>/h</w:t>
                  </w:r>
                </w:p>
              </w:tc>
              <w:tc>
                <w:tcPr>
                  <w:tcW w:w="1644" w:type="dxa"/>
                  <w:vAlign w:val="center"/>
                </w:tcPr>
                <w:p w14:paraId="74F6C2B1">
                  <w:pPr>
                    <w:pStyle w:val="48"/>
                  </w:pPr>
                  <w:r>
                    <w:t>脱硫系统循环喷淋用</w:t>
                  </w:r>
                </w:p>
              </w:tc>
            </w:tr>
            <w:tr w14:paraId="54EB20A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vAlign w:val="center"/>
                </w:tcPr>
                <w:p w14:paraId="16C86D14">
                  <w:pPr>
                    <w:pStyle w:val="48"/>
                  </w:pPr>
                  <w:r>
                    <w:t>10</w:t>
                  </w:r>
                </w:p>
              </w:tc>
              <w:tc>
                <w:tcPr>
                  <w:tcW w:w="1186" w:type="dxa"/>
                  <w:vAlign w:val="center"/>
                </w:tcPr>
                <w:p w14:paraId="220D6080">
                  <w:pPr>
                    <w:pStyle w:val="48"/>
                  </w:pPr>
                  <w:r>
                    <w:t>脱硫塔</w:t>
                  </w:r>
                </w:p>
              </w:tc>
              <w:tc>
                <w:tcPr>
                  <w:tcW w:w="992" w:type="dxa"/>
                  <w:vAlign w:val="center"/>
                </w:tcPr>
                <w:p w14:paraId="763BC5DE">
                  <w:pPr>
                    <w:pStyle w:val="48"/>
                  </w:pPr>
                  <w:r>
                    <w:t>-</w:t>
                  </w:r>
                </w:p>
              </w:tc>
              <w:tc>
                <w:tcPr>
                  <w:tcW w:w="788" w:type="dxa"/>
                  <w:vAlign w:val="center"/>
                </w:tcPr>
                <w:p w14:paraId="6E22DEC4">
                  <w:pPr>
                    <w:pStyle w:val="48"/>
                  </w:pPr>
                  <w:r>
                    <w:t>座</w:t>
                  </w:r>
                </w:p>
              </w:tc>
              <w:tc>
                <w:tcPr>
                  <w:tcW w:w="913" w:type="dxa"/>
                  <w:vAlign w:val="center"/>
                </w:tcPr>
                <w:p w14:paraId="4AC8EEA0">
                  <w:pPr>
                    <w:pStyle w:val="48"/>
                  </w:pPr>
                  <w:r>
                    <w:t>1</w:t>
                  </w:r>
                </w:p>
              </w:tc>
              <w:tc>
                <w:tcPr>
                  <w:tcW w:w="1276" w:type="dxa"/>
                  <w:vAlign w:val="center"/>
                </w:tcPr>
                <w:p w14:paraId="19775FD9">
                  <w:pPr>
                    <w:pStyle w:val="48"/>
                  </w:pPr>
                  <w:r>
                    <w:t>2880</w:t>
                  </w:r>
                </w:p>
              </w:tc>
              <w:tc>
                <w:tcPr>
                  <w:tcW w:w="1276" w:type="dxa"/>
                  <w:vAlign w:val="center"/>
                </w:tcPr>
                <w:p w14:paraId="13A4B4A4">
                  <w:pPr>
                    <w:pStyle w:val="48"/>
                  </w:pPr>
                  <w:r>
                    <w:t>-</w:t>
                  </w:r>
                </w:p>
              </w:tc>
              <w:tc>
                <w:tcPr>
                  <w:tcW w:w="1644" w:type="dxa"/>
                </w:tcPr>
                <w:p w14:paraId="30B2C2E2">
                  <w:pPr>
                    <w:pStyle w:val="48"/>
                  </w:pPr>
                  <w:r>
                    <w:t>配套沉淀池10m×5m，氧化池10m×5m</w:t>
                  </w:r>
                </w:p>
              </w:tc>
            </w:tr>
          </w:tbl>
          <w:p w14:paraId="5B4FBA18">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5、主要原辅材料及能源消耗</w:t>
            </w:r>
          </w:p>
          <w:p w14:paraId="1CA3235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本项目工程主要原辅材料及能源</w:t>
            </w:r>
            <w:bookmarkStart w:id="4" w:name="OLE_LINK42"/>
            <w:r>
              <w:rPr>
                <w:rFonts w:eastAsiaTheme="minorEastAsia"/>
                <w:color w:val="000000" w:themeColor="text1"/>
                <w14:textFill>
                  <w14:solidFill>
                    <w14:schemeClr w14:val="tx1"/>
                  </w14:solidFill>
                </w14:textFill>
              </w:rPr>
              <w:t>消耗情况见表2</w:t>
            </w:r>
            <w:bookmarkEnd w:id="4"/>
            <w:r>
              <w:rPr>
                <w:rFonts w:eastAsiaTheme="minorEastAsia"/>
                <w:color w:val="000000" w:themeColor="text1"/>
                <w14:textFill>
                  <w14:solidFill>
                    <w14:schemeClr w14:val="tx1"/>
                  </w14:solidFill>
                </w14:textFill>
              </w:rPr>
              <w:t>-10。</w:t>
            </w:r>
          </w:p>
          <w:p w14:paraId="39901E78">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表2-10项目主要原辅材料及能源消耗一览表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41"/>
              <w:gridCol w:w="1783"/>
              <w:gridCol w:w="851"/>
              <w:gridCol w:w="1010"/>
              <w:gridCol w:w="994"/>
              <w:gridCol w:w="2103"/>
              <w:gridCol w:w="1504"/>
            </w:tblGrid>
            <w:tr w14:paraId="6F36EC2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441" w:type="dxa"/>
                  <w:tcBorders>
                    <w:top w:val="double" w:color="auto" w:sz="2" w:space="0"/>
                    <w:left w:val="nil"/>
                    <w:bottom w:val="single" w:color="auto" w:sz="4" w:space="0"/>
                    <w:right w:val="single" w:color="auto" w:sz="4" w:space="0"/>
                  </w:tcBorders>
                  <w:vAlign w:val="center"/>
                </w:tcPr>
                <w:p w14:paraId="68EDB536">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序号</w:t>
                  </w:r>
                </w:p>
              </w:tc>
              <w:tc>
                <w:tcPr>
                  <w:tcW w:w="1783" w:type="dxa"/>
                  <w:tcBorders>
                    <w:top w:val="double" w:color="auto" w:sz="2" w:space="0"/>
                    <w:left w:val="single" w:color="auto" w:sz="4" w:space="0"/>
                    <w:bottom w:val="single" w:color="auto" w:sz="4" w:space="0"/>
                    <w:right w:val="single" w:color="auto" w:sz="4" w:space="0"/>
                  </w:tcBorders>
                  <w:vAlign w:val="center"/>
                </w:tcPr>
                <w:p w14:paraId="024DCDBC">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原辅材料名称</w:t>
                  </w:r>
                </w:p>
              </w:tc>
              <w:tc>
                <w:tcPr>
                  <w:tcW w:w="851" w:type="dxa"/>
                  <w:tcBorders>
                    <w:top w:val="double" w:color="auto" w:sz="2" w:space="0"/>
                    <w:left w:val="single" w:color="auto" w:sz="4" w:space="0"/>
                    <w:bottom w:val="single" w:color="auto" w:sz="4" w:space="0"/>
                    <w:right w:val="single" w:color="auto" w:sz="4" w:space="0"/>
                  </w:tcBorders>
                  <w:vAlign w:val="center"/>
                </w:tcPr>
                <w:p w14:paraId="7DDA551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年用量t</w:t>
                  </w:r>
                </w:p>
              </w:tc>
              <w:tc>
                <w:tcPr>
                  <w:tcW w:w="1010" w:type="dxa"/>
                  <w:tcBorders>
                    <w:top w:val="double" w:color="auto" w:sz="2" w:space="0"/>
                    <w:left w:val="single" w:color="auto" w:sz="4" w:space="0"/>
                    <w:bottom w:val="single" w:color="auto" w:sz="4" w:space="0"/>
                    <w:right w:val="single" w:color="auto" w:sz="4" w:space="0"/>
                  </w:tcBorders>
                  <w:vAlign w:val="center"/>
                </w:tcPr>
                <w:p w14:paraId="3BFF9BF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最大贮存量t</w:t>
                  </w:r>
                </w:p>
              </w:tc>
              <w:tc>
                <w:tcPr>
                  <w:tcW w:w="994" w:type="dxa"/>
                  <w:tcBorders>
                    <w:top w:val="double" w:color="auto" w:sz="2" w:space="0"/>
                    <w:left w:val="single" w:color="auto" w:sz="4" w:space="0"/>
                    <w:bottom w:val="single" w:color="auto" w:sz="4" w:space="0"/>
                    <w:right w:val="single" w:color="auto" w:sz="4" w:space="0"/>
                  </w:tcBorders>
                  <w:vAlign w:val="center"/>
                </w:tcPr>
                <w:p w14:paraId="580E40B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储存位置</w:t>
                  </w:r>
                </w:p>
              </w:tc>
              <w:tc>
                <w:tcPr>
                  <w:tcW w:w="2103" w:type="dxa"/>
                  <w:tcBorders>
                    <w:top w:val="double" w:color="auto" w:sz="2" w:space="0"/>
                    <w:left w:val="single" w:color="auto" w:sz="4" w:space="0"/>
                    <w:bottom w:val="single" w:color="auto" w:sz="4" w:space="0"/>
                    <w:right w:val="single" w:color="auto" w:sz="4" w:space="0"/>
                  </w:tcBorders>
                  <w:vAlign w:val="center"/>
                </w:tcPr>
                <w:p w14:paraId="35D4C5D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来源</w:t>
                  </w:r>
                </w:p>
              </w:tc>
              <w:tc>
                <w:tcPr>
                  <w:tcW w:w="1504" w:type="dxa"/>
                  <w:tcBorders>
                    <w:top w:val="double" w:color="auto" w:sz="2" w:space="0"/>
                    <w:left w:val="single" w:color="auto" w:sz="4" w:space="0"/>
                    <w:bottom w:val="single" w:color="auto" w:sz="4" w:space="0"/>
                    <w:right w:val="nil"/>
                  </w:tcBorders>
                  <w:vAlign w:val="center"/>
                </w:tcPr>
                <w:p w14:paraId="3EB635B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备注</w:t>
                  </w:r>
                </w:p>
              </w:tc>
            </w:tr>
            <w:tr w14:paraId="1733C7D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41" w:type="dxa"/>
                  <w:tcBorders>
                    <w:top w:val="single" w:color="auto" w:sz="4" w:space="0"/>
                    <w:left w:val="nil"/>
                    <w:bottom w:val="single" w:color="auto" w:sz="4" w:space="0"/>
                    <w:right w:val="single" w:color="auto" w:sz="4" w:space="0"/>
                  </w:tcBorders>
                  <w:vAlign w:val="center"/>
                </w:tcPr>
                <w:p w14:paraId="290E124C">
                  <w:pPr>
                    <w:pStyle w:val="135"/>
                    <w:adjustRightInd w:val="0"/>
                    <w:snapToGrid w:val="0"/>
                    <w:rPr>
                      <w:rFonts w:eastAsiaTheme="minorEastAsia"/>
                      <w:color w:val="000000" w:themeColor="text1"/>
                      <w14:textFill>
                        <w14:solidFill>
                          <w14:schemeClr w14:val="tx1"/>
                        </w14:solidFill>
                      </w14:textFill>
                    </w:rPr>
                  </w:pPr>
                  <w:bookmarkStart w:id="5" w:name="OLE_LINK45"/>
                  <w:r>
                    <w:rPr>
                      <w:rFonts w:eastAsiaTheme="minorEastAsia"/>
                      <w:color w:val="000000" w:themeColor="text1"/>
                      <w14:textFill>
                        <w14:solidFill>
                          <w14:schemeClr w14:val="tx1"/>
                        </w14:solidFill>
                      </w14:textFill>
                    </w:rPr>
                    <w:t>1</w:t>
                  </w:r>
                  <w:bookmarkEnd w:id="5"/>
                </w:p>
              </w:tc>
              <w:tc>
                <w:tcPr>
                  <w:tcW w:w="1783" w:type="dxa"/>
                  <w:tcBorders>
                    <w:top w:val="single" w:color="auto" w:sz="4" w:space="0"/>
                    <w:left w:val="single" w:color="auto" w:sz="4" w:space="0"/>
                    <w:bottom w:val="single" w:color="auto" w:sz="4" w:space="0"/>
                    <w:right w:val="single" w:color="auto" w:sz="4" w:space="0"/>
                  </w:tcBorders>
                  <w:vAlign w:val="center"/>
                </w:tcPr>
                <w:p w14:paraId="1BE0B2C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锰矿石废料</w:t>
                  </w:r>
                </w:p>
              </w:tc>
              <w:tc>
                <w:tcPr>
                  <w:tcW w:w="851" w:type="dxa"/>
                  <w:tcBorders>
                    <w:top w:val="single" w:color="auto" w:sz="4" w:space="0"/>
                    <w:left w:val="single" w:color="auto" w:sz="4" w:space="0"/>
                    <w:bottom w:val="single" w:color="auto" w:sz="4" w:space="0"/>
                    <w:right w:val="single" w:color="auto" w:sz="4" w:space="0"/>
                  </w:tcBorders>
                  <w:vAlign w:val="center"/>
                </w:tcPr>
                <w:p w14:paraId="1636FC2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3万</w:t>
                  </w:r>
                </w:p>
              </w:tc>
              <w:tc>
                <w:tcPr>
                  <w:tcW w:w="1010" w:type="dxa"/>
                  <w:tcBorders>
                    <w:top w:val="single" w:color="auto" w:sz="4" w:space="0"/>
                    <w:left w:val="single" w:color="auto" w:sz="4" w:space="0"/>
                    <w:bottom w:val="single" w:color="auto" w:sz="4" w:space="0"/>
                    <w:right w:val="single" w:color="auto" w:sz="4" w:space="0"/>
                  </w:tcBorders>
                  <w:vAlign w:val="center"/>
                </w:tcPr>
                <w:p w14:paraId="5673E358">
                  <w:pPr>
                    <w:pStyle w:val="135"/>
                    <w:rPr>
                      <w:rFonts w:eastAsiaTheme="minorEastAsia"/>
                      <w:color w:val="0000FF"/>
                    </w:rPr>
                  </w:pPr>
                  <w:r>
                    <w:rPr>
                      <w:rFonts w:eastAsiaTheme="minorEastAsia"/>
                      <w:color w:val="0000FF"/>
                    </w:rPr>
                    <w:t>294.6</w:t>
                  </w:r>
                </w:p>
              </w:tc>
              <w:tc>
                <w:tcPr>
                  <w:tcW w:w="994" w:type="dxa"/>
                  <w:tcBorders>
                    <w:top w:val="single" w:color="auto" w:sz="4" w:space="0"/>
                    <w:left w:val="single" w:color="auto" w:sz="4" w:space="0"/>
                    <w:bottom w:val="single" w:color="auto" w:sz="4" w:space="0"/>
                    <w:right w:val="single" w:color="auto" w:sz="4" w:space="0"/>
                  </w:tcBorders>
                  <w:vAlign w:val="center"/>
                </w:tcPr>
                <w:p w14:paraId="36E580E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c>
                <w:tcPr>
                  <w:tcW w:w="2103" w:type="dxa"/>
                  <w:tcBorders>
                    <w:top w:val="single" w:color="auto" w:sz="4" w:space="0"/>
                    <w:left w:val="single" w:color="auto" w:sz="4" w:space="0"/>
                    <w:right w:val="single" w:color="auto" w:sz="4" w:space="0"/>
                  </w:tcBorders>
                  <w:vAlign w:val="center"/>
                </w:tcPr>
                <w:p w14:paraId="1D8E36BF">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朝阳县瓦房子镇宏兴锰矿</w:t>
                  </w:r>
                </w:p>
              </w:tc>
              <w:tc>
                <w:tcPr>
                  <w:tcW w:w="1504" w:type="dxa"/>
                  <w:vMerge w:val="restart"/>
                  <w:tcBorders>
                    <w:top w:val="single" w:color="auto" w:sz="4" w:space="0"/>
                    <w:left w:val="single" w:color="auto" w:sz="4" w:space="0"/>
                    <w:right w:val="nil"/>
                  </w:tcBorders>
                  <w:vAlign w:val="center"/>
                </w:tcPr>
                <w:p w14:paraId="73D6EC4A">
                  <w:pPr>
                    <w:pStyle w:val="135"/>
                    <w:rPr>
                      <w:rFonts w:eastAsiaTheme="minorEastAsia"/>
                      <w:color w:val="000000" w:themeColor="text1"/>
                      <w14:textFill>
                        <w14:solidFill>
                          <w14:schemeClr w14:val="tx1"/>
                        </w14:solidFill>
                      </w14:textFill>
                    </w:rPr>
                  </w:pPr>
                  <w:r>
                    <w:rPr>
                      <w:rFonts w:eastAsiaTheme="minorEastAsia"/>
                      <w:color w:val="0000FF"/>
                    </w:rPr>
                    <w:t>均为锰矿石破碎筛分环节产生，合计用量5万t，最大储存量491t。</w:t>
                  </w:r>
                </w:p>
              </w:tc>
            </w:tr>
            <w:tr w14:paraId="51041C8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41" w:type="dxa"/>
                  <w:tcBorders>
                    <w:top w:val="single" w:color="auto" w:sz="4" w:space="0"/>
                    <w:left w:val="nil"/>
                    <w:bottom w:val="single" w:color="auto" w:sz="4" w:space="0"/>
                    <w:right w:val="single" w:color="auto" w:sz="4" w:space="0"/>
                  </w:tcBorders>
                  <w:vAlign w:val="center"/>
                </w:tcPr>
                <w:p w14:paraId="38869823">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783" w:type="dxa"/>
                  <w:tcBorders>
                    <w:left w:val="single" w:color="auto" w:sz="4" w:space="0"/>
                    <w:right w:val="single" w:color="auto" w:sz="4" w:space="0"/>
                  </w:tcBorders>
                  <w:vAlign w:val="center"/>
                </w:tcPr>
                <w:p w14:paraId="1E875B6C">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锰矿石废料</w:t>
                  </w:r>
                </w:p>
              </w:tc>
              <w:tc>
                <w:tcPr>
                  <w:tcW w:w="851" w:type="dxa"/>
                  <w:tcBorders>
                    <w:top w:val="single" w:color="auto" w:sz="4" w:space="0"/>
                    <w:left w:val="single" w:color="auto" w:sz="4" w:space="0"/>
                    <w:bottom w:val="single" w:color="auto" w:sz="4" w:space="0"/>
                    <w:right w:val="single" w:color="auto" w:sz="4" w:space="0"/>
                  </w:tcBorders>
                  <w:vAlign w:val="center"/>
                </w:tcPr>
                <w:p w14:paraId="49CAF68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1万</w:t>
                  </w:r>
                </w:p>
              </w:tc>
              <w:tc>
                <w:tcPr>
                  <w:tcW w:w="1010" w:type="dxa"/>
                  <w:tcBorders>
                    <w:top w:val="single" w:color="auto" w:sz="4" w:space="0"/>
                    <w:left w:val="single" w:color="auto" w:sz="4" w:space="0"/>
                    <w:bottom w:val="single" w:color="auto" w:sz="4" w:space="0"/>
                    <w:right w:val="single" w:color="auto" w:sz="4" w:space="0"/>
                  </w:tcBorders>
                  <w:vAlign w:val="center"/>
                </w:tcPr>
                <w:p w14:paraId="0A5F9C84">
                  <w:pPr>
                    <w:pStyle w:val="135"/>
                    <w:rPr>
                      <w:rFonts w:eastAsiaTheme="minorEastAsia"/>
                      <w:color w:val="0000FF"/>
                    </w:rPr>
                  </w:pPr>
                  <w:r>
                    <w:rPr>
                      <w:rFonts w:eastAsiaTheme="minorEastAsia"/>
                      <w:color w:val="0000FF"/>
                    </w:rPr>
                    <w:t>98.2</w:t>
                  </w:r>
                </w:p>
              </w:tc>
              <w:tc>
                <w:tcPr>
                  <w:tcW w:w="994" w:type="dxa"/>
                  <w:tcBorders>
                    <w:top w:val="single" w:color="auto" w:sz="4" w:space="0"/>
                    <w:left w:val="single" w:color="auto" w:sz="4" w:space="0"/>
                    <w:bottom w:val="single" w:color="auto" w:sz="4" w:space="0"/>
                    <w:right w:val="single" w:color="auto" w:sz="4" w:space="0"/>
                  </w:tcBorders>
                  <w:vAlign w:val="center"/>
                </w:tcPr>
                <w:p w14:paraId="11042BC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c>
                <w:tcPr>
                  <w:tcW w:w="2103" w:type="dxa"/>
                  <w:tcBorders>
                    <w:top w:val="single" w:color="auto" w:sz="4" w:space="0"/>
                    <w:left w:val="single" w:color="auto" w:sz="4" w:space="0"/>
                    <w:bottom w:val="single" w:color="auto" w:sz="4" w:space="0"/>
                    <w:right w:val="single" w:color="auto" w:sz="4" w:space="0"/>
                  </w:tcBorders>
                  <w:vAlign w:val="center"/>
                </w:tcPr>
                <w:p w14:paraId="6810312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葫芦岛市八家子经济开发区安胜矿产品综合利用有限公司</w:t>
                  </w:r>
                </w:p>
              </w:tc>
              <w:tc>
                <w:tcPr>
                  <w:tcW w:w="1504" w:type="dxa"/>
                  <w:vMerge w:val="continue"/>
                  <w:tcBorders>
                    <w:left w:val="single" w:color="auto" w:sz="4" w:space="0"/>
                    <w:right w:val="nil"/>
                  </w:tcBorders>
                  <w:vAlign w:val="center"/>
                </w:tcPr>
                <w:p w14:paraId="5039B5E6">
                  <w:pPr>
                    <w:pStyle w:val="135"/>
                    <w:rPr>
                      <w:rFonts w:eastAsiaTheme="minorEastAsia"/>
                      <w:color w:val="000000" w:themeColor="text1"/>
                      <w14:textFill>
                        <w14:solidFill>
                          <w14:schemeClr w14:val="tx1"/>
                        </w14:solidFill>
                      </w14:textFill>
                    </w:rPr>
                  </w:pPr>
                </w:p>
              </w:tc>
            </w:tr>
            <w:tr w14:paraId="4A39BCA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687" w:hRule="atLeast"/>
                <w:jc w:val="center"/>
              </w:trPr>
              <w:tc>
                <w:tcPr>
                  <w:tcW w:w="441" w:type="dxa"/>
                  <w:tcBorders>
                    <w:top w:val="single" w:color="auto" w:sz="4" w:space="0"/>
                    <w:left w:val="nil"/>
                    <w:bottom w:val="single" w:color="auto" w:sz="4" w:space="0"/>
                    <w:right w:val="single" w:color="auto" w:sz="4" w:space="0"/>
                  </w:tcBorders>
                  <w:vAlign w:val="center"/>
                </w:tcPr>
                <w:p w14:paraId="25C68CE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1783" w:type="dxa"/>
                  <w:tcBorders>
                    <w:left w:val="single" w:color="auto" w:sz="4" w:space="0"/>
                    <w:bottom w:val="single" w:color="auto" w:sz="4" w:space="0"/>
                    <w:right w:val="single" w:color="auto" w:sz="4" w:space="0"/>
                  </w:tcBorders>
                  <w:vAlign w:val="center"/>
                </w:tcPr>
                <w:p w14:paraId="4D18666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锰矿石废料</w:t>
                  </w:r>
                </w:p>
              </w:tc>
              <w:tc>
                <w:tcPr>
                  <w:tcW w:w="851" w:type="dxa"/>
                  <w:tcBorders>
                    <w:top w:val="single" w:color="auto" w:sz="4" w:space="0"/>
                    <w:left w:val="single" w:color="auto" w:sz="4" w:space="0"/>
                    <w:bottom w:val="single" w:color="auto" w:sz="4" w:space="0"/>
                    <w:right w:val="single" w:color="auto" w:sz="4" w:space="0"/>
                  </w:tcBorders>
                  <w:vAlign w:val="center"/>
                </w:tcPr>
                <w:p w14:paraId="3C1DCAF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1万</w:t>
                  </w:r>
                </w:p>
              </w:tc>
              <w:tc>
                <w:tcPr>
                  <w:tcW w:w="1010" w:type="dxa"/>
                  <w:tcBorders>
                    <w:top w:val="single" w:color="auto" w:sz="4" w:space="0"/>
                    <w:left w:val="single" w:color="auto" w:sz="4" w:space="0"/>
                    <w:bottom w:val="single" w:color="auto" w:sz="4" w:space="0"/>
                    <w:right w:val="single" w:color="auto" w:sz="4" w:space="0"/>
                  </w:tcBorders>
                  <w:vAlign w:val="center"/>
                </w:tcPr>
                <w:p w14:paraId="5DFF88F8">
                  <w:pPr>
                    <w:pStyle w:val="135"/>
                    <w:rPr>
                      <w:rFonts w:eastAsiaTheme="minorEastAsia"/>
                      <w:color w:val="0000FF"/>
                    </w:rPr>
                  </w:pPr>
                  <w:r>
                    <w:rPr>
                      <w:rFonts w:eastAsiaTheme="minorEastAsia"/>
                      <w:color w:val="0000FF"/>
                    </w:rPr>
                    <w:t>98.2</w:t>
                  </w:r>
                </w:p>
              </w:tc>
              <w:tc>
                <w:tcPr>
                  <w:tcW w:w="994" w:type="dxa"/>
                  <w:tcBorders>
                    <w:top w:val="single" w:color="auto" w:sz="4" w:space="0"/>
                    <w:left w:val="single" w:color="auto" w:sz="4" w:space="0"/>
                    <w:bottom w:val="single" w:color="auto" w:sz="4" w:space="0"/>
                    <w:right w:val="single" w:color="auto" w:sz="4" w:space="0"/>
                  </w:tcBorders>
                  <w:vAlign w:val="center"/>
                </w:tcPr>
                <w:p w14:paraId="2F3670E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c>
                <w:tcPr>
                  <w:tcW w:w="2103" w:type="dxa"/>
                  <w:tcBorders>
                    <w:top w:val="single" w:color="auto" w:sz="4" w:space="0"/>
                    <w:left w:val="single" w:color="auto" w:sz="4" w:space="0"/>
                    <w:bottom w:val="single" w:color="auto" w:sz="4" w:space="0"/>
                    <w:right w:val="single" w:color="auto" w:sz="4" w:space="0"/>
                  </w:tcBorders>
                  <w:vAlign w:val="center"/>
                </w:tcPr>
                <w:p w14:paraId="569538F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辽宁鑫方成新材料有限公司</w:t>
                  </w:r>
                </w:p>
              </w:tc>
              <w:tc>
                <w:tcPr>
                  <w:tcW w:w="1504" w:type="dxa"/>
                  <w:vMerge w:val="continue"/>
                  <w:tcBorders>
                    <w:left w:val="single" w:color="auto" w:sz="4" w:space="0"/>
                    <w:bottom w:val="single" w:color="auto" w:sz="4" w:space="0"/>
                    <w:right w:val="nil"/>
                  </w:tcBorders>
                  <w:vAlign w:val="center"/>
                </w:tcPr>
                <w:p w14:paraId="35B70B50">
                  <w:pPr>
                    <w:pStyle w:val="135"/>
                    <w:rPr>
                      <w:rFonts w:eastAsiaTheme="minorEastAsia"/>
                      <w:color w:val="000000" w:themeColor="text1"/>
                      <w14:textFill>
                        <w14:solidFill>
                          <w14:schemeClr w14:val="tx1"/>
                        </w14:solidFill>
                      </w14:textFill>
                    </w:rPr>
                  </w:pPr>
                </w:p>
              </w:tc>
            </w:tr>
            <w:tr w14:paraId="2CE9B0D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41" w:type="dxa"/>
                  <w:tcBorders>
                    <w:top w:val="single" w:color="auto" w:sz="4" w:space="0"/>
                    <w:left w:val="nil"/>
                    <w:bottom w:val="single" w:color="auto" w:sz="4" w:space="0"/>
                    <w:right w:val="single" w:color="auto" w:sz="4" w:space="0"/>
                  </w:tcBorders>
                  <w:vAlign w:val="center"/>
                </w:tcPr>
                <w:p w14:paraId="24071C2D">
                  <w:pPr>
                    <w:pStyle w:val="135"/>
                    <w:adjustRightInd w:val="0"/>
                    <w:snapToGrid w:val="0"/>
                    <w:rPr>
                      <w:rFonts w:eastAsiaTheme="minorEastAsia"/>
                      <w:color w:val="0000FF"/>
                    </w:rPr>
                  </w:pPr>
                  <w:r>
                    <w:rPr>
                      <w:rFonts w:eastAsiaTheme="minorEastAsia"/>
                      <w:color w:val="0000FF"/>
                    </w:rPr>
                    <w:t>4</w:t>
                  </w:r>
                </w:p>
              </w:tc>
              <w:tc>
                <w:tcPr>
                  <w:tcW w:w="1783" w:type="dxa"/>
                  <w:tcBorders>
                    <w:left w:val="single" w:color="auto" w:sz="4" w:space="0"/>
                    <w:bottom w:val="single" w:color="auto" w:sz="4" w:space="0"/>
                    <w:right w:val="single" w:color="auto" w:sz="4" w:space="0"/>
                  </w:tcBorders>
                  <w:vAlign w:val="center"/>
                </w:tcPr>
                <w:p w14:paraId="3FD0A517">
                  <w:pPr>
                    <w:pStyle w:val="135"/>
                    <w:rPr>
                      <w:rFonts w:eastAsiaTheme="minorEastAsia"/>
                      <w:color w:val="0000FF"/>
                    </w:rPr>
                  </w:pPr>
                  <w:r>
                    <w:rPr>
                      <w:rFonts w:eastAsiaTheme="minorEastAsia"/>
                      <w:color w:val="0000FF"/>
                    </w:rPr>
                    <w:t>膨润土</w:t>
                  </w:r>
                </w:p>
              </w:tc>
              <w:tc>
                <w:tcPr>
                  <w:tcW w:w="851" w:type="dxa"/>
                  <w:tcBorders>
                    <w:top w:val="single" w:color="auto" w:sz="4" w:space="0"/>
                    <w:left w:val="single" w:color="auto" w:sz="4" w:space="0"/>
                    <w:bottom w:val="single" w:color="auto" w:sz="4" w:space="0"/>
                    <w:right w:val="single" w:color="auto" w:sz="4" w:space="0"/>
                  </w:tcBorders>
                  <w:vAlign w:val="center"/>
                </w:tcPr>
                <w:p w14:paraId="425A4CC8">
                  <w:pPr>
                    <w:pStyle w:val="135"/>
                    <w:rPr>
                      <w:rFonts w:eastAsiaTheme="minorEastAsia"/>
                      <w:color w:val="0000FF"/>
                    </w:rPr>
                  </w:pPr>
                  <w:r>
                    <w:rPr>
                      <w:rFonts w:eastAsiaTheme="minorEastAsia"/>
                      <w:color w:val="0000FF"/>
                    </w:rPr>
                    <w:t>0.15万</w:t>
                  </w:r>
                </w:p>
              </w:tc>
              <w:tc>
                <w:tcPr>
                  <w:tcW w:w="1010" w:type="dxa"/>
                  <w:tcBorders>
                    <w:top w:val="single" w:color="auto" w:sz="4" w:space="0"/>
                    <w:left w:val="single" w:color="auto" w:sz="4" w:space="0"/>
                    <w:bottom w:val="single" w:color="auto" w:sz="4" w:space="0"/>
                    <w:right w:val="single" w:color="auto" w:sz="4" w:space="0"/>
                  </w:tcBorders>
                  <w:vAlign w:val="center"/>
                </w:tcPr>
                <w:p w14:paraId="1D405DF0">
                  <w:pPr>
                    <w:pStyle w:val="135"/>
                    <w:rPr>
                      <w:rFonts w:eastAsiaTheme="minorEastAsia"/>
                      <w:color w:val="0000FF"/>
                    </w:rPr>
                  </w:pPr>
                  <w:r>
                    <w:rPr>
                      <w:rFonts w:eastAsiaTheme="minorEastAsia"/>
                      <w:color w:val="0000FF"/>
                    </w:rPr>
                    <w:t>80</w:t>
                  </w:r>
                </w:p>
              </w:tc>
              <w:tc>
                <w:tcPr>
                  <w:tcW w:w="994" w:type="dxa"/>
                  <w:tcBorders>
                    <w:top w:val="single" w:color="auto" w:sz="4" w:space="0"/>
                    <w:left w:val="single" w:color="auto" w:sz="4" w:space="0"/>
                    <w:bottom w:val="single" w:color="auto" w:sz="4" w:space="0"/>
                    <w:right w:val="single" w:color="auto" w:sz="4" w:space="0"/>
                  </w:tcBorders>
                  <w:vAlign w:val="center"/>
                </w:tcPr>
                <w:p w14:paraId="49608C64">
                  <w:pPr>
                    <w:pStyle w:val="135"/>
                    <w:rPr>
                      <w:rFonts w:eastAsiaTheme="minorEastAsia"/>
                      <w:color w:val="0000FF"/>
                    </w:rPr>
                  </w:pPr>
                  <w:r>
                    <w:rPr>
                      <w:rFonts w:eastAsiaTheme="minorEastAsia"/>
                      <w:color w:val="0000FF"/>
                    </w:rPr>
                    <w:t>原料库</w:t>
                  </w:r>
                </w:p>
              </w:tc>
              <w:tc>
                <w:tcPr>
                  <w:tcW w:w="2103" w:type="dxa"/>
                  <w:tcBorders>
                    <w:top w:val="single" w:color="auto" w:sz="4" w:space="0"/>
                    <w:left w:val="single" w:color="auto" w:sz="4" w:space="0"/>
                    <w:bottom w:val="single" w:color="auto" w:sz="4" w:space="0"/>
                    <w:right w:val="single" w:color="auto" w:sz="4" w:space="0"/>
                  </w:tcBorders>
                  <w:vAlign w:val="center"/>
                </w:tcPr>
                <w:p w14:paraId="17F6A7C1">
                  <w:pPr>
                    <w:pStyle w:val="135"/>
                    <w:rPr>
                      <w:rFonts w:eastAsiaTheme="minorEastAsia"/>
                      <w:color w:val="0000FF"/>
                    </w:rPr>
                  </w:pPr>
                  <w:r>
                    <w:rPr>
                      <w:rFonts w:eastAsiaTheme="minorEastAsia"/>
                      <w:color w:val="0000FF"/>
                    </w:rPr>
                    <w:t>外购</w:t>
                  </w:r>
                </w:p>
              </w:tc>
              <w:tc>
                <w:tcPr>
                  <w:tcW w:w="1504" w:type="dxa"/>
                  <w:tcBorders>
                    <w:left w:val="single" w:color="auto" w:sz="4" w:space="0"/>
                    <w:bottom w:val="single" w:color="auto" w:sz="4" w:space="0"/>
                    <w:right w:val="nil"/>
                  </w:tcBorders>
                  <w:vAlign w:val="center"/>
                </w:tcPr>
                <w:p w14:paraId="6C8E5F44">
                  <w:pPr>
                    <w:pStyle w:val="135"/>
                    <w:rPr>
                      <w:rFonts w:eastAsiaTheme="minorEastAsia"/>
                      <w:color w:val="0000FF"/>
                    </w:rPr>
                  </w:pPr>
                  <w:r>
                    <w:rPr>
                      <w:rFonts w:eastAsiaTheme="minorEastAsia"/>
                      <w:color w:val="0000FF"/>
                    </w:rPr>
                    <w:t>-</w:t>
                  </w:r>
                </w:p>
              </w:tc>
            </w:tr>
            <w:tr w14:paraId="1DFD9F5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41" w:type="dxa"/>
                  <w:tcBorders>
                    <w:top w:val="single" w:color="auto" w:sz="4" w:space="0"/>
                    <w:left w:val="nil"/>
                    <w:bottom w:val="single" w:color="auto" w:sz="4" w:space="0"/>
                    <w:right w:val="single" w:color="auto" w:sz="4" w:space="0"/>
                  </w:tcBorders>
                  <w:vAlign w:val="center"/>
                </w:tcPr>
                <w:p w14:paraId="1C31C26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w:t>
                  </w:r>
                </w:p>
              </w:tc>
              <w:tc>
                <w:tcPr>
                  <w:tcW w:w="1783" w:type="dxa"/>
                  <w:tcBorders>
                    <w:top w:val="single" w:color="auto" w:sz="4" w:space="0"/>
                    <w:left w:val="single" w:color="auto" w:sz="4" w:space="0"/>
                    <w:bottom w:val="single" w:color="auto" w:sz="4" w:space="0"/>
                    <w:right w:val="single" w:color="auto" w:sz="4" w:space="0"/>
                  </w:tcBorders>
                  <w:vAlign w:val="center"/>
                </w:tcPr>
                <w:p w14:paraId="3BFBE04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机油</w:t>
                  </w:r>
                </w:p>
              </w:tc>
              <w:tc>
                <w:tcPr>
                  <w:tcW w:w="851" w:type="dxa"/>
                  <w:tcBorders>
                    <w:top w:val="single" w:color="auto" w:sz="4" w:space="0"/>
                    <w:left w:val="single" w:color="auto" w:sz="4" w:space="0"/>
                    <w:bottom w:val="single" w:color="auto" w:sz="4" w:space="0"/>
                    <w:right w:val="single" w:color="auto" w:sz="4" w:space="0"/>
                  </w:tcBorders>
                  <w:vAlign w:val="center"/>
                </w:tcPr>
                <w:p w14:paraId="48D6FA9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0.5</w:t>
                  </w:r>
                </w:p>
              </w:tc>
              <w:tc>
                <w:tcPr>
                  <w:tcW w:w="1010" w:type="dxa"/>
                  <w:tcBorders>
                    <w:top w:val="single" w:color="auto" w:sz="4" w:space="0"/>
                    <w:left w:val="single" w:color="auto" w:sz="4" w:space="0"/>
                    <w:bottom w:val="single" w:color="auto" w:sz="4" w:space="0"/>
                    <w:right w:val="single" w:color="auto" w:sz="4" w:space="0"/>
                  </w:tcBorders>
                  <w:vAlign w:val="center"/>
                </w:tcPr>
                <w:p w14:paraId="7A58A96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0.2</w:t>
                  </w:r>
                </w:p>
              </w:tc>
              <w:tc>
                <w:tcPr>
                  <w:tcW w:w="994" w:type="dxa"/>
                  <w:tcBorders>
                    <w:top w:val="single" w:color="auto" w:sz="4" w:space="0"/>
                    <w:left w:val="single" w:color="auto" w:sz="4" w:space="0"/>
                    <w:bottom w:val="single" w:color="auto" w:sz="4" w:space="0"/>
                    <w:right w:val="single" w:color="auto" w:sz="4" w:space="0"/>
                  </w:tcBorders>
                  <w:vAlign w:val="center"/>
                </w:tcPr>
                <w:p w14:paraId="3666DA5C">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w:t>
                  </w:r>
                </w:p>
              </w:tc>
              <w:tc>
                <w:tcPr>
                  <w:tcW w:w="2103" w:type="dxa"/>
                  <w:tcBorders>
                    <w:top w:val="single" w:color="auto" w:sz="4" w:space="0"/>
                    <w:left w:val="single" w:color="auto" w:sz="4" w:space="0"/>
                    <w:bottom w:val="single" w:color="auto" w:sz="4" w:space="0"/>
                    <w:right w:val="single" w:color="auto" w:sz="4" w:space="0"/>
                  </w:tcBorders>
                  <w:vAlign w:val="center"/>
                </w:tcPr>
                <w:p w14:paraId="22D3D97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外购</w:t>
                  </w:r>
                </w:p>
              </w:tc>
              <w:tc>
                <w:tcPr>
                  <w:tcW w:w="1504" w:type="dxa"/>
                  <w:tcBorders>
                    <w:top w:val="single" w:color="auto" w:sz="4" w:space="0"/>
                    <w:left w:val="single" w:color="auto" w:sz="4" w:space="0"/>
                    <w:bottom w:val="single" w:color="auto" w:sz="4" w:space="0"/>
                    <w:right w:val="nil"/>
                  </w:tcBorders>
                  <w:vAlign w:val="center"/>
                </w:tcPr>
                <w:p w14:paraId="344A35C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544424D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41" w:type="dxa"/>
                  <w:tcBorders>
                    <w:top w:val="single" w:color="auto" w:sz="4" w:space="0"/>
                    <w:left w:val="nil"/>
                    <w:bottom w:val="single" w:color="auto" w:sz="4" w:space="0"/>
                    <w:right w:val="single" w:color="auto" w:sz="4" w:space="0"/>
                  </w:tcBorders>
                  <w:vAlign w:val="center"/>
                </w:tcPr>
                <w:p w14:paraId="25D74944">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w:t>
                  </w:r>
                </w:p>
              </w:tc>
              <w:tc>
                <w:tcPr>
                  <w:tcW w:w="1783" w:type="dxa"/>
                  <w:tcBorders>
                    <w:top w:val="single" w:color="auto" w:sz="4" w:space="0"/>
                    <w:left w:val="single" w:color="auto" w:sz="4" w:space="0"/>
                    <w:bottom w:val="single" w:color="auto" w:sz="4" w:space="0"/>
                    <w:right w:val="single" w:color="auto" w:sz="4" w:space="0"/>
                  </w:tcBorders>
                  <w:vAlign w:val="center"/>
                </w:tcPr>
                <w:p w14:paraId="4F227C0F">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生石灰</w:t>
                  </w:r>
                </w:p>
              </w:tc>
              <w:tc>
                <w:tcPr>
                  <w:tcW w:w="851" w:type="dxa"/>
                  <w:tcBorders>
                    <w:top w:val="single" w:color="auto" w:sz="4" w:space="0"/>
                    <w:left w:val="single" w:color="auto" w:sz="4" w:space="0"/>
                    <w:bottom w:val="single" w:color="auto" w:sz="4" w:space="0"/>
                    <w:right w:val="single" w:color="auto" w:sz="4" w:space="0"/>
                  </w:tcBorders>
                  <w:vAlign w:val="center"/>
                </w:tcPr>
                <w:p w14:paraId="78FE3ACA">
                  <w:pPr>
                    <w:pStyle w:val="135"/>
                    <w:rPr>
                      <w:rFonts w:eastAsiaTheme="minorEastAsia"/>
                      <w:color w:val="0000FF"/>
                    </w:rPr>
                  </w:pPr>
                  <w:r>
                    <w:rPr>
                      <w:rFonts w:eastAsiaTheme="minorEastAsia"/>
                      <w:color w:val="0000FF"/>
                    </w:rPr>
                    <w:t>7.5</w:t>
                  </w:r>
                </w:p>
              </w:tc>
              <w:tc>
                <w:tcPr>
                  <w:tcW w:w="1010" w:type="dxa"/>
                  <w:tcBorders>
                    <w:top w:val="single" w:color="auto" w:sz="4" w:space="0"/>
                    <w:left w:val="single" w:color="auto" w:sz="4" w:space="0"/>
                    <w:bottom w:val="single" w:color="auto" w:sz="4" w:space="0"/>
                    <w:right w:val="single" w:color="auto" w:sz="4" w:space="0"/>
                  </w:tcBorders>
                  <w:vAlign w:val="center"/>
                </w:tcPr>
                <w:p w14:paraId="4C22547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0.5</w:t>
                  </w:r>
                </w:p>
              </w:tc>
              <w:tc>
                <w:tcPr>
                  <w:tcW w:w="994" w:type="dxa"/>
                  <w:tcBorders>
                    <w:top w:val="single" w:color="auto" w:sz="4" w:space="0"/>
                    <w:left w:val="single" w:color="auto" w:sz="4" w:space="0"/>
                    <w:bottom w:val="single" w:color="auto" w:sz="4" w:space="0"/>
                    <w:right w:val="single" w:color="auto" w:sz="4" w:space="0"/>
                  </w:tcBorders>
                  <w:vAlign w:val="center"/>
                </w:tcPr>
                <w:p w14:paraId="5C0E2CA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w:t>
                  </w:r>
                </w:p>
              </w:tc>
              <w:tc>
                <w:tcPr>
                  <w:tcW w:w="2103" w:type="dxa"/>
                  <w:tcBorders>
                    <w:top w:val="single" w:color="auto" w:sz="4" w:space="0"/>
                    <w:left w:val="single" w:color="auto" w:sz="4" w:space="0"/>
                    <w:bottom w:val="single" w:color="auto" w:sz="4" w:space="0"/>
                    <w:right w:val="single" w:color="auto" w:sz="4" w:space="0"/>
                  </w:tcBorders>
                  <w:vAlign w:val="center"/>
                </w:tcPr>
                <w:p w14:paraId="26D4901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外购</w:t>
                  </w:r>
                </w:p>
              </w:tc>
              <w:tc>
                <w:tcPr>
                  <w:tcW w:w="1504" w:type="dxa"/>
                  <w:tcBorders>
                    <w:top w:val="single" w:color="auto" w:sz="4" w:space="0"/>
                    <w:left w:val="single" w:color="auto" w:sz="4" w:space="0"/>
                    <w:bottom w:val="single" w:color="auto" w:sz="4" w:space="0"/>
                    <w:right w:val="nil"/>
                  </w:tcBorders>
                  <w:vAlign w:val="center"/>
                </w:tcPr>
                <w:p w14:paraId="43A962E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4AD085E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41" w:type="dxa"/>
                  <w:tcBorders>
                    <w:top w:val="single" w:color="auto" w:sz="4" w:space="0"/>
                    <w:left w:val="nil"/>
                    <w:bottom w:val="single" w:color="auto" w:sz="4" w:space="0"/>
                    <w:right w:val="single" w:color="auto" w:sz="4" w:space="0"/>
                  </w:tcBorders>
                  <w:vAlign w:val="center"/>
                </w:tcPr>
                <w:p w14:paraId="5547102B">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2244325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能源名称</w:t>
                  </w:r>
                </w:p>
              </w:tc>
              <w:tc>
                <w:tcPr>
                  <w:tcW w:w="851" w:type="dxa"/>
                  <w:tcBorders>
                    <w:top w:val="single" w:color="auto" w:sz="4" w:space="0"/>
                    <w:left w:val="single" w:color="auto" w:sz="4" w:space="0"/>
                    <w:bottom w:val="single" w:color="auto" w:sz="4" w:space="0"/>
                    <w:right w:val="single" w:color="auto" w:sz="4" w:space="0"/>
                  </w:tcBorders>
                  <w:vAlign w:val="center"/>
                </w:tcPr>
                <w:p w14:paraId="2D4B081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单位</w:t>
                  </w:r>
                </w:p>
              </w:tc>
              <w:tc>
                <w:tcPr>
                  <w:tcW w:w="1010" w:type="dxa"/>
                  <w:tcBorders>
                    <w:top w:val="single" w:color="auto" w:sz="4" w:space="0"/>
                    <w:left w:val="single" w:color="auto" w:sz="4" w:space="0"/>
                    <w:bottom w:val="single" w:color="auto" w:sz="4" w:space="0"/>
                    <w:right w:val="single" w:color="auto" w:sz="4" w:space="0"/>
                  </w:tcBorders>
                  <w:vAlign w:val="center"/>
                </w:tcPr>
                <w:p w14:paraId="3282632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年用量</w:t>
                  </w:r>
                </w:p>
              </w:tc>
              <w:tc>
                <w:tcPr>
                  <w:tcW w:w="994" w:type="dxa"/>
                  <w:tcBorders>
                    <w:top w:val="single" w:color="auto" w:sz="4" w:space="0"/>
                    <w:left w:val="single" w:color="auto" w:sz="4" w:space="0"/>
                    <w:bottom w:val="single" w:color="auto" w:sz="4" w:space="0"/>
                    <w:right w:val="single" w:color="auto" w:sz="4" w:space="0"/>
                  </w:tcBorders>
                  <w:vAlign w:val="center"/>
                </w:tcPr>
                <w:p w14:paraId="4F2382BF">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储存位置</w:t>
                  </w:r>
                </w:p>
              </w:tc>
              <w:tc>
                <w:tcPr>
                  <w:tcW w:w="2103" w:type="dxa"/>
                  <w:tcBorders>
                    <w:top w:val="single" w:color="auto" w:sz="4" w:space="0"/>
                    <w:left w:val="single" w:color="auto" w:sz="4" w:space="0"/>
                    <w:bottom w:val="single" w:color="auto" w:sz="4" w:space="0"/>
                    <w:right w:val="single" w:color="auto" w:sz="4" w:space="0"/>
                  </w:tcBorders>
                  <w:vAlign w:val="center"/>
                </w:tcPr>
                <w:p w14:paraId="205BCB9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来源</w:t>
                  </w:r>
                </w:p>
              </w:tc>
              <w:tc>
                <w:tcPr>
                  <w:tcW w:w="1504" w:type="dxa"/>
                  <w:tcBorders>
                    <w:top w:val="single" w:color="auto" w:sz="4" w:space="0"/>
                    <w:left w:val="single" w:color="auto" w:sz="4" w:space="0"/>
                    <w:bottom w:val="single" w:color="auto" w:sz="4" w:space="0"/>
                    <w:right w:val="nil"/>
                  </w:tcBorders>
                  <w:vAlign w:val="center"/>
                </w:tcPr>
                <w:p w14:paraId="7C9DBFB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56659E8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41" w:type="dxa"/>
                  <w:tcBorders>
                    <w:top w:val="single" w:color="auto" w:sz="4" w:space="0"/>
                    <w:left w:val="nil"/>
                    <w:bottom w:val="single" w:color="auto" w:sz="4" w:space="0"/>
                    <w:right w:val="single" w:color="auto" w:sz="4" w:space="0"/>
                  </w:tcBorders>
                  <w:vAlign w:val="center"/>
                </w:tcPr>
                <w:p w14:paraId="3CACDDC8">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783" w:type="dxa"/>
                  <w:tcBorders>
                    <w:top w:val="single" w:color="auto" w:sz="4" w:space="0"/>
                    <w:left w:val="single" w:color="auto" w:sz="4" w:space="0"/>
                    <w:bottom w:val="single" w:color="auto" w:sz="4" w:space="0"/>
                    <w:right w:val="single" w:color="auto" w:sz="4" w:space="0"/>
                  </w:tcBorders>
                  <w:vAlign w:val="center"/>
                </w:tcPr>
                <w:p w14:paraId="4EC521B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电</w:t>
                  </w:r>
                </w:p>
              </w:tc>
              <w:tc>
                <w:tcPr>
                  <w:tcW w:w="851" w:type="dxa"/>
                  <w:tcBorders>
                    <w:top w:val="single" w:color="auto" w:sz="4" w:space="0"/>
                    <w:left w:val="single" w:color="auto" w:sz="4" w:space="0"/>
                    <w:bottom w:val="single" w:color="auto" w:sz="4" w:space="0"/>
                    <w:right w:val="single" w:color="auto" w:sz="4" w:space="0"/>
                  </w:tcBorders>
                  <w:vAlign w:val="center"/>
                </w:tcPr>
                <w:p w14:paraId="7BAB3E1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Kwh/a</w:t>
                  </w:r>
                </w:p>
              </w:tc>
              <w:tc>
                <w:tcPr>
                  <w:tcW w:w="1010" w:type="dxa"/>
                  <w:tcBorders>
                    <w:top w:val="single" w:color="auto" w:sz="4" w:space="0"/>
                    <w:left w:val="single" w:color="auto" w:sz="4" w:space="0"/>
                    <w:bottom w:val="single" w:color="auto" w:sz="4" w:space="0"/>
                    <w:right w:val="single" w:color="auto" w:sz="4" w:space="0"/>
                  </w:tcBorders>
                  <w:vAlign w:val="center"/>
                </w:tcPr>
                <w:p w14:paraId="73793B8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40万</w:t>
                  </w:r>
                </w:p>
              </w:tc>
              <w:tc>
                <w:tcPr>
                  <w:tcW w:w="994" w:type="dxa"/>
                  <w:tcBorders>
                    <w:top w:val="single" w:color="auto" w:sz="4" w:space="0"/>
                    <w:left w:val="single" w:color="auto" w:sz="4" w:space="0"/>
                    <w:bottom w:val="single" w:color="auto" w:sz="4" w:space="0"/>
                    <w:right w:val="single" w:color="auto" w:sz="4" w:space="0"/>
                  </w:tcBorders>
                  <w:vAlign w:val="center"/>
                </w:tcPr>
                <w:p w14:paraId="0CECFDE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2103" w:type="dxa"/>
                  <w:tcBorders>
                    <w:top w:val="single" w:color="auto" w:sz="4" w:space="0"/>
                    <w:left w:val="single" w:color="auto" w:sz="4" w:space="0"/>
                    <w:bottom w:val="single" w:color="auto" w:sz="4" w:space="0"/>
                    <w:right w:val="single" w:color="auto" w:sz="4" w:space="0"/>
                  </w:tcBorders>
                  <w:vAlign w:val="center"/>
                </w:tcPr>
                <w:p w14:paraId="7AD5AE1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依托朝阳县瓦房子镇宏兴锰矿（本项目租用其部分场地）</w:t>
                  </w:r>
                </w:p>
              </w:tc>
              <w:tc>
                <w:tcPr>
                  <w:tcW w:w="1504" w:type="dxa"/>
                  <w:tcBorders>
                    <w:top w:val="single" w:color="auto" w:sz="4" w:space="0"/>
                    <w:left w:val="single" w:color="auto" w:sz="4" w:space="0"/>
                    <w:bottom w:val="single" w:color="auto" w:sz="4" w:space="0"/>
                    <w:right w:val="nil"/>
                  </w:tcBorders>
                  <w:vAlign w:val="center"/>
                </w:tcPr>
                <w:p w14:paraId="72843EAE">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27390E7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441" w:type="dxa"/>
                  <w:tcBorders>
                    <w:top w:val="single" w:color="auto" w:sz="4" w:space="0"/>
                    <w:left w:val="nil"/>
                    <w:bottom w:val="single" w:color="auto" w:sz="4" w:space="0"/>
                    <w:right w:val="single" w:color="auto" w:sz="4" w:space="0"/>
                  </w:tcBorders>
                  <w:vAlign w:val="center"/>
                </w:tcPr>
                <w:p w14:paraId="137EC077">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783" w:type="dxa"/>
                  <w:tcBorders>
                    <w:top w:val="single" w:color="auto" w:sz="4" w:space="0"/>
                    <w:left w:val="single" w:color="auto" w:sz="4" w:space="0"/>
                    <w:bottom w:val="single" w:color="auto" w:sz="4" w:space="0"/>
                    <w:right w:val="single" w:color="auto" w:sz="4" w:space="0"/>
                  </w:tcBorders>
                  <w:vAlign w:val="center"/>
                </w:tcPr>
                <w:p w14:paraId="00AA438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新鲜水</w:t>
                  </w:r>
                </w:p>
              </w:tc>
              <w:tc>
                <w:tcPr>
                  <w:tcW w:w="851" w:type="dxa"/>
                  <w:tcBorders>
                    <w:top w:val="single" w:color="auto" w:sz="4" w:space="0"/>
                    <w:left w:val="single" w:color="auto" w:sz="4" w:space="0"/>
                    <w:bottom w:val="single" w:color="auto" w:sz="4" w:space="0"/>
                    <w:right w:val="single" w:color="auto" w:sz="4" w:space="0"/>
                  </w:tcBorders>
                  <w:vAlign w:val="center"/>
                </w:tcPr>
                <w:p w14:paraId="1EEDC25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t/a</w:t>
                  </w:r>
                </w:p>
              </w:tc>
              <w:tc>
                <w:tcPr>
                  <w:tcW w:w="1010" w:type="dxa"/>
                  <w:tcBorders>
                    <w:top w:val="single" w:color="auto" w:sz="4" w:space="0"/>
                    <w:left w:val="single" w:color="auto" w:sz="4" w:space="0"/>
                    <w:bottom w:val="single" w:color="auto" w:sz="4" w:space="0"/>
                    <w:right w:val="single" w:color="auto" w:sz="4" w:space="0"/>
                  </w:tcBorders>
                  <w:vAlign w:val="center"/>
                </w:tcPr>
                <w:p w14:paraId="2245B989">
                  <w:pPr>
                    <w:pStyle w:val="135"/>
                    <w:rPr>
                      <w:rFonts w:eastAsiaTheme="minorEastAsia"/>
                      <w:color w:val="000000" w:themeColor="text1"/>
                      <w14:textFill>
                        <w14:solidFill>
                          <w14:schemeClr w14:val="tx1"/>
                        </w14:solidFill>
                      </w14:textFill>
                    </w:rPr>
                  </w:pPr>
                  <w:r>
                    <w:rPr>
                      <w:rFonts w:eastAsiaTheme="minorEastAsia"/>
                      <w:color w:val="0000FF"/>
                    </w:rPr>
                    <w:t>4130.38</w:t>
                  </w:r>
                </w:p>
              </w:tc>
              <w:tc>
                <w:tcPr>
                  <w:tcW w:w="994" w:type="dxa"/>
                  <w:tcBorders>
                    <w:top w:val="single" w:color="auto" w:sz="4" w:space="0"/>
                    <w:left w:val="single" w:color="auto" w:sz="4" w:space="0"/>
                    <w:bottom w:val="single" w:color="auto" w:sz="4" w:space="0"/>
                    <w:right w:val="single" w:color="auto" w:sz="4" w:space="0"/>
                  </w:tcBorders>
                  <w:vAlign w:val="center"/>
                </w:tcPr>
                <w:p w14:paraId="67EB7CA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2103" w:type="dxa"/>
                  <w:tcBorders>
                    <w:top w:val="single" w:color="auto" w:sz="4" w:space="0"/>
                    <w:left w:val="single" w:color="auto" w:sz="4" w:space="0"/>
                    <w:bottom w:val="single" w:color="auto" w:sz="4" w:space="0"/>
                    <w:right w:val="single" w:color="auto" w:sz="4" w:space="0"/>
                  </w:tcBorders>
                  <w:vAlign w:val="center"/>
                </w:tcPr>
                <w:p w14:paraId="5019AD2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依托朝阳县瓦房子镇宏兴锰矿（本项目租用其部分场地）</w:t>
                  </w:r>
                </w:p>
              </w:tc>
              <w:tc>
                <w:tcPr>
                  <w:tcW w:w="1504" w:type="dxa"/>
                  <w:tcBorders>
                    <w:top w:val="single" w:color="auto" w:sz="4" w:space="0"/>
                    <w:left w:val="single" w:color="auto" w:sz="4" w:space="0"/>
                    <w:bottom w:val="single" w:color="auto" w:sz="4" w:space="0"/>
                    <w:right w:val="nil"/>
                  </w:tcBorders>
                  <w:vAlign w:val="center"/>
                </w:tcPr>
                <w:p w14:paraId="0414A63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14:paraId="63F0553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441" w:type="dxa"/>
                  <w:tcBorders>
                    <w:top w:val="single" w:color="auto" w:sz="4" w:space="0"/>
                    <w:left w:val="nil"/>
                    <w:bottom w:val="double" w:color="auto" w:sz="2" w:space="0"/>
                    <w:right w:val="single" w:color="auto" w:sz="4" w:space="0"/>
                  </w:tcBorders>
                  <w:vAlign w:val="center"/>
                </w:tcPr>
                <w:p w14:paraId="52EC51C1">
                  <w:pPr>
                    <w:pStyle w:val="135"/>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1783" w:type="dxa"/>
                  <w:tcBorders>
                    <w:top w:val="single" w:color="auto" w:sz="4" w:space="0"/>
                    <w:left w:val="single" w:color="auto" w:sz="4" w:space="0"/>
                    <w:bottom w:val="double" w:color="auto" w:sz="2" w:space="0"/>
                    <w:right w:val="single" w:color="auto" w:sz="4" w:space="0"/>
                  </w:tcBorders>
                  <w:vAlign w:val="center"/>
                </w:tcPr>
                <w:p w14:paraId="4F093C3E">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高炉煤气</w:t>
                  </w:r>
                </w:p>
              </w:tc>
              <w:tc>
                <w:tcPr>
                  <w:tcW w:w="851" w:type="dxa"/>
                  <w:tcBorders>
                    <w:top w:val="single" w:color="auto" w:sz="4" w:space="0"/>
                    <w:left w:val="single" w:color="auto" w:sz="4" w:space="0"/>
                    <w:bottom w:val="double" w:color="auto" w:sz="2" w:space="0"/>
                    <w:right w:val="single" w:color="auto" w:sz="4" w:space="0"/>
                  </w:tcBorders>
                  <w:vAlign w:val="center"/>
                </w:tcPr>
                <w:p w14:paraId="3058FC4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万m</w:t>
                  </w:r>
                  <w:r>
                    <w:rPr>
                      <w:rFonts w:eastAsiaTheme="minorEastAsia"/>
                      <w:color w:val="000000" w:themeColor="text1"/>
                      <w:vertAlign w:val="superscript"/>
                      <w14:textFill>
                        <w14:solidFill>
                          <w14:schemeClr w14:val="tx1"/>
                        </w14:solidFill>
                      </w14:textFill>
                    </w:rPr>
                    <w:t>3</w:t>
                  </w:r>
                </w:p>
              </w:tc>
              <w:tc>
                <w:tcPr>
                  <w:tcW w:w="1010" w:type="dxa"/>
                  <w:tcBorders>
                    <w:top w:val="single" w:color="auto" w:sz="4" w:space="0"/>
                    <w:left w:val="single" w:color="auto" w:sz="4" w:space="0"/>
                    <w:bottom w:val="double" w:color="auto" w:sz="2" w:space="0"/>
                    <w:right w:val="single" w:color="auto" w:sz="4" w:space="0"/>
                  </w:tcBorders>
                  <w:vAlign w:val="center"/>
                </w:tcPr>
                <w:p w14:paraId="60D2FCE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540</w:t>
                  </w:r>
                </w:p>
              </w:tc>
              <w:tc>
                <w:tcPr>
                  <w:tcW w:w="994" w:type="dxa"/>
                  <w:tcBorders>
                    <w:top w:val="single" w:color="auto" w:sz="4" w:space="0"/>
                    <w:left w:val="single" w:color="auto" w:sz="4" w:space="0"/>
                    <w:bottom w:val="double" w:color="auto" w:sz="2" w:space="0"/>
                    <w:right w:val="single" w:color="auto" w:sz="4" w:space="0"/>
                  </w:tcBorders>
                  <w:vAlign w:val="center"/>
                </w:tcPr>
                <w:p w14:paraId="193CB38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2103" w:type="dxa"/>
                  <w:tcBorders>
                    <w:top w:val="single" w:color="auto" w:sz="4" w:space="0"/>
                    <w:left w:val="single" w:color="auto" w:sz="4" w:space="0"/>
                    <w:bottom w:val="double" w:color="auto" w:sz="2" w:space="0"/>
                    <w:right w:val="single" w:color="auto" w:sz="4" w:space="0"/>
                  </w:tcBorders>
                  <w:vAlign w:val="center"/>
                </w:tcPr>
                <w:p w14:paraId="48BF65A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来自朝阳县瓦房子镇宏兴锰矿高炉煤气，通过管线接入本项目</w:t>
                  </w:r>
                </w:p>
              </w:tc>
              <w:tc>
                <w:tcPr>
                  <w:tcW w:w="1504" w:type="dxa"/>
                  <w:tcBorders>
                    <w:top w:val="single" w:color="auto" w:sz="4" w:space="0"/>
                    <w:left w:val="single" w:color="auto" w:sz="4" w:space="0"/>
                    <w:bottom w:val="double" w:color="auto" w:sz="2" w:space="0"/>
                    <w:right w:val="nil"/>
                  </w:tcBorders>
                  <w:vAlign w:val="center"/>
                </w:tcPr>
                <w:p w14:paraId="71ABB94B">
                  <w:pPr>
                    <w:pStyle w:val="135"/>
                    <w:rPr>
                      <w:rFonts w:eastAsiaTheme="minorEastAsia"/>
                      <w:color w:val="000000" w:themeColor="text1"/>
                      <w14:textFill>
                        <w14:solidFill>
                          <w14:schemeClr w14:val="tx1"/>
                        </w14:solidFill>
                      </w14:textFill>
                    </w:rPr>
                  </w:pPr>
                  <w:r>
                    <w:rPr>
                      <w:rFonts w:eastAsiaTheme="minorEastAsia"/>
                      <w:color w:val="0000FF"/>
                    </w:rPr>
                    <w:t>小时消耗量1875 m</w:t>
                  </w:r>
                  <w:r>
                    <w:rPr>
                      <w:rFonts w:eastAsiaTheme="minorEastAsia"/>
                      <w:color w:val="0000FF"/>
                      <w:vertAlign w:val="superscript"/>
                    </w:rPr>
                    <w:t>3</w:t>
                  </w:r>
                  <w:r>
                    <w:rPr>
                      <w:rFonts w:eastAsiaTheme="minorEastAsia"/>
                      <w:color w:val="0000FF"/>
                    </w:rPr>
                    <w:t>/h；为降低成本及风险，本项目不设置储存设备，且高炉煤气来源企业停产风险较小，若因停产对本项目原料及燃料产生影响，双方另行协商</w:t>
                  </w:r>
                </w:p>
              </w:tc>
            </w:tr>
          </w:tbl>
          <w:p w14:paraId="160269F7">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表2-11项目主要原辅料理化性质一览表</w:t>
            </w:r>
          </w:p>
          <w:tbl>
            <w:tblPr>
              <w:tblStyle w:val="35"/>
              <w:tblW w:w="0" w:type="auto"/>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6999"/>
            </w:tblGrid>
            <w:tr w14:paraId="2FD239F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08" w:type="dxa"/>
                  <w:tcBorders>
                    <w:top w:val="double" w:color="auto" w:sz="2" w:space="0"/>
                    <w:left w:val="nil"/>
                    <w:bottom w:val="single" w:color="auto" w:sz="4" w:space="0"/>
                    <w:right w:val="single" w:color="auto" w:sz="4" w:space="0"/>
                  </w:tcBorders>
                  <w:vAlign w:val="center"/>
                </w:tcPr>
                <w:p w14:paraId="75A7DEA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名称</w:t>
                  </w:r>
                </w:p>
              </w:tc>
              <w:tc>
                <w:tcPr>
                  <w:tcW w:w="6999" w:type="dxa"/>
                  <w:tcBorders>
                    <w:top w:val="double" w:color="auto" w:sz="2" w:space="0"/>
                    <w:left w:val="single" w:color="auto" w:sz="4" w:space="0"/>
                    <w:bottom w:val="single" w:color="auto" w:sz="4" w:space="0"/>
                    <w:right w:val="nil"/>
                  </w:tcBorders>
                  <w:vAlign w:val="center"/>
                </w:tcPr>
                <w:p w14:paraId="44168AA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理化性质</w:t>
                  </w:r>
                </w:p>
              </w:tc>
            </w:tr>
            <w:tr w14:paraId="08FAAE3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8" w:type="dxa"/>
                  <w:tcBorders>
                    <w:left w:val="nil"/>
                    <w:right w:val="single" w:color="auto" w:sz="4" w:space="0"/>
                  </w:tcBorders>
                  <w:vAlign w:val="center"/>
                </w:tcPr>
                <w:p w14:paraId="2F06273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锰矿石废料</w:t>
                  </w:r>
                </w:p>
              </w:tc>
              <w:tc>
                <w:tcPr>
                  <w:tcW w:w="6999" w:type="dxa"/>
                  <w:tcBorders>
                    <w:top w:val="single" w:color="auto" w:sz="4" w:space="0"/>
                    <w:left w:val="single" w:color="auto" w:sz="4" w:space="0"/>
                    <w:bottom w:val="single" w:color="auto" w:sz="4" w:space="0"/>
                    <w:right w:val="nil"/>
                  </w:tcBorders>
                  <w:vAlign w:val="center"/>
                </w:tcPr>
                <w:p w14:paraId="1A1A960A">
                  <w:pPr>
                    <w:pStyle w:val="135"/>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锰矿石废料</w:t>
                  </w:r>
                  <w:r>
                    <w:rPr>
                      <w:rFonts w:eastAsiaTheme="minorEastAsia"/>
                      <w:color w:val="000000" w:themeColor="text1"/>
                      <w:shd w:val="clear" w:color="auto" w:fill="FFFFFF"/>
                      <w14:textFill>
                        <w14:solidFill>
                          <w14:schemeClr w14:val="tx1"/>
                        </w14:solidFill>
                      </w14:textFill>
                    </w:rPr>
                    <w:t>物理性质表现为块状或粗粒状，结构松散至致密不等，孔隙率和硬度因矿床类型而异。化学组成以二氧化硅、碳酸盐或硅酸盐等脉石矿物为主，锰元素多以低品位的氧化锰（如软锰矿、硬锰矿）或碳酸锰（菱锰矿）形式散布其中，并常伴生铁、钙、镁等元素。其矿物组成复杂，含有大量石英、方解石、粘土等杂质。整体化学活性较低。</w:t>
                  </w:r>
                </w:p>
              </w:tc>
            </w:tr>
            <w:tr w14:paraId="26E4593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8" w:type="dxa"/>
                  <w:tcBorders>
                    <w:left w:val="nil"/>
                    <w:right w:val="single" w:color="auto" w:sz="4" w:space="0"/>
                  </w:tcBorders>
                  <w:vAlign w:val="center"/>
                </w:tcPr>
                <w:p w14:paraId="13F935E4">
                  <w:pPr>
                    <w:pStyle w:val="135"/>
                    <w:rPr>
                      <w:rFonts w:eastAsiaTheme="minorEastAsia"/>
                      <w:color w:val="0000FF"/>
                    </w:rPr>
                  </w:pPr>
                  <w:r>
                    <w:rPr>
                      <w:rFonts w:eastAsiaTheme="minorEastAsia"/>
                      <w:color w:val="0000FF"/>
                    </w:rPr>
                    <w:t>膨润土</w:t>
                  </w:r>
                </w:p>
              </w:tc>
              <w:tc>
                <w:tcPr>
                  <w:tcW w:w="6999" w:type="dxa"/>
                  <w:tcBorders>
                    <w:top w:val="single" w:color="auto" w:sz="4" w:space="0"/>
                    <w:left w:val="single" w:color="auto" w:sz="4" w:space="0"/>
                    <w:bottom w:val="single" w:color="auto" w:sz="4" w:space="0"/>
                    <w:right w:val="nil"/>
                  </w:tcBorders>
                  <w:vAlign w:val="center"/>
                </w:tcPr>
                <w:p w14:paraId="5A95261F">
                  <w:pPr>
                    <w:pStyle w:val="135"/>
                    <w:jc w:val="left"/>
                    <w:rPr>
                      <w:rFonts w:eastAsiaTheme="minorEastAsia"/>
                      <w:color w:val="0000FF"/>
                    </w:rPr>
                  </w:pPr>
                  <w:r>
                    <w:rPr>
                      <w:rFonts w:eastAsiaTheme="minorEastAsia"/>
                      <w:color w:val="0000FF"/>
                    </w:rPr>
                    <w:t>以蒙脱石为主要矿物成分的含水黏土矿，外观为白色、淡黄色或浅灰色粉末，密度2.0~3.0g/cm³，硬度1~2.5，熔点1330~1430℃。主要化学成分为SiO₂（50%~74%）和Al₂O₃（15%~25%），另含少量Fe₂O₃、CaO、Na₂O、K₂O等。蒙脱石属单斜晶系2:1型层状铝硅酸盐结构，层间含有可交换阳离子（Ca²</w:t>
                  </w:r>
                  <w:r>
                    <w:rPr>
                      <w:rFonts w:eastAsia="MS Gothic"/>
                      <w:color w:val="0000FF"/>
                    </w:rPr>
                    <w:t>⁺</w:t>
                  </w:r>
                  <w:r>
                    <w:rPr>
                      <w:rFonts w:eastAsiaTheme="minorEastAsia"/>
                      <w:color w:val="0000FF"/>
                    </w:rPr>
                    <w:t>、Na</w:t>
                  </w:r>
                  <w:r>
                    <w:rPr>
                      <w:rFonts w:eastAsia="MS Gothic"/>
                      <w:color w:val="0000FF"/>
                    </w:rPr>
                    <w:t>⁺</w:t>
                  </w:r>
                  <w:r>
                    <w:rPr>
                      <w:rFonts w:eastAsiaTheme="minorEastAsia"/>
                      <w:color w:val="0000FF"/>
                    </w:rPr>
                    <w:t>、Mg²</w:t>
                  </w:r>
                  <w:r>
                    <w:rPr>
                      <w:rFonts w:eastAsia="MS Gothic"/>
                      <w:color w:val="0000FF"/>
                    </w:rPr>
                    <w:t>⁺</w:t>
                  </w:r>
                  <w:r>
                    <w:rPr>
                      <w:rFonts w:eastAsiaTheme="minorEastAsia"/>
                      <w:color w:val="0000FF"/>
                    </w:rPr>
                    <w:t>、K</w:t>
                  </w:r>
                  <w:r>
                    <w:rPr>
                      <w:rFonts w:eastAsia="MS Gothic"/>
                      <w:color w:val="0000FF"/>
                    </w:rPr>
                    <w:t>⁺</w:t>
                  </w:r>
                  <w:r>
                    <w:rPr>
                      <w:rFonts w:eastAsiaTheme="minorEastAsia"/>
                      <w:color w:val="0000FF"/>
                    </w:rPr>
                    <w:t>等），赋予其优良的吸水膨胀性（吸水后体积膨胀8~15倍）、粘结性、悬浮分散性及阳离子交换能力。本项目利用其粘结性和吸水膨胀性，作为造球工序的粘结剂使用。</w:t>
                  </w:r>
                </w:p>
              </w:tc>
            </w:tr>
            <w:tr w14:paraId="4F97CDF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8" w:type="dxa"/>
                  <w:tcBorders>
                    <w:left w:val="nil"/>
                    <w:bottom w:val="single" w:color="auto" w:sz="4" w:space="0"/>
                    <w:right w:val="single" w:color="auto" w:sz="4" w:space="0"/>
                  </w:tcBorders>
                  <w:vAlign w:val="center"/>
                </w:tcPr>
                <w:p w14:paraId="21405B2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生石灰</w:t>
                  </w:r>
                </w:p>
              </w:tc>
              <w:tc>
                <w:tcPr>
                  <w:tcW w:w="6999" w:type="dxa"/>
                  <w:tcBorders>
                    <w:top w:val="single" w:color="auto" w:sz="4" w:space="0"/>
                    <w:left w:val="single" w:color="auto" w:sz="4" w:space="0"/>
                    <w:bottom w:val="single" w:color="auto" w:sz="4" w:space="0"/>
                    <w:right w:val="nil"/>
                  </w:tcBorders>
                  <w:vAlign w:val="center"/>
                </w:tcPr>
                <w:p w14:paraId="3CF64A93">
                  <w:pPr>
                    <w:pStyle w:val="135"/>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石灰，主要成分为氧化钙（CaO），通常呈现为白色或灰白色的坚硬块状、颗粒或粉末。其物理性质表现为密度较高（约3.3g/cm³）、熔点极高（达2572℃），且不溶于水但具有极强的吸湿性。化学性质异常活泼，其核心反应是与水剧烈化合，生成氢氧化钙并释放大量热，此过程称为</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熟化</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作为一种典型的碱性氧化物，它能与大多数酸发生中和反应，生成相应的钙盐和水。在高温条件下，它能与二氧化硅等酸性氧化物反应生成硅酸盐。此外，在空气中它会缓慢吸收水分和二氧化碳，最终转变为碳酸钙。</w:t>
                  </w:r>
                </w:p>
              </w:tc>
            </w:tr>
            <w:tr w14:paraId="206748C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tcBorders>
                    <w:top w:val="single" w:color="auto" w:sz="4" w:space="0"/>
                    <w:left w:val="nil"/>
                    <w:bottom w:val="single" w:color="auto" w:sz="4" w:space="0"/>
                    <w:right w:val="single" w:color="auto" w:sz="4" w:space="0"/>
                  </w:tcBorders>
                  <w:vAlign w:val="center"/>
                </w:tcPr>
                <w:p w14:paraId="0DC500B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机油</w:t>
                  </w:r>
                </w:p>
              </w:tc>
              <w:tc>
                <w:tcPr>
                  <w:tcW w:w="6999" w:type="dxa"/>
                  <w:tcBorders>
                    <w:top w:val="single" w:color="auto" w:sz="4" w:space="0"/>
                    <w:left w:val="single" w:color="auto" w:sz="4" w:space="0"/>
                    <w:bottom w:val="single" w:color="auto" w:sz="4" w:space="0"/>
                    <w:right w:val="nil"/>
                  </w:tcBorders>
                  <w:vAlign w:val="center"/>
                </w:tcPr>
                <w:p w14:paraId="59B8C4EB">
                  <w:pPr>
                    <w:pStyle w:val="135"/>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机油由基础油和添加剂两部分组成。基础油是润滑油的主要成分，决定着润滑油的基本性质，添加剂则可弥补和改善基础油性能方面的不足，赋予某些新的性能，是润滑油的重要组成部分。基础油主要分为矿物基础油及合成基础油两大类。矿物基础油应用广泛，用量很大（约95%以上），但有些应用场合则必须使用合成基础油调配的产品。密度约为0.91×10³（kg/m³）。</w:t>
                  </w:r>
                </w:p>
              </w:tc>
            </w:tr>
            <w:tr w14:paraId="5814CF6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tcBorders>
                    <w:top w:val="single" w:color="auto" w:sz="4" w:space="0"/>
                    <w:left w:val="nil"/>
                    <w:bottom w:val="double" w:color="auto" w:sz="2" w:space="0"/>
                    <w:right w:val="single" w:color="auto" w:sz="4" w:space="0"/>
                  </w:tcBorders>
                  <w:vAlign w:val="center"/>
                </w:tcPr>
                <w:p w14:paraId="3560F41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高炉煤气</w:t>
                  </w:r>
                </w:p>
              </w:tc>
              <w:tc>
                <w:tcPr>
                  <w:tcW w:w="6999" w:type="dxa"/>
                  <w:tcBorders>
                    <w:top w:val="single" w:color="auto" w:sz="4" w:space="0"/>
                    <w:left w:val="single" w:color="auto" w:sz="4" w:space="0"/>
                    <w:bottom w:val="double" w:color="auto" w:sz="2" w:space="0"/>
                    <w:right w:val="nil"/>
                  </w:tcBorders>
                  <w:vAlign w:val="center"/>
                </w:tcPr>
                <w:p w14:paraId="63809D06">
                  <w:pPr>
                    <w:pStyle w:val="135"/>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高炉煤气是炼铁高炉生产过程中产生的副产气体，无色无味，但含有少量硫化物而带有特征性气味。其密度接近空气，主要可燃成分为一氧化碳和少量氢气，热值较低。由于含有大量氮气和二氧化碳，其燃烧温度较低，火焰呈淡蓝色且传播速度慢。化学性质上，一氧化碳具有强还原性和毒性，遇空气易形成爆炸性混合物（爆炸极限约30-74%），因此在储存、输送和使用中需严格防范泄漏与回火。</w:t>
                  </w:r>
                </w:p>
              </w:tc>
            </w:tr>
          </w:tbl>
          <w:p w14:paraId="3164EB7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本项目为固体废物加工再利用项目，对其原料中的固体废物进行分析，分析结果见下表。</w:t>
            </w:r>
          </w:p>
          <w:p w14:paraId="07AB3B82">
            <w:pPr>
              <w:pStyle w:val="92"/>
              <w:rPr>
                <w:rFonts w:eastAsiaTheme="minorEastAsia"/>
                <w:color w:val="000000"/>
              </w:rPr>
            </w:pPr>
            <w:r>
              <w:rPr>
                <w:rFonts w:eastAsiaTheme="minorEastAsia"/>
                <w:color w:val="000000"/>
              </w:rPr>
              <w:t>表2-12项目原辅材料（固体废物部分）分析表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66"/>
              <w:gridCol w:w="1608"/>
              <w:gridCol w:w="1154"/>
              <w:gridCol w:w="896"/>
              <w:gridCol w:w="1493"/>
              <w:gridCol w:w="1985"/>
              <w:gridCol w:w="1084"/>
            </w:tblGrid>
            <w:tr w14:paraId="1844744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466" w:type="dxa"/>
                  <w:tcBorders>
                    <w:top w:val="double" w:color="auto" w:sz="2" w:space="0"/>
                    <w:left w:val="nil"/>
                    <w:bottom w:val="single" w:color="auto" w:sz="4" w:space="0"/>
                    <w:right w:val="single" w:color="auto" w:sz="4" w:space="0"/>
                  </w:tcBorders>
                  <w:vAlign w:val="center"/>
                </w:tcPr>
                <w:p w14:paraId="4F16B1EF">
                  <w:pPr>
                    <w:pStyle w:val="122"/>
                    <w:rPr>
                      <w:rFonts w:eastAsiaTheme="minorEastAsia"/>
                      <w:color w:val="000000"/>
                    </w:rPr>
                  </w:pPr>
                  <w:r>
                    <w:rPr>
                      <w:rFonts w:eastAsiaTheme="minorEastAsia"/>
                      <w:color w:val="000000"/>
                    </w:rPr>
                    <w:t>序号</w:t>
                  </w:r>
                </w:p>
              </w:tc>
              <w:tc>
                <w:tcPr>
                  <w:tcW w:w="1608" w:type="dxa"/>
                  <w:tcBorders>
                    <w:top w:val="double" w:color="auto" w:sz="2" w:space="0"/>
                    <w:left w:val="single" w:color="auto" w:sz="4" w:space="0"/>
                    <w:bottom w:val="single" w:color="auto" w:sz="4" w:space="0"/>
                    <w:right w:val="single" w:color="auto" w:sz="4" w:space="0"/>
                  </w:tcBorders>
                  <w:vAlign w:val="center"/>
                </w:tcPr>
                <w:p w14:paraId="34B4F125">
                  <w:pPr>
                    <w:pStyle w:val="122"/>
                    <w:rPr>
                      <w:rFonts w:eastAsiaTheme="minorEastAsia"/>
                      <w:color w:val="000000"/>
                    </w:rPr>
                  </w:pPr>
                  <w:r>
                    <w:rPr>
                      <w:rFonts w:eastAsiaTheme="minorEastAsia"/>
                      <w:color w:val="000000"/>
                    </w:rPr>
                    <w:t>原辅材料名称</w:t>
                  </w:r>
                </w:p>
              </w:tc>
              <w:tc>
                <w:tcPr>
                  <w:tcW w:w="1154" w:type="dxa"/>
                  <w:tcBorders>
                    <w:top w:val="double" w:color="auto" w:sz="2" w:space="0"/>
                    <w:left w:val="single" w:color="auto" w:sz="4" w:space="0"/>
                    <w:bottom w:val="single" w:color="auto" w:sz="4" w:space="0"/>
                    <w:right w:val="single" w:color="auto" w:sz="4" w:space="0"/>
                  </w:tcBorders>
                  <w:vAlign w:val="center"/>
                </w:tcPr>
                <w:p w14:paraId="1C93F1AF">
                  <w:pPr>
                    <w:pStyle w:val="122"/>
                    <w:rPr>
                      <w:rFonts w:eastAsiaTheme="minorEastAsia"/>
                      <w:color w:val="000000"/>
                    </w:rPr>
                  </w:pPr>
                  <w:r>
                    <w:rPr>
                      <w:rFonts w:eastAsiaTheme="minorEastAsia"/>
                      <w:color w:val="000000"/>
                    </w:rPr>
                    <w:t>来源</w:t>
                  </w:r>
                </w:p>
              </w:tc>
              <w:tc>
                <w:tcPr>
                  <w:tcW w:w="896" w:type="dxa"/>
                  <w:tcBorders>
                    <w:top w:val="double" w:color="auto" w:sz="2" w:space="0"/>
                    <w:left w:val="single" w:color="auto" w:sz="4" w:space="0"/>
                    <w:bottom w:val="single" w:color="auto" w:sz="4" w:space="0"/>
                    <w:right w:val="single" w:color="auto" w:sz="4" w:space="0"/>
                  </w:tcBorders>
                  <w:vAlign w:val="center"/>
                </w:tcPr>
                <w:p w14:paraId="72AB86DC">
                  <w:pPr>
                    <w:pStyle w:val="122"/>
                    <w:rPr>
                      <w:rFonts w:eastAsiaTheme="minorEastAsia"/>
                      <w:color w:val="000000"/>
                    </w:rPr>
                  </w:pPr>
                  <w:r>
                    <w:rPr>
                      <w:rFonts w:eastAsiaTheme="minorEastAsia"/>
                      <w:color w:val="000000"/>
                    </w:rPr>
                    <w:t>产生环节</w:t>
                  </w:r>
                </w:p>
              </w:tc>
              <w:tc>
                <w:tcPr>
                  <w:tcW w:w="1493" w:type="dxa"/>
                  <w:tcBorders>
                    <w:top w:val="double" w:color="auto" w:sz="2" w:space="0"/>
                    <w:left w:val="single" w:color="auto" w:sz="4" w:space="0"/>
                    <w:bottom w:val="single" w:color="auto" w:sz="4" w:space="0"/>
                    <w:right w:val="single" w:color="auto" w:sz="4" w:space="0"/>
                  </w:tcBorders>
                  <w:vAlign w:val="center"/>
                </w:tcPr>
                <w:p w14:paraId="3961A048">
                  <w:pPr>
                    <w:pStyle w:val="122"/>
                    <w:rPr>
                      <w:rFonts w:eastAsiaTheme="minorEastAsia"/>
                      <w:color w:val="000000"/>
                    </w:rPr>
                  </w:pPr>
                  <w:r>
                    <w:rPr>
                      <w:rFonts w:eastAsiaTheme="minorEastAsia"/>
                      <w:color w:val="000000"/>
                    </w:rPr>
                    <w:t>固体废物属性</w:t>
                  </w:r>
                </w:p>
              </w:tc>
              <w:tc>
                <w:tcPr>
                  <w:tcW w:w="1985" w:type="dxa"/>
                  <w:tcBorders>
                    <w:top w:val="double" w:color="auto" w:sz="2" w:space="0"/>
                    <w:left w:val="single" w:color="auto" w:sz="4" w:space="0"/>
                    <w:bottom w:val="single" w:color="auto" w:sz="4" w:space="0"/>
                    <w:right w:val="single" w:color="auto" w:sz="4" w:space="0"/>
                  </w:tcBorders>
                  <w:vAlign w:val="center"/>
                </w:tcPr>
                <w:p w14:paraId="714EB575">
                  <w:pPr>
                    <w:pStyle w:val="122"/>
                    <w:rPr>
                      <w:rFonts w:eastAsiaTheme="minorEastAsia"/>
                      <w:color w:val="000000"/>
                    </w:rPr>
                  </w:pPr>
                  <w:r>
                    <w:rPr>
                      <w:rFonts w:eastAsiaTheme="minorEastAsia"/>
                      <w:color w:val="000000"/>
                    </w:rPr>
                    <w:t>属性分析依据</w:t>
                  </w:r>
                </w:p>
              </w:tc>
              <w:tc>
                <w:tcPr>
                  <w:tcW w:w="1084" w:type="dxa"/>
                  <w:tcBorders>
                    <w:top w:val="double" w:color="auto" w:sz="2" w:space="0"/>
                    <w:left w:val="single" w:color="auto" w:sz="4" w:space="0"/>
                    <w:bottom w:val="single" w:color="auto" w:sz="4" w:space="0"/>
                    <w:right w:val="nil"/>
                  </w:tcBorders>
                  <w:vAlign w:val="center"/>
                </w:tcPr>
                <w:p w14:paraId="73943865">
                  <w:pPr>
                    <w:pStyle w:val="122"/>
                    <w:rPr>
                      <w:rFonts w:eastAsiaTheme="minorEastAsia"/>
                      <w:color w:val="000000"/>
                    </w:rPr>
                  </w:pPr>
                  <w:r>
                    <w:rPr>
                      <w:rFonts w:eastAsiaTheme="minorEastAsia"/>
                      <w:color w:val="000000"/>
                    </w:rPr>
                    <w:t>储存位置</w:t>
                  </w:r>
                </w:p>
              </w:tc>
            </w:tr>
            <w:tr w14:paraId="5A45A15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66" w:type="dxa"/>
                  <w:tcBorders>
                    <w:top w:val="single" w:color="auto" w:sz="4" w:space="0"/>
                    <w:left w:val="nil"/>
                    <w:bottom w:val="single" w:color="auto" w:sz="4" w:space="0"/>
                    <w:right w:val="single" w:color="auto" w:sz="4" w:space="0"/>
                  </w:tcBorders>
                  <w:vAlign w:val="center"/>
                </w:tcPr>
                <w:p w14:paraId="152E8052">
                  <w:pPr>
                    <w:pStyle w:val="122"/>
                    <w:rPr>
                      <w:rFonts w:eastAsiaTheme="minorEastAsia"/>
                      <w:color w:val="000000"/>
                    </w:rPr>
                  </w:pPr>
                  <w:r>
                    <w:rPr>
                      <w:rFonts w:eastAsiaTheme="minorEastAsia"/>
                      <w:color w:val="000000"/>
                    </w:rPr>
                    <w:t>1</w:t>
                  </w:r>
                </w:p>
              </w:tc>
              <w:tc>
                <w:tcPr>
                  <w:tcW w:w="1608" w:type="dxa"/>
                  <w:tcBorders>
                    <w:top w:val="single" w:color="auto" w:sz="4" w:space="0"/>
                    <w:left w:val="single" w:color="auto" w:sz="4" w:space="0"/>
                    <w:bottom w:val="single" w:color="auto" w:sz="4" w:space="0"/>
                    <w:right w:val="single" w:color="auto" w:sz="4" w:space="0"/>
                  </w:tcBorders>
                  <w:vAlign w:val="center"/>
                </w:tcPr>
                <w:p w14:paraId="33FD952B">
                  <w:pPr>
                    <w:pStyle w:val="122"/>
                    <w:rPr>
                      <w:rFonts w:eastAsiaTheme="minorEastAsia"/>
                      <w:color w:val="000000"/>
                    </w:rPr>
                  </w:pPr>
                  <w:r>
                    <w:rPr>
                      <w:rFonts w:eastAsiaTheme="minorEastAsia"/>
                      <w:color w:val="000000"/>
                    </w:rPr>
                    <w:t>锰矿石废料</w:t>
                  </w:r>
                </w:p>
              </w:tc>
              <w:tc>
                <w:tcPr>
                  <w:tcW w:w="1154" w:type="dxa"/>
                  <w:tcBorders>
                    <w:top w:val="single" w:color="auto" w:sz="4" w:space="0"/>
                    <w:left w:val="single" w:color="auto" w:sz="4" w:space="0"/>
                    <w:bottom w:val="single" w:color="auto" w:sz="4" w:space="0"/>
                    <w:right w:val="single" w:color="auto" w:sz="4" w:space="0"/>
                  </w:tcBorders>
                  <w:vAlign w:val="center"/>
                </w:tcPr>
                <w:p w14:paraId="2250621F">
                  <w:pPr>
                    <w:pStyle w:val="122"/>
                    <w:rPr>
                      <w:rFonts w:eastAsiaTheme="minorEastAsia"/>
                      <w:color w:val="000000"/>
                    </w:rPr>
                  </w:pPr>
                  <w:r>
                    <w:rPr>
                      <w:rFonts w:eastAsiaTheme="minorEastAsia"/>
                      <w:color w:val="000000"/>
                    </w:rPr>
                    <w:t>朝阳县瓦房子镇宏兴锰矿</w:t>
                  </w:r>
                </w:p>
              </w:tc>
              <w:tc>
                <w:tcPr>
                  <w:tcW w:w="896" w:type="dxa"/>
                  <w:tcBorders>
                    <w:top w:val="single" w:color="auto" w:sz="4" w:space="0"/>
                    <w:left w:val="single" w:color="auto" w:sz="4" w:space="0"/>
                    <w:bottom w:val="single" w:color="auto" w:sz="4" w:space="0"/>
                    <w:right w:val="single" w:color="auto" w:sz="4" w:space="0"/>
                  </w:tcBorders>
                  <w:vAlign w:val="center"/>
                </w:tcPr>
                <w:p w14:paraId="00D10E64">
                  <w:pPr>
                    <w:pStyle w:val="122"/>
                    <w:rPr>
                      <w:rFonts w:eastAsiaTheme="minorEastAsia"/>
                      <w:color w:val="000000"/>
                    </w:rPr>
                  </w:pPr>
                  <w:r>
                    <w:rPr>
                      <w:rFonts w:eastAsiaTheme="minorEastAsia"/>
                      <w:color w:val="000000"/>
                    </w:rPr>
                    <w:t>锰矿石破碎、筛分</w:t>
                  </w:r>
                </w:p>
              </w:tc>
              <w:tc>
                <w:tcPr>
                  <w:tcW w:w="1493" w:type="dxa"/>
                  <w:tcBorders>
                    <w:top w:val="single" w:color="auto" w:sz="4" w:space="0"/>
                    <w:left w:val="single" w:color="auto" w:sz="4" w:space="0"/>
                    <w:bottom w:val="single" w:color="auto" w:sz="4" w:space="0"/>
                    <w:right w:val="single" w:color="auto" w:sz="4" w:space="0"/>
                  </w:tcBorders>
                  <w:vAlign w:val="center"/>
                </w:tcPr>
                <w:p w14:paraId="6F21BE9C">
                  <w:pPr>
                    <w:pStyle w:val="122"/>
                    <w:rPr>
                      <w:rFonts w:eastAsiaTheme="minorEastAsia"/>
                      <w:color w:val="000000"/>
                    </w:rPr>
                  </w:pPr>
                  <w:r>
                    <w:rPr>
                      <w:rFonts w:eastAsiaTheme="minorEastAsia"/>
                      <w:color w:val="000000"/>
                    </w:rPr>
                    <w:t>一般固废</w:t>
                  </w:r>
                </w:p>
              </w:tc>
              <w:tc>
                <w:tcPr>
                  <w:tcW w:w="1985" w:type="dxa"/>
                  <w:tcBorders>
                    <w:top w:val="single" w:color="auto" w:sz="4" w:space="0"/>
                    <w:left w:val="single" w:color="auto" w:sz="4" w:space="0"/>
                    <w:bottom w:val="single" w:color="auto" w:sz="4" w:space="0"/>
                    <w:right w:val="single" w:color="auto" w:sz="4" w:space="0"/>
                  </w:tcBorders>
                  <w:vAlign w:val="center"/>
                </w:tcPr>
                <w:p w14:paraId="7C9A4DEC">
                  <w:pPr>
                    <w:pStyle w:val="122"/>
                    <w:rPr>
                      <w:rFonts w:eastAsiaTheme="minorEastAsia"/>
                      <w:color w:val="000000"/>
                    </w:rPr>
                  </w:pPr>
                  <w:r>
                    <w:rPr>
                      <w:rFonts w:eastAsiaTheme="minorEastAsia"/>
                      <w:color w:val="000000"/>
                    </w:rPr>
                    <w:t>《朝阳县瓦房子镇宏兴锰矿年产3万吨富锰渣建设项目环境影响报告书》</w:t>
                  </w:r>
                </w:p>
              </w:tc>
              <w:tc>
                <w:tcPr>
                  <w:tcW w:w="1084" w:type="dxa"/>
                  <w:tcBorders>
                    <w:top w:val="single" w:color="auto" w:sz="4" w:space="0"/>
                    <w:left w:val="single" w:color="auto" w:sz="4" w:space="0"/>
                    <w:bottom w:val="single" w:color="auto" w:sz="4" w:space="0"/>
                    <w:right w:val="nil"/>
                  </w:tcBorders>
                  <w:vAlign w:val="center"/>
                </w:tcPr>
                <w:p w14:paraId="46AC47A7">
                  <w:pPr>
                    <w:pStyle w:val="122"/>
                    <w:rPr>
                      <w:rFonts w:eastAsiaTheme="minorEastAsia"/>
                      <w:color w:val="000000"/>
                    </w:rPr>
                  </w:pPr>
                  <w:r>
                    <w:rPr>
                      <w:rFonts w:eastAsiaTheme="minorEastAsia"/>
                      <w:color w:val="000000"/>
                    </w:rPr>
                    <w:t>原料库</w:t>
                  </w:r>
                </w:p>
              </w:tc>
            </w:tr>
            <w:tr w14:paraId="69693C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66" w:type="dxa"/>
                  <w:tcBorders>
                    <w:top w:val="single" w:color="auto" w:sz="4" w:space="0"/>
                    <w:left w:val="nil"/>
                    <w:bottom w:val="single" w:color="auto" w:sz="4" w:space="0"/>
                    <w:right w:val="single" w:color="auto" w:sz="4" w:space="0"/>
                  </w:tcBorders>
                  <w:vAlign w:val="center"/>
                </w:tcPr>
                <w:p w14:paraId="3C4A7D7D">
                  <w:pPr>
                    <w:pStyle w:val="122"/>
                    <w:rPr>
                      <w:rFonts w:eastAsiaTheme="minorEastAsia"/>
                      <w:color w:val="000000"/>
                    </w:rPr>
                  </w:pPr>
                  <w:r>
                    <w:rPr>
                      <w:rFonts w:eastAsiaTheme="minorEastAsia"/>
                      <w:color w:val="000000"/>
                    </w:rPr>
                    <w:t>2</w:t>
                  </w:r>
                </w:p>
              </w:tc>
              <w:tc>
                <w:tcPr>
                  <w:tcW w:w="1608" w:type="dxa"/>
                  <w:tcBorders>
                    <w:top w:val="single" w:color="auto" w:sz="4" w:space="0"/>
                    <w:left w:val="single" w:color="auto" w:sz="4" w:space="0"/>
                    <w:bottom w:val="single" w:color="auto" w:sz="4" w:space="0"/>
                    <w:right w:val="single" w:color="auto" w:sz="4" w:space="0"/>
                  </w:tcBorders>
                  <w:vAlign w:val="center"/>
                </w:tcPr>
                <w:p w14:paraId="10BCEED1">
                  <w:pPr>
                    <w:pStyle w:val="122"/>
                    <w:rPr>
                      <w:rFonts w:eastAsiaTheme="minorEastAsia"/>
                      <w:color w:val="000000"/>
                    </w:rPr>
                  </w:pPr>
                  <w:r>
                    <w:rPr>
                      <w:rFonts w:eastAsiaTheme="minorEastAsia"/>
                      <w:color w:val="000000"/>
                    </w:rPr>
                    <w:t>锰矿石废料</w:t>
                  </w:r>
                </w:p>
              </w:tc>
              <w:tc>
                <w:tcPr>
                  <w:tcW w:w="1154" w:type="dxa"/>
                  <w:tcBorders>
                    <w:top w:val="single" w:color="auto" w:sz="4" w:space="0"/>
                    <w:left w:val="single" w:color="auto" w:sz="4" w:space="0"/>
                    <w:bottom w:val="single" w:color="auto" w:sz="4" w:space="0"/>
                    <w:right w:val="single" w:color="auto" w:sz="4" w:space="0"/>
                  </w:tcBorders>
                  <w:vAlign w:val="center"/>
                </w:tcPr>
                <w:p w14:paraId="3B228990">
                  <w:pPr>
                    <w:pStyle w:val="122"/>
                    <w:rPr>
                      <w:rFonts w:eastAsiaTheme="minorEastAsia"/>
                      <w:color w:val="000000"/>
                    </w:rPr>
                  </w:pPr>
                  <w:r>
                    <w:rPr>
                      <w:rFonts w:eastAsiaTheme="minorEastAsia"/>
                      <w:color w:val="000000"/>
                    </w:rPr>
                    <w:t>葫芦岛市八家子经济开发区安胜矿产品综合利用有限公司</w:t>
                  </w:r>
                </w:p>
              </w:tc>
              <w:tc>
                <w:tcPr>
                  <w:tcW w:w="896" w:type="dxa"/>
                  <w:tcBorders>
                    <w:top w:val="single" w:color="auto" w:sz="4" w:space="0"/>
                    <w:left w:val="single" w:color="auto" w:sz="4" w:space="0"/>
                    <w:bottom w:val="single" w:color="auto" w:sz="4" w:space="0"/>
                    <w:right w:val="single" w:color="auto" w:sz="4" w:space="0"/>
                  </w:tcBorders>
                  <w:vAlign w:val="center"/>
                </w:tcPr>
                <w:p w14:paraId="370437A6">
                  <w:pPr>
                    <w:pStyle w:val="122"/>
                    <w:rPr>
                      <w:rFonts w:eastAsiaTheme="minorEastAsia"/>
                      <w:color w:val="000000"/>
                    </w:rPr>
                  </w:pPr>
                  <w:r>
                    <w:rPr>
                      <w:rFonts w:eastAsiaTheme="minorEastAsia"/>
                      <w:color w:val="000000"/>
                    </w:rPr>
                    <w:t>锰矿石破碎、筛分</w:t>
                  </w:r>
                </w:p>
              </w:tc>
              <w:tc>
                <w:tcPr>
                  <w:tcW w:w="1493" w:type="dxa"/>
                  <w:tcBorders>
                    <w:top w:val="single" w:color="auto" w:sz="4" w:space="0"/>
                    <w:left w:val="single" w:color="auto" w:sz="4" w:space="0"/>
                    <w:bottom w:val="single" w:color="auto" w:sz="4" w:space="0"/>
                    <w:right w:val="single" w:color="auto" w:sz="4" w:space="0"/>
                  </w:tcBorders>
                </w:tcPr>
                <w:p w14:paraId="37D7A915">
                  <w:pPr>
                    <w:pStyle w:val="122"/>
                    <w:rPr>
                      <w:rFonts w:eastAsiaTheme="minorEastAsia"/>
                      <w:color w:val="000000"/>
                    </w:rPr>
                  </w:pPr>
                  <w:r>
                    <w:rPr>
                      <w:rFonts w:eastAsiaTheme="minorEastAsia"/>
                      <w:color w:val="000000"/>
                    </w:rPr>
                    <w:t>一般固废</w:t>
                  </w:r>
                </w:p>
              </w:tc>
              <w:tc>
                <w:tcPr>
                  <w:tcW w:w="1985" w:type="dxa"/>
                  <w:tcBorders>
                    <w:top w:val="single" w:color="auto" w:sz="4" w:space="0"/>
                    <w:left w:val="single" w:color="auto" w:sz="4" w:space="0"/>
                    <w:bottom w:val="single" w:color="auto" w:sz="4" w:space="0"/>
                    <w:right w:val="single" w:color="auto" w:sz="4" w:space="0"/>
                  </w:tcBorders>
                  <w:vAlign w:val="center"/>
                </w:tcPr>
                <w:p w14:paraId="677E52EF">
                  <w:pPr>
                    <w:pStyle w:val="122"/>
                    <w:rPr>
                      <w:rFonts w:eastAsiaTheme="minorEastAsia"/>
                      <w:color w:val="000000"/>
                    </w:rPr>
                  </w:pPr>
                  <w:r>
                    <w:rPr>
                      <w:rFonts w:eastAsiaTheme="minorEastAsia"/>
                      <w:color w:val="000000"/>
                    </w:rPr>
                    <w:t>葫芦岛市八家子经济开发区安胜矿产品综合利用有限公司《排污许可证（副本）》</w:t>
                  </w:r>
                </w:p>
              </w:tc>
              <w:tc>
                <w:tcPr>
                  <w:tcW w:w="1084" w:type="dxa"/>
                  <w:tcBorders>
                    <w:top w:val="single" w:color="auto" w:sz="4" w:space="0"/>
                    <w:left w:val="single" w:color="auto" w:sz="4" w:space="0"/>
                    <w:bottom w:val="single" w:color="auto" w:sz="4" w:space="0"/>
                    <w:right w:val="nil"/>
                  </w:tcBorders>
                  <w:vAlign w:val="center"/>
                </w:tcPr>
                <w:p w14:paraId="74407F86">
                  <w:pPr>
                    <w:pStyle w:val="122"/>
                    <w:rPr>
                      <w:rFonts w:eastAsiaTheme="minorEastAsia"/>
                      <w:color w:val="000000"/>
                    </w:rPr>
                  </w:pPr>
                  <w:r>
                    <w:rPr>
                      <w:rFonts w:eastAsiaTheme="minorEastAsia"/>
                      <w:color w:val="000000"/>
                    </w:rPr>
                    <w:t>原料库</w:t>
                  </w:r>
                </w:p>
              </w:tc>
            </w:tr>
            <w:tr w14:paraId="1CEEDA2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466" w:type="dxa"/>
                  <w:tcBorders>
                    <w:top w:val="single" w:color="auto" w:sz="4" w:space="0"/>
                    <w:left w:val="nil"/>
                    <w:bottom w:val="double" w:color="auto" w:sz="2" w:space="0"/>
                    <w:right w:val="single" w:color="auto" w:sz="4" w:space="0"/>
                  </w:tcBorders>
                  <w:vAlign w:val="center"/>
                </w:tcPr>
                <w:p w14:paraId="0549A293">
                  <w:pPr>
                    <w:pStyle w:val="122"/>
                    <w:rPr>
                      <w:rFonts w:eastAsiaTheme="minorEastAsia"/>
                      <w:color w:val="000000"/>
                    </w:rPr>
                  </w:pPr>
                  <w:r>
                    <w:rPr>
                      <w:rFonts w:eastAsiaTheme="minorEastAsia"/>
                      <w:color w:val="000000"/>
                    </w:rPr>
                    <w:t>3</w:t>
                  </w:r>
                </w:p>
              </w:tc>
              <w:tc>
                <w:tcPr>
                  <w:tcW w:w="1608" w:type="dxa"/>
                  <w:tcBorders>
                    <w:top w:val="single" w:color="auto" w:sz="4" w:space="0"/>
                    <w:left w:val="single" w:color="auto" w:sz="4" w:space="0"/>
                    <w:bottom w:val="double" w:color="auto" w:sz="2" w:space="0"/>
                    <w:right w:val="single" w:color="auto" w:sz="4" w:space="0"/>
                  </w:tcBorders>
                  <w:vAlign w:val="center"/>
                </w:tcPr>
                <w:p w14:paraId="74EEA030">
                  <w:pPr>
                    <w:pStyle w:val="122"/>
                    <w:rPr>
                      <w:rFonts w:eastAsiaTheme="minorEastAsia"/>
                      <w:color w:val="000000"/>
                    </w:rPr>
                  </w:pPr>
                  <w:r>
                    <w:rPr>
                      <w:rFonts w:eastAsiaTheme="minorEastAsia"/>
                      <w:color w:val="000000"/>
                    </w:rPr>
                    <w:t>锰矿石废料</w:t>
                  </w:r>
                </w:p>
              </w:tc>
              <w:tc>
                <w:tcPr>
                  <w:tcW w:w="1154" w:type="dxa"/>
                  <w:tcBorders>
                    <w:top w:val="single" w:color="auto" w:sz="4" w:space="0"/>
                    <w:left w:val="single" w:color="auto" w:sz="4" w:space="0"/>
                    <w:bottom w:val="double" w:color="auto" w:sz="2" w:space="0"/>
                    <w:right w:val="single" w:color="auto" w:sz="4" w:space="0"/>
                  </w:tcBorders>
                  <w:vAlign w:val="center"/>
                </w:tcPr>
                <w:p w14:paraId="018459E3">
                  <w:pPr>
                    <w:pStyle w:val="122"/>
                    <w:rPr>
                      <w:rFonts w:eastAsiaTheme="minorEastAsia"/>
                      <w:color w:val="000000"/>
                    </w:rPr>
                  </w:pPr>
                  <w:r>
                    <w:rPr>
                      <w:rFonts w:eastAsiaTheme="minorEastAsia"/>
                      <w:color w:val="000000"/>
                    </w:rPr>
                    <w:t>辽宁鑫方成新建材有限公司</w:t>
                  </w:r>
                </w:p>
              </w:tc>
              <w:tc>
                <w:tcPr>
                  <w:tcW w:w="896" w:type="dxa"/>
                  <w:tcBorders>
                    <w:top w:val="single" w:color="auto" w:sz="4" w:space="0"/>
                    <w:left w:val="single" w:color="auto" w:sz="4" w:space="0"/>
                    <w:bottom w:val="double" w:color="auto" w:sz="2" w:space="0"/>
                    <w:right w:val="single" w:color="auto" w:sz="4" w:space="0"/>
                  </w:tcBorders>
                  <w:vAlign w:val="center"/>
                </w:tcPr>
                <w:p w14:paraId="4D790419">
                  <w:pPr>
                    <w:pStyle w:val="122"/>
                    <w:rPr>
                      <w:rFonts w:eastAsiaTheme="minorEastAsia"/>
                      <w:color w:val="000000"/>
                    </w:rPr>
                  </w:pPr>
                  <w:r>
                    <w:rPr>
                      <w:rFonts w:eastAsiaTheme="minorEastAsia"/>
                      <w:color w:val="000000"/>
                    </w:rPr>
                    <w:t>锰矿石破碎、筛分</w:t>
                  </w:r>
                </w:p>
              </w:tc>
              <w:tc>
                <w:tcPr>
                  <w:tcW w:w="1493" w:type="dxa"/>
                  <w:tcBorders>
                    <w:top w:val="single" w:color="auto" w:sz="4" w:space="0"/>
                    <w:left w:val="single" w:color="auto" w:sz="4" w:space="0"/>
                    <w:bottom w:val="double" w:color="auto" w:sz="2" w:space="0"/>
                    <w:right w:val="single" w:color="auto" w:sz="4" w:space="0"/>
                  </w:tcBorders>
                </w:tcPr>
                <w:p w14:paraId="369F1A7C">
                  <w:pPr>
                    <w:pStyle w:val="122"/>
                    <w:rPr>
                      <w:rFonts w:eastAsiaTheme="minorEastAsia"/>
                      <w:color w:val="000000"/>
                    </w:rPr>
                  </w:pPr>
                  <w:r>
                    <w:rPr>
                      <w:rFonts w:eastAsiaTheme="minorEastAsia"/>
                      <w:color w:val="000000"/>
                    </w:rPr>
                    <w:t>一般固废</w:t>
                  </w:r>
                </w:p>
              </w:tc>
              <w:tc>
                <w:tcPr>
                  <w:tcW w:w="1985" w:type="dxa"/>
                  <w:tcBorders>
                    <w:top w:val="single" w:color="auto" w:sz="4" w:space="0"/>
                    <w:left w:val="single" w:color="auto" w:sz="4" w:space="0"/>
                    <w:bottom w:val="double" w:color="auto" w:sz="2" w:space="0"/>
                    <w:right w:val="single" w:color="auto" w:sz="4" w:space="0"/>
                  </w:tcBorders>
                  <w:vAlign w:val="center"/>
                </w:tcPr>
                <w:p w14:paraId="10C7DF77">
                  <w:pPr>
                    <w:pStyle w:val="122"/>
                    <w:rPr>
                      <w:rFonts w:eastAsiaTheme="minorEastAsia"/>
                      <w:color w:val="000000"/>
                    </w:rPr>
                  </w:pPr>
                  <w:r>
                    <w:rPr>
                      <w:rFonts w:eastAsiaTheme="minorEastAsia"/>
                      <w:color w:val="000000"/>
                    </w:rPr>
                    <w:t>辽宁鑫方成新建材有限公司《排污许可证（副本）》</w:t>
                  </w:r>
                </w:p>
              </w:tc>
              <w:tc>
                <w:tcPr>
                  <w:tcW w:w="1084" w:type="dxa"/>
                  <w:tcBorders>
                    <w:top w:val="single" w:color="auto" w:sz="4" w:space="0"/>
                    <w:left w:val="single" w:color="auto" w:sz="4" w:space="0"/>
                    <w:bottom w:val="double" w:color="auto" w:sz="2" w:space="0"/>
                    <w:right w:val="nil"/>
                  </w:tcBorders>
                  <w:vAlign w:val="center"/>
                </w:tcPr>
                <w:p w14:paraId="5ED49898">
                  <w:pPr>
                    <w:pStyle w:val="122"/>
                    <w:rPr>
                      <w:rFonts w:eastAsiaTheme="minorEastAsia"/>
                      <w:color w:val="000000"/>
                    </w:rPr>
                  </w:pPr>
                  <w:r>
                    <w:rPr>
                      <w:rFonts w:eastAsiaTheme="minorEastAsia"/>
                      <w:color w:val="000000"/>
                    </w:rPr>
                    <w:t>原料库</w:t>
                  </w:r>
                </w:p>
              </w:tc>
            </w:tr>
          </w:tbl>
          <w:p w14:paraId="1235042F">
            <w:pPr>
              <w:pStyle w:val="65"/>
              <w:ind w:firstLine="480"/>
              <w:rPr>
                <w:rFonts w:eastAsiaTheme="minorEastAsia"/>
                <w:color w:val="0000FF"/>
              </w:rPr>
            </w:pPr>
            <w:r>
              <w:rPr>
                <w:rFonts w:eastAsiaTheme="minorEastAsia"/>
                <w:color w:val="0000FF"/>
              </w:rPr>
              <w:t>本项目原料锰矿石废料来自朝阳县瓦房子镇宏兴锰矿、葫芦岛市八家子经济开发区安胜矿产品综合利用有限公司、辽宁鑫方成新建材有限公司。</w:t>
            </w:r>
            <w:r>
              <w:rPr>
                <w:rFonts w:eastAsiaTheme="minorEastAsia"/>
                <w:bCs/>
                <w:color w:val="0000FF"/>
              </w:rPr>
              <w:t>本项目利用</w:t>
            </w:r>
            <w:r>
              <w:rPr>
                <w:rFonts w:eastAsiaTheme="minorEastAsia"/>
                <w:color w:val="0000FF"/>
              </w:rPr>
              <w:t>上游企业对锰矿石破碎筛分产生的粒径不合格（＜10mm）物料进行混料、造球、烘干，其主要成分质量基本无变化。其成分分析见附件，主要成分见下表：</w:t>
            </w:r>
          </w:p>
          <w:p w14:paraId="16EE4104">
            <w:pPr>
              <w:pStyle w:val="92"/>
              <w:rPr>
                <w:rFonts w:eastAsiaTheme="minorEastAsia"/>
                <w:color w:val="0000FF"/>
              </w:rPr>
            </w:pPr>
            <w:r>
              <w:rPr>
                <w:rFonts w:eastAsiaTheme="minorEastAsia"/>
                <w:color w:val="0000FF"/>
              </w:rPr>
              <w:t>表2-13 锰矿石废料原料主要成分表</w:t>
            </w:r>
          </w:p>
          <w:tbl>
            <w:tblPr>
              <w:tblStyle w:val="36"/>
              <w:tblW w:w="4950" w:type="pct"/>
              <w:tblInd w:w="108"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9"/>
              <w:gridCol w:w="2203"/>
              <w:gridCol w:w="851"/>
              <w:gridCol w:w="850"/>
              <w:gridCol w:w="851"/>
              <w:gridCol w:w="850"/>
              <w:gridCol w:w="851"/>
              <w:gridCol w:w="850"/>
              <w:gridCol w:w="751"/>
            </w:tblGrid>
            <w:tr w14:paraId="7E84AD0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29" w:type="dxa"/>
                  <w:vMerge w:val="restart"/>
                  <w:tcBorders>
                    <w:top w:val="double" w:color="auto" w:sz="2" w:space="0"/>
                    <w:left w:val="nil"/>
                    <w:bottom w:val="single" w:color="auto" w:sz="4" w:space="0"/>
                    <w:right w:val="single" w:color="auto" w:sz="4" w:space="0"/>
                  </w:tcBorders>
                  <w:vAlign w:val="center"/>
                </w:tcPr>
                <w:p w14:paraId="4D40E3EF">
                  <w:pPr>
                    <w:pStyle w:val="48"/>
                    <w:rPr>
                      <w:color w:val="0000FF"/>
                    </w:rPr>
                  </w:pPr>
                  <w:r>
                    <w:rPr>
                      <w:color w:val="0000FF"/>
                    </w:rPr>
                    <w:t>品名</w:t>
                  </w:r>
                </w:p>
              </w:tc>
              <w:tc>
                <w:tcPr>
                  <w:tcW w:w="2203" w:type="dxa"/>
                  <w:vMerge w:val="restart"/>
                  <w:tcBorders>
                    <w:top w:val="double" w:color="auto" w:sz="2" w:space="0"/>
                    <w:left w:val="single" w:color="auto" w:sz="4" w:space="0"/>
                    <w:bottom w:val="single" w:color="auto" w:sz="4" w:space="0"/>
                    <w:right w:val="single" w:color="auto" w:sz="4" w:space="0"/>
                  </w:tcBorders>
                </w:tcPr>
                <w:p w14:paraId="4D752B7A">
                  <w:pPr>
                    <w:pStyle w:val="48"/>
                    <w:rPr>
                      <w:color w:val="0000FF"/>
                    </w:rPr>
                  </w:pPr>
                  <w:r>
                    <w:rPr>
                      <w:color w:val="0000FF"/>
                    </w:rPr>
                    <w:t>来源</w:t>
                  </w:r>
                </w:p>
              </w:tc>
              <w:tc>
                <w:tcPr>
                  <w:tcW w:w="5854" w:type="dxa"/>
                  <w:gridSpan w:val="7"/>
                  <w:tcBorders>
                    <w:top w:val="double" w:color="auto" w:sz="2" w:space="0"/>
                    <w:left w:val="single" w:color="auto" w:sz="4" w:space="0"/>
                    <w:bottom w:val="single" w:color="auto" w:sz="4" w:space="0"/>
                    <w:right w:val="nil"/>
                  </w:tcBorders>
                  <w:vAlign w:val="center"/>
                </w:tcPr>
                <w:p w14:paraId="2311D77D">
                  <w:pPr>
                    <w:pStyle w:val="48"/>
                    <w:rPr>
                      <w:color w:val="0000FF"/>
                    </w:rPr>
                  </w:pPr>
                  <w:r>
                    <w:rPr>
                      <w:color w:val="0000FF"/>
                    </w:rPr>
                    <w:t>成分（%）</w:t>
                  </w:r>
                </w:p>
              </w:tc>
            </w:tr>
            <w:tr w14:paraId="1D19479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686" w:type="dxa"/>
                  <w:vMerge w:val="continue"/>
                  <w:tcBorders>
                    <w:top w:val="double" w:color="auto" w:sz="2" w:space="0"/>
                    <w:left w:val="nil"/>
                    <w:bottom w:val="single" w:color="auto" w:sz="4" w:space="0"/>
                    <w:right w:val="single" w:color="auto" w:sz="4" w:space="0"/>
                  </w:tcBorders>
                  <w:vAlign w:val="center"/>
                </w:tcPr>
                <w:p w14:paraId="42EEBE7C">
                  <w:pPr>
                    <w:widowControl/>
                    <w:jc w:val="left"/>
                    <w:rPr>
                      <w:rFonts w:eastAsiaTheme="minorEastAsia"/>
                      <w:color w:val="0000FF"/>
                      <w:szCs w:val="21"/>
                    </w:rPr>
                  </w:pPr>
                </w:p>
              </w:tc>
              <w:tc>
                <w:tcPr>
                  <w:tcW w:w="2203" w:type="dxa"/>
                  <w:vMerge w:val="continue"/>
                  <w:tcBorders>
                    <w:top w:val="double" w:color="auto" w:sz="2" w:space="0"/>
                    <w:left w:val="single" w:color="auto" w:sz="4" w:space="0"/>
                    <w:bottom w:val="single" w:color="auto" w:sz="4" w:space="0"/>
                    <w:right w:val="single" w:color="auto" w:sz="4" w:space="0"/>
                  </w:tcBorders>
                  <w:vAlign w:val="center"/>
                </w:tcPr>
                <w:p w14:paraId="5C0E65E6">
                  <w:pPr>
                    <w:widowControl/>
                    <w:jc w:val="left"/>
                    <w:rPr>
                      <w:rFonts w:eastAsiaTheme="minorEastAsia"/>
                      <w:color w:val="0000FF"/>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2F681401">
                  <w:pPr>
                    <w:pStyle w:val="48"/>
                    <w:rPr>
                      <w:color w:val="0000FF"/>
                    </w:rPr>
                  </w:pPr>
                  <w:r>
                    <w:rPr>
                      <w:color w:val="0000FF"/>
                    </w:rPr>
                    <w:t>Mn</w:t>
                  </w:r>
                </w:p>
              </w:tc>
              <w:tc>
                <w:tcPr>
                  <w:tcW w:w="850" w:type="dxa"/>
                  <w:tcBorders>
                    <w:top w:val="single" w:color="auto" w:sz="4" w:space="0"/>
                    <w:left w:val="single" w:color="auto" w:sz="4" w:space="0"/>
                    <w:bottom w:val="single" w:color="auto" w:sz="4" w:space="0"/>
                    <w:right w:val="single" w:color="auto" w:sz="4" w:space="0"/>
                  </w:tcBorders>
                  <w:vAlign w:val="center"/>
                </w:tcPr>
                <w:p w14:paraId="46D42FF9">
                  <w:pPr>
                    <w:pStyle w:val="48"/>
                    <w:rPr>
                      <w:color w:val="0000FF"/>
                    </w:rPr>
                  </w:pPr>
                  <w:r>
                    <w:rPr>
                      <w:color w:val="0000FF"/>
                    </w:rPr>
                    <w:t>Fe</w:t>
                  </w:r>
                </w:p>
              </w:tc>
              <w:tc>
                <w:tcPr>
                  <w:tcW w:w="851" w:type="dxa"/>
                  <w:tcBorders>
                    <w:top w:val="single" w:color="auto" w:sz="4" w:space="0"/>
                    <w:left w:val="single" w:color="auto" w:sz="4" w:space="0"/>
                    <w:bottom w:val="single" w:color="auto" w:sz="4" w:space="0"/>
                    <w:right w:val="single" w:color="auto" w:sz="4" w:space="0"/>
                  </w:tcBorders>
                  <w:vAlign w:val="center"/>
                </w:tcPr>
                <w:p w14:paraId="5541337B">
                  <w:pPr>
                    <w:pStyle w:val="48"/>
                    <w:rPr>
                      <w:color w:val="0000FF"/>
                    </w:rPr>
                  </w:pPr>
                  <w:r>
                    <w:rPr>
                      <w:color w:val="0000FF"/>
                    </w:rPr>
                    <w:t>SiO2</w:t>
                  </w:r>
                </w:p>
              </w:tc>
              <w:tc>
                <w:tcPr>
                  <w:tcW w:w="850" w:type="dxa"/>
                  <w:tcBorders>
                    <w:top w:val="single" w:color="auto" w:sz="4" w:space="0"/>
                    <w:left w:val="single" w:color="auto" w:sz="4" w:space="0"/>
                    <w:bottom w:val="single" w:color="auto" w:sz="4" w:space="0"/>
                    <w:right w:val="single" w:color="auto" w:sz="4" w:space="0"/>
                  </w:tcBorders>
                  <w:vAlign w:val="center"/>
                </w:tcPr>
                <w:p w14:paraId="4160CF39">
                  <w:pPr>
                    <w:pStyle w:val="48"/>
                    <w:rPr>
                      <w:color w:val="0000FF"/>
                    </w:rPr>
                  </w:pPr>
                  <w:r>
                    <w:rPr>
                      <w:color w:val="0000FF"/>
                    </w:rPr>
                    <w:t>P</w:t>
                  </w:r>
                </w:p>
              </w:tc>
              <w:tc>
                <w:tcPr>
                  <w:tcW w:w="851" w:type="dxa"/>
                  <w:tcBorders>
                    <w:top w:val="single" w:color="auto" w:sz="4" w:space="0"/>
                    <w:left w:val="single" w:color="auto" w:sz="4" w:space="0"/>
                    <w:bottom w:val="single" w:color="auto" w:sz="4" w:space="0"/>
                    <w:right w:val="single" w:color="auto" w:sz="4" w:space="0"/>
                  </w:tcBorders>
                  <w:vAlign w:val="center"/>
                </w:tcPr>
                <w:p w14:paraId="39FA99DF">
                  <w:pPr>
                    <w:pStyle w:val="48"/>
                    <w:rPr>
                      <w:color w:val="0000FF"/>
                    </w:rPr>
                  </w:pPr>
                  <w:r>
                    <w:rPr>
                      <w:color w:val="0000FF"/>
                    </w:rPr>
                    <w:t>S</w:t>
                  </w:r>
                </w:p>
              </w:tc>
              <w:tc>
                <w:tcPr>
                  <w:tcW w:w="850" w:type="dxa"/>
                  <w:tcBorders>
                    <w:top w:val="single" w:color="auto" w:sz="4" w:space="0"/>
                    <w:left w:val="single" w:color="auto" w:sz="4" w:space="0"/>
                    <w:bottom w:val="single" w:color="auto" w:sz="4" w:space="0"/>
                    <w:right w:val="single" w:color="auto" w:sz="4" w:space="0"/>
                  </w:tcBorders>
                  <w:vAlign w:val="center"/>
                </w:tcPr>
                <w:p w14:paraId="5DEDC385">
                  <w:pPr>
                    <w:pStyle w:val="48"/>
                    <w:rPr>
                      <w:color w:val="0000FF"/>
                    </w:rPr>
                  </w:pPr>
                  <w:r>
                    <w:rPr>
                      <w:color w:val="0000FF"/>
                    </w:rPr>
                    <w:t>Ca</w:t>
                  </w:r>
                </w:p>
              </w:tc>
              <w:tc>
                <w:tcPr>
                  <w:tcW w:w="751" w:type="dxa"/>
                  <w:tcBorders>
                    <w:top w:val="single" w:color="auto" w:sz="4" w:space="0"/>
                    <w:left w:val="single" w:color="auto" w:sz="4" w:space="0"/>
                    <w:bottom w:val="single" w:color="auto" w:sz="4" w:space="0"/>
                    <w:right w:val="nil"/>
                  </w:tcBorders>
                  <w:vAlign w:val="center"/>
                </w:tcPr>
                <w:p w14:paraId="0572B869">
                  <w:pPr>
                    <w:pStyle w:val="48"/>
                    <w:rPr>
                      <w:color w:val="0000FF"/>
                    </w:rPr>
                  </w:pPr>
                  <w:r>
                    <w:rPr>
                      <w:color w:val="0000FF"/>
                    </w:rPr>
                    <w:t>MgO</w:t>
                  </w:r>
                </w:p>
              </w:tc>
            </w:tr>
            <w:tr w14:paraId="33BBAED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629" w:type="dxa"/>
                  <w:vMerge w:val="restart"/>
                  <w:tcBorders>
                    <w:top w:val="single" w:color="auto" w:sz="4" w:space="0"/>
                    <w:left w:val="nil"/>
                    <w:bottom w:val="single" w:color="auto" w:sz="4" w:space="0"/>
                    <w:right w:val="single" w:color="auto" w:sz="4" w:space="0"/>
                  </w:tcBorders>
                  <w:vAlign w:val="center"/>
                </w:tcPr>
                <w:p w14:paraId="6DDD706E">
                  <w:pPr>
                    <w:pStyle w:val="48"/>
                    <w:rPr>
                      <w:color w:val="0000FF"/>
                    </w:rPr>
                  </w:pPr>
                  <w:r>
                    <w:rPr>
                      <w:color w:val="0000FF"/>
                    </w:rPr>
                    <w:t>锰矿石废料</w:t>
                  </w:r>
                </w:p>
              </w:tc>
              <w:tc>
                <w:tcPr>
                  <w:tcW w:w="2203" w:type="dxa"/>
                  <w:tcBorders>
                    <w:top w:val="single" w:color="auto" w:sz="4" w:space="0"/>
                    <w:left w:val="single" w:color="auto" w:sz="4" w:space="0"/>
                    <w:bottom w:val="single" w:color="auto" w:sz="4" w:space="0"/>
                    <w:right w:val="single" w:color="auto" w:sz="4" w:space="0"/>
                  </w:tcBorders>
                </w:tcPr>
                <w:p w14:paraId="632F2BB6">
                  <w:pPr>
                    <w:pStyle w:val="48"/>
                    <w:rPr>
                      <w:color w:val="0000FF"/>
                    </w:rPr>
                  </w:pPr>
                  <w:r>
                    <w:rPr>
                      <w:color w:val="0000FF"/>
                    </w:rPr>
                    <w:t>朝阳县瓦房子镇宏兴锰矿</w:t>
                  </w:r>
                </w:p>
              </w:tc>
              <w:tc>
                <w:tcPr>
                  <w:tcW w:w="851" w:type="dxa"/>
                  <w:tcBorders>
                    <w:top w:val="single" w:color="auto" w:sz="4" w:space="0"/>
                    <w:left w:val="single" w:color="auto" w:sz="4" w:space="0"/>
                    <w:bottom w:val="single" w:color="auto" w:sz="4" w:space="0"/>
                    <w:right w:val="single" w:color="auto" w:sz="4" w:space="0"/>
                  </w:tcBorders>
                  <w:vAlign w:val="center"/>
                </w:tcPr>
                <w:p w14:paraId="23ACD9C8">
                  <w:pPr>
                    <w:pStyle w:val="48"/>
                    <w:rPr>
                      <w:color w:val="0000FF"/>
                    </w:rPr>
                  </w:pPr>
                  <w:r>
                    <w:rPr>
                      <w:color w:val="0000FF"/>
                    </w:rPr>
                    <w:t>25</w:t>
                  </w:r>
                </w:p>
              </w:tc>
              <w:tc>
                <w:tcPr>
                  <w:tcW w:w="850" w:type="dxa"/>
                  <w:tcBorders>
                    <w:top w:val="single" w:color="auto" w:sz="4" w:space="0"/>
                    <w:left w:val="single" w:color="auto" w:sz="4" w:space="0"/>
                    <w:bottom w:val="single" w:color="auto" w:sz="4" w:space="0"/>
                    <w:right w:val="single" w:color="auto" w:sz="4" w:space="0"/>
                  </w:tcBorders>
                  <w:vAlign w:val="center"/>
                </w:tcPr>
                <w:p w14:paraId="392BA061">
                  <w:pPr>
                    <w:pStyle w:val="48"/>
                    <w:rPr>
                      <w:color w:val="0000FF"/>
                    </w:rPr>
                  </w:pPr>
                  <w:r>
                    <w:rPr>
                      <w:color w:val="0000FF"/>
                    </w:rPr>
                    <w:t>11</w:t>
                  </w:r>
                </w:p>
              </w:tc>
              <w:tc>
                <w:tcPr>
                  <w:tcW w:w="851" w:type="dxa"/>
                  <w:tcBorders>
                    <w:top w:val="single" w:color="auto" w:sz="4" w:space="0"/>
                    <w:left w:val="single" w:color="auto" w:sz="4" w:space="0"/>
                    <w:bottom w:val="single" w:color="auto" w:sz="4" w:space="0"/>
                    <w:right w:val="single" w:color="auto" w:sz="4" w:space="0"/>
                  </w:tcBorders>
                  <w:vAlign w:val="center"/>
                </w:tcPr>
                <w:p w14:paraId="59B47118">
                  <w:pPr>
                    <w:pStyle w:val="48"/>
                    <w:rPr>
                      <w:color w:val="0000FF"/>
                    </w:rPr>
                  </w:pPr>
                  <w:r>
                    <w:rPr>
                      <w:color w:val="0000FF"/>
                    </w:rPr>
                    <w:t>21</w:t>
                  </w:r>
                </w:p>
              </w:tc>
              <w:tc>
                <w:tcPr>
                  <w:tcW w:w="850" w:type="dxa"/>
                  <w:tcBorders>
                    <w:top w:val="single" w:color="auto" w:sz="4" w:space="0"/>
                    <w:left w:val="single" w:color="auto" w:sz="4" w:space="0"/>
                    <w:bottom w:val="single" w:color="auto" w:sz="4" w:space="0"/>
                    <w:right w:val="single" w:color="auto" w:sz="4" w:space="0"/>
                  </w:tcBorders>
                  <w:vAlign w:val="center"/>
                </w:tcPr>
                <w:p w14:paraId="7A6386F9">
                  <w:pPr>
                    <w:pStyle w:val="48"/>
                    <w:rPr>
                      <w:color w:val="0000FF"/>
                    </w:rPr>
                  </w:pPr>
                  <w:r>
                    <w:rPr>
                      <w:color w:val="0000FF"/>
                    </w:rPr>
                    <w:t>0.006</w:t>
                  </w:r>
                </w:p>
              </w:tc>
              <w:tc>
                <w:tcPr>
                  <w:tcW w:w="851" w:type="dxa"/>
                  <w:tcBorders>
                    <w:top w:val="single" w:color="auto" w:sz="4" w:space="0"/>
                    <w:left w:val="single" w:color="auto" w:sz="4" w:space="0"/>
                    <w:bottom w:val="single" w:color="auto" w:sz="4" w:space="0"/>
                    <w:right w:val="single" w:color="auto" w:sz="4" w:space="0"/>
                  </w:tcBorders>
                  <w:vAlign w:val="center"/>
                </w:tcPr>
                <w:p w14:paraId="573DF5D1">
                  <w:pPr>
                    <w:pStyle w:val="48"/>
                    <w:rPr>
                      <w:color w:val="0000FF"/>
                    </w:rPr>
                  </w:pPr>
                  <w:r>
                    <w:rPr>
                      <w:color w:val="0000FF"/>
                    </w:rPr>
                    <w:t>0.115</w:t>
                  </w:r>
                </w:p>
              </w:tc>
              <w:tc>
                <w:tcPr>
                  <w:tcW w:w="850" w:type="dxa"/>
                  <w:tcBorders>
                    <w:top w:val="single" w:color="auto" w:sz="4" w:space="0"/>
                    <w:left w:val="single" w:color="auto" w:sz="4" w:space="0"/>
                    <w:bottom w:val="single" w:color="auto" w:sz="4" w:space="0"/>
                    <w:right w:val="single" w:color="auto" w:sz="4" w:space="0"/>
                  </w:tcBorders>
                  <w:vAlign w:val="center"/>
                </w:tcPr>
                <w:p w14:paraId="7F0C3A66">
                  <w:pPr>
                    <w:pStyle w:val="48"/>
                    <w:rPr>
                      <w:color w:val="0000FF"/>
                    </w:rPr>
                  </w:pPr>
                  <w:r>
                    <w:rPr>
                      <w:color w:val="0000FF"/>
                    </w:rPr>
                    <w:t>2</w:t>
                  </w:r>
                </w:p>
              </w:tc>
              <w:tc>
                <w:tcPr>
                  <w:tcW w:w="751" w:type="dxa"/>
                  <w:tcBorders>
                    <w:top w:val="single" w:color="auto" w:sz="4" w:space="0"/>
                    <w:left w:val="single" w:color="auto" w:sz="4" w:space="0"/>
                    <w:bottom w:val="single" w:color="auto" w:sz="4" w:space="0"/>
                    <w:right w:val="nil"/>
                  </w:tcBorders>
                  <w:vAlign w:val="center"/>
                </w:tcPr>
                <w:p w14:paraId="13295557">
                  <w:pPr>
                    <w:pStyle w:val="48"/>
                    <w:rPr>
                      <w:color w:val="0000FF"/>
                    </w:rPr>
                  </w:pPr>
                  <w:r>
                    <w:rPr>
                      <w:color w:val="0000FF"/>
                    </w:rPr>
                    <w:t>3</w:t>
                  </w:r>
                </w:p>
              </w:tc>
            </w:tr>
            <w:tr w14:paraId="654CA09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686" w:type="dxa"/>
                  <w:vMerge w:val="continue"/>
                  <w:tcBorders>
                    <w:top w:val="single" w:color="auto" w:sz="4" w:space="0"/>
                    <w:left w:val="nil"/>
                    <w:bottom w:val="single" w:color="auto" w:sz="4" w:space="0"/>
                    <w:right w:val="single" w:color="auto" w:sz="4" w:space="0"/>
                  </w:tcBorders>
                  <w:vAlign w:val="center"/>
                </w:tcPr>
                <w:p w14:paraId="42304055">
                  <w:pPr>
                    <w:widowControl/>
                    <w:jc w:val="left"/>
                    <w:rPr>
                      <w:rFonts w:eastAsiaTheme="minorEastAsia"/>
                      <w:color w:val="0000FF"/>
                      <w:szCs w:val="21"/>
                    </w:rPr>
                  </w:pPr>
                </w:p>
              </w:tc>
              <w:tc>
                <w:tcPr>
                  <w:tcW w:w="2203" w:type="dxa"/>
                  <w:tcBorders>
                    <w:top w:val="single" w:color="auto" w:sz="4" w:space="0"/>
                    <w:left w:val="single" w:color="auto" w:sz="4" w:space="0"/>
                    <w:bottom w:val="single" w:color="auto" w:sz="4" w:space="0"/>
                    <w:right w:val="single" w:color="auto" w:sz="4" w:space="0"/>
                  </w:tcBorders>
                </w:tcPr>
                <w:p w14:paraId="5020D3DF">
                  <w:pPr>
                    <w:pStyle w:val="48"/>
                    <w:rPr>
                      <w:color w:val="0000FF"/>
                    </w:rPr>
                  </w:pPr>
                  <w:r>
                    <w:rPr>
                      <w:color w:val="0000FF"/>
                    </w:rPr>
                    <w:t>辽宁鑫方成新建材有限公司</w:t>
                  </w:r>
                </w:p>
              </w:tc>
              <w:tc>
                <w:tcPr>
                  <w:tcW w:w="851" w:type="dxa"/>
                  <w:tcBorders>
                    <w:top w:val="single" w:color="auto" w:sz="4" w:space="0"/>
                    <w:left w:val="single" w:color="auto" w:sz="4" w:space="0"/>
                    <w:bottom w:val="single" w:color="auto" w:sz="4" w:space="0"/>
                    <w:right w:val="single" w:color="auto" w:sz="4" w:space="0"/>
                  </w:tcBorders>
                  <w:vAlign w:val="center"/>
                </w:tcPr>
                <w:p w14:paraId="166CE76F">
                  <w:pPr>
                    <w:pStyle w:val="48"/>
                    <w:rPr>
                      <w:color w:val="0000FF"/>
                    </w:rPr>
                  </w:pPr>
                  <w:r>
                    <w:rPr>
                      <w:color w:val="0000FF"/>
                    </w:rPr>
                    <w:t>22</w:t>
                  </w:r>
                </w:p>
              </w:tc>
              <w:tc>
                <w:tcPr>
                  <w:tcW w:w="850" w:type="dxa"/>
                  <w:tcBorders>
                    <w:top w:val="single" w:color="auto" w:sz="4" w:space="0"/>
                    <w:left w:val="single" w:color="auto" w:sz="4" w:space="0"/>
                    <w:bottom w:val="single" w:color="auto" w:sz="4" w:space="0"/>
                    <w:right w:val="single" w:color="auto" w:sz="4" w:space="0"/>
                  </w:tcBorders>
                  <w:vAlign w:val="center"/>
                </w:tcPr>
                <w:p w14:paraId="6AF7437F">
                  <w:pPr>
                    <w:pStyle w:val="48"/>
                    <w:rPr>
                      <w:color w:val="0000FF"/>
                    </w:rPr>
                  </w:pPr>
                  <w:r>
                    <w:rPr>
                      <w:color w:val="0000FF"/>
                    </w:rPr>
                    <w:t>12</w:t>
                  </w:r>
                </w:p>
              </w:tc>
              <w:tc>
                <w:tcPr>
                  <w:tcW w:w="851" w:type="dxa"/>
                  <w:tcBorders>
                    <w:top w:val="single" w:color="auto" w:sz="4" w:space="0"/>
                    <w:left w:val="single" w:color="auto" w:sz="4" w:space="0"/>
                    <w:bottom w:val="single" w:color="auto" w:sz="4" w:space="0"/>
                    <w:right w:val="single" w:color="auto" w:sz="4" w:space="0"/>
                  </w:tcBorders>
                  <w:vAlign w:val="center"/>
                </w:tcPr>
                <w:p w14:paraId="2AE5457E">
                  <w:pPr>
                    <w:pStyle w:val="48"/>
                    <w:rPr>
                      <w:color w:val="0000FF"/>
                    </w:rPr>
                  </w:pPr>
                  <w:r>
                    <w:rPr>
                      <w:color w:val="0000FF"/>
                    </w:rPr>
                    <w:t>20</w:t>
                  </w:r>
                </w:p>
              </w:tc>
              <w:tc>
                <w:tcPr>
                  <w:tcW w:w="850" w:type="dxa"/>
                  <w:tcBorders>
                    <w:top w:val="single" w:color="auto" w:sz="4" w:space="0"/>
                    <w:left w:val="single" w:color="auto" w:sz="4" w:space="0"/>
                    <w:bottom w:val="single" w:color="auto" w:sz="4" w:space="0"/>
                    <w:right w:val="single" w:color="auto" w:sz="4" w:space="0"/>
                  </w:tcBorders>
                  <w:vAlign w:val="center"/>
                </w:tcPr>
                <w:p w14:paraId="38A7AB0C">
                  <w:pPr>
                    <w:pStyle w:val="48"/>
                    <w:rPr>
                      <w:color w:val="0000FF"/>
                    </w:rPr>
                  </w:pPr>
                  <w:r>
                    <w:rPr>
                      <w:color w:val="0000FF"/>
                    </w:rPr>
                    <w:t>0.007</w:t>
                  </w:r>
                </w:p>
              </w:tc>
              <w:tc>
                <w:tcPr>
                  <w:tcW w:w="851" w:type="dxa"/>
                  <w:tcBorders>
                    <w:top w:val="single" w:color="auto" w:sz="4" w:space="0"/>
                    <w:left w:val="single" w:color="auto" w:sz="4" w:space="0"/>
                    <w:bottom w:val="single" w:color="auto" w:sz="4" w:space="0"/>
                    <w:right w:val="single" w:color="auto" w:sz="4" w:space="0"/>
                  </w:tcBorders>
                  <w:vAlign w:val="center"/>
                </w:tcPr>
                <w:p w14:paraId="1359AEA6">
                  <w:pPr>
                    <w:pStyle w:val="48"/>
                    <w:rPr>
                      <w:color w:val="0000FF"/>
                    </w:rPr>
                  </w:pPr>
                  <w:r>
                    <w:rPr>
                      <w:color w:val="0000FF"/>
                    </w:rPr>
                    <w:t>0.11</w:t>
                  </w:r>
                </w:p>
              </w:tc>
              <w:tc>
                <w:tcPr>
                  <w:tcW w:w="850" w:type="dxa"/>
                  <w:tcBorders>
                    <w:top w:val="single" w:color="auto" w:sz="4" w:space="0"/>
                    <w:left w:val="single" w:color="auto" w:sz="4" w:space="0"/>
                    <w:bottom w:val="single" w:color="auto" w:sz="4" w:space="0"/>
                    <w:right w:val="single" w:color="auto" w:sz="4" w:space="0"/>
                  </w:tcBorders>
                  <w:vAlign w:val="center"/>
                </w:tcPr>
                <w:p w14:paraId="728DCE20">
                  <w:pPr>
                    <w:pStyle w:val="48"/>
                    <w:rPr>
                      <w:color w:val="0000FF"/>
                    </w:rPr>
                  </w:pPr>
                  <w:r>
                    <w:rPr>
                      <w:color w:val="0000FF"/>
                    </w:rPr>
                    <w:t>3</w:t>
                  </w:r>
                </w:p>
              </w:tc>
              <w:tc>
                <w:tcPr>
                  <w:tcW w:w="751" w:type="dxa"/>
                  <w:tcBorders>
                    <w:top w:val="single" w:color="auto" w:sz="4" w:space="0"/>
                    <w:left w:val="single" w:color="auto" w:sz="4" w:space="0"/>
                    <w:bottom w:val="single" w:color="auto" w:sz="4" w:space="0"/>
                    <w:right w:val="nil"/>
                  </w:tcBorders>
                  <w:vAlign w:val="center"/>
                </w:tcPr>
                <w:p w14:paraId="452987D4">
                  <w:pPr>
                    <w:pStyle w:val="48"/>
                    <w:rPr>
                      <w:color w:val="0000FF"/>
                    </w:rPr>
                  </w:pPr>
                  <w:r>
                    <w:rPr>
                      <w:color w:val="0000FF"/>
                    </w:rPr>
                    <w:t>3</w:t>
                  </w:r>
                </w:p>
              </w:tc>
            </w:tr>
            <w:tr w14:paraId="0A0E53D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686" w:type="dxa"/>
                  <w:vMerge w:val="continue"/>
                  <w:tcBorders>
                    <w:top w:val="single" w:color="auto" w:sz="4" w:space="0"/>
                    <w:left w:val="nil"/>
                    <w:bottom w:val="single" w:color="auto" w:sz="4" w:space="0"/>
                    <w:right w:val="single" w:color="auto" w:sz="4" w:space="0"/>
                  </w:tcBorders>
                  <w:vAlign w:val="center"/>
                </w:tcPr>
                <w:p w14:paraId="47B89844">
                  <w:pPr>
                    <w:widowControl/>
                    <w:jc w:val="left"/>
                    <w:rPr>
                      <w:rFonts w:eastAsiaTheme="minorEastAsia"/>
                      <w:color w:val="0000FF"/>
                      <w:szCs w:val="21"/>
                    </w:rPr>
                  </w:pPr>
                </w:p>
              </w:tc>
              <w:tc>
                <w:tcPr>
                  <w:tcW w:w="2203" w:type="dxa"/>
                  <w:tcBorders>
                    <w:top w:val="single" w:color="auto" w:sz="4" w:space="0"/>
                    <w:left w:val="single" w:color="auto" w:sz="4" w:space="0"/>
                    <w:bottom w:val="single" w:color="auto" w:sz="4" w:space="0"/>
                    <w:right w:val="single" w:color="auto" w:sz="4" w:space="0"/>
                  </w:tcBorders>
                </w:tcPr>
                <w:p w14:paraId="0FB64E62">
                  <w:pPr>
                    <w:pStyle w:val="48"/>
                    <w:rPr>
                      <w:color w:val="0000FF"/>
                    </w:rPr>
                  </w:pPr>
                  <w:r>
                    <w:rPr>
                      <w:color w:val="0000FF"/>
                    </w:rPr>
                    <w:t>葫芦岛市八家子经济开发区安胜矿产品综合利用有限公司</w:t>
                  </w:r>
                </w:p>
              </w:tc>
              <w:tc>
                <w:tcPr>
                  <w:tcW w:w="851" w:type="dxa"/>
                  <w:tcBorders>
                    <w:top w:val="single" w:color="auto" w:sz="4" w:space="0"/>
                    <w:left w:val="single" w:color="auto" w:sz="4" w:space="0"/>
                    <w:bottom w:val="single" w:color="auto" w:sz="4" w:space="0"/>
                    <w:right w:val="single" w:color="auto" w:sz="4" w:space="0"/>
                  </w:tcBorders>
                  <w:vAlign w:val="center"/>
                </w:tcPr>
                <w:p w14:paraId="5FE9CBBC">
                  <w:pPr>
                    <w:pStyle w:val="48"/>
                    <w:rPr>
                      <w:color w:val="0000FF"/>
                    </w:rPr>
                  </w:pPr>
                  <w:r>
                    <w:rPr>
                      <w:color w:val="0000FF"/>
                    </w:rPr>
                    <w:t>23</w:t>
                  </w:r>
                </w:p>
              </w:tc>
              <w:tc>
                <w:tcPr>
                  <w:tcW w:w="850" w:type="dxa"/>
                  <w:tcBorders>
                    <w:top w:val="single" w:color="auto" w:sz="4" w:space="0"/>
                    <w:left w:val="single" w:color="auto" w:sz="4" w:space="0"/>
                    <w:bottom w:val="single" w:color="auto" w:sz="4" w:space="0"/>
                    <w:right w:val="single" w:color="auto" w:sz="4" w:space="0"/>
                  </w:tcBorders>
                  <w:vAlign w:val="center"/>
                </w:tcPr>
                <w:p w14:paraId="2739C5BD">
                  <w:pPr>
                    <w:pStyle w:val="48"/>
                    <w:rPr>
                      <w:color w:val="0000FF"/>
                    </w:rPr>
                  </w:pPr>
                  <w:r>
                    <w:rPr>
                      <w:color w:val="0000FF"/>
                    </w:rPr>
                    <w:t>11</w:t>
                  </w:r>
                </w:p>
              </w:tc>
              <w:tc>
                <w:tcPr>
                  <w:tcW w:w="851" w:type="dxa"/>
                  <w:tcBorders>
                    <w:top w:val="single" w:color="auto" w:sz="4" w:space="0"/>
                    <w:left w:val="single" w:color="auto" w:sz="4" w:space="0"/>
                    <w:bottom w:val="single" w:color="auto" w:sz="4" w:space="0"/>
                    <w:right w:val="single" w:color="auto" w:sz="4" w:space="0"/>
                  </w:tcBorders>
                  <w:vAlign w:val="center"/>
                </w:tcPr>
                <w:p w14:paraId="6E63A059">
                  <w:pPr>
                    <w:pStyle w:val="48"/>
                    <w:rPr>
                      <w:color w:val="0000FF"/>
                    </w:rPr>
                  </w:pPr>
                  <w:r>
                    <w:rPr>
                      <w:color w:val="0000FF"/>
                    </w:rPr>
                    <w:t>22</w:t>
                  </w:r>
                </w:p>
              </w:tc>
              <w:tc>
                <w:tcPr>
                  <w:tcW w:w="850" w:type="dxa"/>
                  <w:tcBorders>
                    <w:top w:val="single" w:color="auto" w:sz="4" w:space="0"/>
                    <w:left w:val="single" w:color="auto" w:sz="4" w:space="0"/>
                    <w:bottom w:val="single" w:color="auto" w:sz="4" w:space="0"/>
                    <w:right w:val="single" w:color="auto" w:sz="4" w:space="0"/>
                  </w:tcBorders>
                  <w:vAlign w:val="center"/>
                </w:tcPr>
                <w:p w14:paraId="7F0B7B7A">
                  <w:pPr>
                    <w:pStyle w:val="48"/>
                    <w:rPr>
                      <w:color w:val="0000FF"/>
                    </w:rPr>
                  </w:pPr>
                  <w:r>
                    <w:rPr>
                      <w:color w:val="0000FF"/>
                    </w:rPr>
                    <w:t>0.006</w:t>
                  </w:r>
                </w:p>
              </w:tc>
              <w:tc>
                <w:tcPr>
                  <w:tcW w:w="851" w:type="dxa"/>
                  <w:tcBorders>
                    <w:top w:val="single" w:color="auto" w:sz="4" w:space="0"/>
                    <w:left w:val="single" w:color="auto" w:sz="4" w:space="0"/>
                    <w:bottom w:val="single" w:color="auto" w:sz="4" w:space="0"/>
                    <w:right w:val="single" w:color="auto" w:sz="4" w:space="0"/>
                  </w:tcBorders>
                  <w:vAlign w:val="center"/>
                </w:tcPr>
                <w:p w14:paraId="768CEEFA">
                  <w:pPr>
                    <w:pStyle w:val="48"/>
                    <w:rPr>
                      <w:color w:val="0000FF"/>
                    </w:rPr>
                  </w:pPr>
                  <w:r>
                    <w:rPr>
                      <w:color w:val="0000FF"/>
                    </w:rPr>
                    <w:t>0.113</w:t>
                  </w:r>
                </w:p>
              </w:tc>
              <w:tc>
                <w:tcPr>
                  <w:tcW w:w="850" w:type="dxa"/>
                  <w:tcBorders>
                    <w:top w:val="single" w:color="auto" w:sz="4" w:space="0"/>
                    <w:left w:val="single" w:color="auto" w:sz="4" w:space="0"/>
                    <w:bottom w:val="single" w:color="auto" w:sz="4" w:space="0"/>
                    <w:right w:val="single" w:color="auto" w:sz="4" w:space="0"/>
                  </w:tcBorders>
                  <w:vAlign w:val="center"/>
                </w:tcPr>
                <w:p w14:paraId="17B8F02C">
                  <w:pPr>
                    <w:pStyle w:val="48"/>
                    <w:rPr>
                      <w:color w:val="0000FF"/>
                    </w:rPr>
                  </w:pPr>
                  <w:r>
                    <w:rPr>
                      <w:color w:val="0000FF"/>
                    </w:rPr>
                    <w:t>3</w:t>
                  </w:r>
                </w:p>
              </w:tc>
              <w:tc>
                <w:tcPr>
                  <w:tcW w:w="751" w:type="dxa"/>
                  <w:tcBorders>
                    <w:top w:val="single" w:color="auto" w:sz="4" w:space="0"/>
                    <w:left w:val="single" w:color="auto" w:sz="4" w:space="0"/>
                    <w:bottom w:val="single" w:color="auto" w:sz="4" w:space="0"/>
                    <w:right w:val="nil"/>
                  </w:tcBorders>
                  <w:vAlign w:val="center"/>
                </w:tcPr>
                <w:p w14:paraId="2CE28B7F">
                  <w:pPr>
                    <w:pStyle w:val="48"/>
                    <w:rPr>
                      <w:color w:val="0000FF"/>
                    </w:rPr>
                  </w:pPr>
                  <w:r>
                    <w:rPr>
                      <w:color w:val="0000FF"/>
                    </w:rPr>
                    <w:t>2</w:t>
                  </w:r>
                </w:p>
              </w:tc>
            </w:tr>
            <w:tr w14:paraId="2DB5578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2832" w:type="dxa"/>
                  <w:gridSpan w:val="2"/>
                  <w:tcBorders>
                    <w:top w:val="single" w:color="auto" w:sz="4" w:space="0"/>
                    <w:left w:val="nil"/>
                    <w:bottom w:val="single" w:color="auto" w:sz="4" w:space="0"/>
                    <w:right w:val="single" w:color="auto" w:sz="4" w:space="0"/>
                  </w:tcBorders>
                  <w:vAlign w:val="center"/>
                </w:tcPr>
                <w:p w14:paraId="62B41F1F">
                  <w:pPr>
                    <w:pStyle w:val="48"/>
                    <w:rPr>
                      <w:color w:val="0000FF"/>
                    </w:rPr>
                  </w:pPr>
                  <w:r>
                    <w:rPr>
                      <w:color w:val="0000FF"/>
                    </w:rPr>
                    <w:t>均值（按原料比例计算）</w:t>
                  </w:r>
                </w:p>
              </w:tc>
              <w:tc>
                <w:tcPr>
                  <w:tcW w:w="851" w:type="dxa"/>
                  <w:tcBorders>
                    <w:top w:val="single" w:color="auto" w:sz="4" w:space="0"/>
                    <w:left w:val="single" w:color="auto" w:sz="4" w:space="0"/>
                    <w:bottom w:val="single" w:color="auto" w:sz="4" w:space="0"/>
                    <w:right w:val="single" w:color="auto" w:sz="4" w:space="0"/>
                  </w:tcBorders>
                  <w:vAlign w:val="center"/>
                </w:tcPr>
                <w:p w14:paraId="331AE04C">
                  <w:pPr>
                    <w:pStyle w:val="48"/>
                    <w:rPr>
                      <w:color w:val="0000FF"/>
                    </w:rPr>
                  </w:pPr>
                  <w:r>
                    <w:rPr>
                      <w:color w:val="0000FF"/>
                    </w:rPr>
                    <w:t>24</w:t>
                  </w:r>
                </w:p>
              </w:tc>
              <w:tc>
                <w:tcPr>
                  <w:tcW w:w="850" w:type="dxa"/>
                  <w:tcBorders>
                    <w:top w:val="single" w:color="auto" w:sz="4" w:space="0"/>
                    <w:left w:val="single" w:color="auto" w:sz="4" w:space="0"/>
                    <w:bottom w:val="single" w:color="auto" w:sz="4" w:space="0"/>
                    <w:right w:val="single" w:color="auto" w:sz="4" w:space="0"/>
                  </w:tcBorders>
                  <w:vAlign w:val="center"/>
                </w:tcPr>
                <w:p w14:paraId="291B9D00">
                  <w:pPr>
                    <w:pStyle w:val="48"/>
                    <w:rPr>
                      <w:color w:val="0000FF"/>
                    </w:rPr>
                  </w:pPr>
                  <w:r>
                    <w:rPr>
                      <w:color w:val="0000FF"/>
                    </w:rPr>
                    <w:t>11.2</w:t>
                  </w:r>
                </w:p>
              </w:tc>
              <w:tc>
                <w:tcPr>
                  <w:tcW w:w="851" w:type="dxa"/>
                  <w:tcBorders>
                    <w:top w:val="single" w:color="auto" w:sz="4" w:space="0"/>
                    <w:left w:val="single" w:color="auto" w:sz="4" w:space="0"/>
                    <w:bottom w:val="single" w:color="auto" w:sz="4" w:space="0"/>
                    <w:right w:val="single" w:color="auto" w:sz="4" w:space="0"/>
                  </w:tcBorders>
                  <w:vAlign w:val="center"/>
                </w:tcPr>
                <w:p w14:paraId="2362D73A">
                  <w:pPr>
                    <w:pStyle w:val="48"/>
                    <w:rPr>
                      <w:color w:val="0000FF"/>
                    </w:rPr>
                  </w:pPr>
                  <w:r>
                    <w:rPr>
                      <w:color w:val="0000FF"/>
                    </w:rPr>
                    <w:t>21</w:t>
                  </w:r>
                </w:p>
              </w:tc>
              <w:tc>
                <w:tcPr>
                  <w:tcW w:w="850" w:type="dxa"/>
                  <w:tcBorders>
                    <w:top w:val="single" w:color="auto" w:sz="4" w:space="0"/>
                    <w:left w:val="single" w:color="auto" w:sz="4" w:space="0"/>
                    <w:bottom w:val="single" w:color="auto" w:sz="4" w:space="0"/>
                    <w:right w:val="single" w:color="auto" w:sz="4" w:space="0"/>
                  </w:tcBorders>
                  <w:vAlign w:val="center"/>
                </w:tcPr>
                <w:p w14:paraId="21E797D3">
                  <w:pPr>
                    <w:pStyle w:val="48"/>
                    <w:rPr>
                      <w:color w:val="0000FF"/>
                    </w:rPr>
                  </w:pPr>
                  <w:r>
                    <w:rPr>
                      <w:color w:val="0000FF"/>
                    </w:rPr>
                    <w:t>0.0062</w:t>
                  </w:r>
                </w:p>
              </w:tc>
              <w:tc>
                <w:tcPr>
                  <w:tcW w:w="851" w:type="dxa"/>
                  <w:tcBorders>
                    <w:top w:val="single" w:color="auto" w:sz="4" w:space="0"/>
                    <w:left w:val="single" w:color="auto" w:sz="4" w:space="0"/>
                    <w:bottom w:val="single" w:color="auto" w:sz="4" w:space="0"/>
                    <w:right w:val="single" w:color="auto" w:sz="4" w:space="0"/>
                  </w:tcBorders>
                  <w:vAlign w:val="center"/>
                </w:tcPr>
                <w:p w14:paraId="4CB845A1">
                  <w:pPr>
                    <w:pStyle w:val="48"/>
                    <w:rPr>
                      <w:color w:val="0000FF"/>
                    </w:rPr>
                  </w:pPr>
                  <w:r>
                    <w:rPr>
                      <w:color w:val="0000FF"/>
                    </w:rPr>
                    <w:t>0.1136</w:t>
                  </w:r>
                </w:p>
              </w:tc>
              <w:tc>
                <w:tcPr>
                  <w:tcW w:w="850" w:type="dxa"/>
                  <w:tcBorders>
                    <w:top w:val="single" w:color="auto" w:sz="4" w:space="0"/>
                    <w:left w:val="single" w:color="auto" w:sz="4" w:space="0"/>
                    <w:bottom w:val="single" w:color="auto" w:sz="4" w:space="0"/>
                    <w:right w:val="single" w:color="auto" w:sz="4" w:space="0"/>
                  </w:tcBorders>
                  <w:vAlign w:val="center"/>
                </w:tcPr>
                <w:p w14:paraId="5454125F">
                  <w:pPr>
                    <w:pStyle w:val="48"/>
                    <w:rPr>
                      <w:color w:val="0000FF"/>
                    </w:rPr>
                  </w:pPr>
                  <w:r>
                    <w:rPr>
                      <w:color w:val="0000FF"/>
                    </w:rPr>
                    <w:t>2.4</w:t>
                  </w:r>
                </w:p>
              </w:tc>
              <w:tc>
                <w:tcPr>
                  <w:tcW w:w="751" w:type="dxa"/>
                  <w:tcBorders>
                    <w:top w:val="single" w:color="auto" w:sz="4" w:space="0"/>
                    <w:left w:val="single" w:color="auto" w:sz="4" w:space="0"/>
                    <w:bottom w:val="single" w:color="auto" w:sz="4" w:space="0"/>
                    <w:right w:val="nil"/>
                  </w:tcBorders>
                  <w:vAlign w:val="center"/>
                </w:tcPr>
                <w:p w14:paraId="38519B08">
                  <w:pPr>
                    <w:pStyle w:val="48"/>
                    <w:rPr>
                      <w:color w:val="0000FF"/>
                    </w:rPr>
                  </w:pPr>
                  <w:r>
                    <w:rPr>
                      <w:color w:val="0000FF"/>
                    </w:rPr>
                    <w:t>2.8</w:t>
                  </w:r>
                </w:p>
              </w:tc>
            </w:tr>
            <w:tr w14:paraId="2D0F6EF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686" w:type="dxa"/>
                  <w:gridSpan w:val="9"/>
                  <w:tcBorders>
                    <w:top w:val="single" w:color="auto" w:sz="4" w:space="0"/>
                    <w:left w:val="nil"/>
                    <w:bottom w:val="double" w:color="auto" w:sz="2" w:space="0"/>
                    <w:right w:val="nil"/>
                  </w:tcBorders>
                </w:tcPr>
                <w:p w14:paraId="20EC874E">
                  <w:pPr>
                    <w:pStyle w:val="48"/>
                    <w:rPr>
                      <w:color w:val="0000FF"/>
                    </w:rPr>
                  </w:pPr>
                  <w:r>
                    <w:rPr>
                      <w:color w:val="0000FF"/>
                    </w:rPr>
                    <w:t>注：本项目原料锰矿石废料为冶炼企业对锰矿石原料筛分产生的粒径不合格废料，其主要成分与其原料锰矿石基本一致，本次环评参照其锰矿石成分进行分析。</w:t>
                  </w:r>
                </w:p>
              </w:tc>
            </w:tr>
          </w:tbl>
          <w:p w14:paraId="4420B2FA">
            <w:pPr>
              <w:pStyle w:val="65"/>
              <w:spacing w:before="156"/>
              <w:ind w:firstLine="480"/>
              <w:rPr>
                <w:rFonts w:eastAsiaTheme="minorEastAsia"/>
                <w:color w:val="000000"/>
              </w:rPr>
            </w:pPr>
            <w:r>
              <w:rPr>
                <w:rFonts w:eastAsiaTheme="minorEastAsia"/>
                <w:color w:val="000000"/>
              </w:rPr>
              <w:t>本项目烘干燃料为高炉煤气，燃料主要成分详见下表。</w:t>
            </w:r>
          </w:p>
          <w:p w14:paraId="357EF1F8">
            <w:pPr>
              <w:pStyle w:val="92"/>
              <w:rPr>
                <w:rFonts w:eastAsiaTheme="minorEastAsia"/>
                <w:color w:val="000000"/>
              </w:rPr>
            </w:pPr>
            <w:r>
              <w:rPr>
                <w:rFonts w:eastAsiaTheme="minorEastAsia"/>
                <w:color w:val="000000"/>
              </w:rPr>
              <w:t>表2-14 燃料成分表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54"/>
              <w:gridCol w:w="4327"/>
              <w:gridCol w:w="3105"/>
            </w:tblGrid>
            <w:tr w14:paraId="64975AD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double" w:color="auto" w:sz="2" w:space="0"/>
                    <w:left w:val="nil"/>
                    <w:bottom w:val="single" w:color="auto" w:sz="4" w:space="0"/>
                    <w:right w:val="single" w:color="auto" w:sz="4" w:space="0"/>
                  </w:tcBorders>
                  <w:vAlign w:val="center"/>
                </w:tcPr>
                <w:p w14:paraId="62158611">
                  <w:pPr>
                    <w:pStyle w:val="122"/>
                    <w:rPr>
                      <w:rFonts w:eastAsiaTheme="minorEastAsia"/>
                      <w:color w:val="000000"/>
                    </w:rPr>
                  </w:pPr>
                  <w:r>
                    <w:rPr>
                      <w:rFonts w:eastAsiaTheme="minorEastAsia"/>
                      <w:color w:val="000000"/>
                    </w:rPr>
                    <w:t>序号</w:t>
                  </w:r>
                </w:p>
              </w:tc>
              <w:tc>
                <w:tcPr>
                  <w:tcW w:w="4327" w:type="dxa"/>
                  <w:tcBorders>
                    <w:top w:val="double" w:color="auto" w:sz="2" w:space="0"/>
                    <w:left w:val="single" w:color="auto" w:sz="4" w:space="0"/>
                    <w:bottom w:val="single" w:color="auto" w:sz="4" w:space="0"/>
                    <w:right w:val="single" w:color="auto" w:sz="4" w:space="0"/>
                  </w:tcBorders>
                  <w:vAlign w:val="center"/>
                </w:tcPr>
                <w:p w14:paraId="6EC5253F">
                  <w:pPr>
                    <w:pStyle w:val="122"/>
                    <w:rPr>
                      <w:rFonts w:eastAsiaTheme="minorEastAsia"/>
                      <w:color w:val="000000"/>
                    </w:rPr>
                  </w:pPr>
                  <w:r>
                    <w:rPr>
                      <w:rFonts w:eastAsiaTheme="minorEastAsia"/>
                      <w:color w:val="000000"/>
                    </w:rPr>
                    <w:t>主要成分</w:t>
                  </w:r>
                </w:p>
              </w:tc>
              <w:tc>
                <w:tcPr>
                  <w:tcW w:w="3105" w:type="dxa"/>
                  <w:tcBorders>
                    <w:top w:val="double" w:color="auto" w:sz="2" w:space="0"/>
                    <w:left w:val="single" w:color="auto" w:sz="4" w:space="0"/>
                    <w:bottom w:val="single" w:color="auto" w:sz="4" w:space="0"/>
                    <w:right w:val="nil"/>
                  </w:tcBorders>
                  <w:vAlign w:val="center"/>
                </w:tcPr>
                <w:p w14:paraId="1C32D162">
                  <w:pPr>
                    <w:pStyle w:val="122"/>
                    <w:rPr>
                      <w:rFonts w:eastAsiaTheme="minorEastAsia"/>
                      <w:color w:val="000000"/>
                    </w:rPr>
                  </w:pPr>
                  <w:r>
                    <w:rPr>
                      <w:rFonts w:eastAsiaTheme="minorEastAsia"/>
                      <w:color w:val="000000"/>
                    </w:rPr>
                    <w:t>占比</w:t>
                  </w:r>
                </w:p>
              </w:tc>
            </w:tr>
            <w:tr w14:paraId="480DE02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1D85CE51">
                  <w:pPr>
                    <w:pStyle w:val="122"/>
                    <w:rPr>
                      <w:rFonts w:eastAsiaTheme="minorEastAsia"/>
                      <w:color w:val="000000"/>
                    </w:rPr>
                  </w:pPr>
                  <w:r>
                    <w:rPr>
                      <w:rFonts w:eastAsiaTheme="minorEastAsia"/>
                      <w:color w:val="000000"/>
                    </w:rPr>
                    <w:t>1</w:t>
                  </w:r>
                </w:p>
              </w:tc>
              <w:tc>
                <w:tcPr>
                  <w:tcW w:w="4327" w:type="dxa"/>
                  <w:tcBorders>
                    <w:top w:val="single" w:color="auto" w:sz="4" w:space="0"/>
                    <w:left w:val="single" w:color="auto" w:sz="4" w:space="0"/>
                    <w:bottom w:val="single" w:color="auto" w:sz="4" w:space="0"/>
                    <w:right w:val="single" w:color="auto" w:sz="4" w:space="0"/>
                  </w:tcBorders>
                  <w:vAlign w:val="center"/>
                </w:tcPr>
                <w:p w14:paraId="3148C0D5">
                  <w:pPr>
                    <w:pStyle w:val="122"/>
                    <w:rPr>
                      <w:rFonts w:eastAsiaTheme="minorEastAsia"/>
                      <w:color w:val="000000"/>
                    </w:rPr>
                  </w:pPr>
                  <w:r>
                    <w:rPr>
                      <w:rFonts w:eastAsiaTheme="minorEastAsia"/>
                      <w:color w:val="000000"/>
                    </w:rPr>
                    <w:t>CO</w:t>
                  </w:r>
                </w:p>
              </w:tc>
              <w:tc>
                <w:tcPr>
                  <w:tcW w:w="3105" w:type="dxa"/>
                  <w:tcBorders>
                    <w:top w:val="single" w:color="auto" w:sz="4" w:space="0"/>
                    <w:left w:val="single" w:color="auto" w:sz="4" w:space="0"/>
                    <w:bottom w:val="single" w:color="auto" w:sz="4" w:space="0"/>
                    <w:right w:val="nil"/>
                  </w:tcBorders>
                  <w:vAlign w:val="center"/>
                </w:tcPr>
                <w:p w14:paraId="4F1A8930">
                  <w:pPr>
                    <w:pStyle w:val="122"/>
                    <w:rPr>
                      <w:rFonts w:eastAsiaTheme="minorEastAsia"/>
                      <w:color w:val="000000"/>
                    </w:rPr>
                  </w:pPr>
                  <w:r>
                    <w:rPr>
                      <w:rFonts w:eastAsiaTheme="minorEastAsia"/>
                      <w:color w:val="000000"/>
                    </w:rPr>
                    <w:t>20.00%-30.00%</w:t>
                  </w:r>
                </w:p>
              </w:tc>
            </w:tr>
            <w:tr w14:paraId="53FA43E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575D6A0C">
                  <w:pPr>
                    <w:pStyle w:val="122"/>
                    <w:rPr>
                      <w:rFonts w:eastAsiaTheme="minorEastAsia"/>
                      <w:color w:val="000000"/>
                    </w:rPr>
                  </w:pPr>
                  <w:r>
                    <w:rPr>
                      <w:rFonts w:eastAsiaTheme="minorEastAsia"/>
                      <w:color w:val="000000"/>
                    </w:rPr>
                    <w:t>2</w:t>
                  </w:r>
                </w:p>
              </w:tc>
              <w:tc>
                <w:tcPr>
                  <w:tcW w:w="4327" w:type="dxa"/>
                  <w:tcBorders>
                    <w:top w:val="single" w:color="auto" w:sz="4" w:space="0"/>
                    <w:left w:val="single" w:color="auto" w:sz="4" w:space="0"/>
                    <w:bottom w:val="single" w:color="auto" w:sz="4" w:space="0"/>
                    <w:right w:val="single" w:color="auto" w:sz="4" w:space="0"/>
                  </w:tcBorders>
                  <w:vAlign w:val="center"/>
                </w:tcPr>
                <w:p w14:paraId="35BA3071">
                  <w:pPr>
                    <w:pStyle w:val="122"/>
                    <w:rPr>
                      <w:rFonts w:eastAsiaTheme="minorEastAsia"/>
                      <w:color w:val="000000"/>
                    </w:rPr>
                  </w:pPr>
                  <w:r>
                    <w:rPr>
                      <w:rFonts w:eastAsiaTheme="minorEastAsia"/>
                      <w:color w:val="000000"/>
                    </w:rPr>
                    <w:t>N</w:t>
                  </w:r>
                  <w:r>
                    <w:rPr>
                      <w:rFonts w:eastAsiaTheme="minorEastAsia"/>
                      <w:color w:val="000000"/>
                      <w:vertAlign w:val="subscript"/>
                    </w:rPr>
                    <w:t>2</w:t>
                  </w:r>
                </w:p>
              </w:tc>
              <w:tc>
                <w:tcPr>
                  <w:tcW w:w="3105" w:type="dxa"/>
                  <w:tcBorders>
                    <w:top w:val="single" w:color="auto" w:sz="4" w:space="0"/>
                    <w:left w:val="single" w:color="auto" w:sz="4" w:space="0"/>
                    <w:bottom w:val="single" w:color="auto" w:sz="4" w:space="0"/>
                    <w:right w:val="nil"/>
                  </w:tcBorders>
                  <w:vAlign w:val="center"/>
                </w:tcPr>
                <w:p w14:paraId="42E12FF9">
                  <w:pPr>
                    <w:pStyle w:val="122"/>
                    <w:rPr>
                      <w:rFonts w:eastAsiaTheme="minorEastAsia"/>
                      <w:color w:val="000000"/>
                    </w:rPr>
                  </w:pPr>
                  <w:r>
                    <w:rPr>
                      <w:rFonts w:eastAsiaTheme="minorEastAsia"/>
                      <w:color w:val="000000"/>
                    </w:rPr>
                    <w:t>45.00%-55.00%</w:t>
                  </w:r>
                </w:p>
              </w:tc>
            </w:tr>
            <w:tr w14:paraId="1513F63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430B52E7">
                  <w:pPr>
                    <w:pStyle w:val="122"/>
                    <w:rPr>
                      <w:rFonts w:eastAsiaTheme="minorEastAsia"/>
                      <w:color w:val="000000"/>
                    </w:rPr>
                  </w:pPr>
                  <w:r>
                    <w:rPr>
                      <w:rFonts w:eastAsiaTheme="minorEastAsia"/>
                      <w:color w:val="000000"/>
                    </w:rPr>
                    <w:t>3</w:t>
                  </w:r>
                </w:p>
              </w:tc>
              <w:tc>
                <w:tcPr>
                  <w:tcW w:w="4327" w:type="dxa"/>
                  <w:tcBorders>
                    <w:top w:val="single" w:color="auto" w:sz="4" w:space="0"/>
                    <w:left w:val="single" w:color="auto" w:sz="4" w:space="0"/>
                    <w:bottom w:val="single" w:color="auto" w:sz="4" w:space="0"/>
                    <w:right w:val="single" w:color="auto" w:sz="4" w:space="0"/>
                  </w:tcBorders>
                  <w:vAlign w:val="center"/>
                </w:tcPr>
                <w:p w14:paraId="24782FED">
                  <w:pPr>
                    <w:pStyle w:val="122"/>
                    <w:rPr>
                      <w:rFonts w:eastAsiaTheme="minorEastAsia"/>
                      <w:color w:val="000000"/>
                    </w:rPr>
                  </w:pPr>
                  <w:r>
                    <w:rPr>
                      <w:rFonts w:eastAsiaTheme="minorEastAsia"/>
                      <w:color w:val="000000"/>
                    </w:rPr>
                    <w:t>CO</w:t>
                  </w:r>
                  <w:r>
                    <w:rPr>
                      <w:rFonts w:eastAsiaTheme="minorEastAsia"/>
                      <w:color w:val="000000"/>
                      <w:vertAlign w:val="subscript"/>
                    </w:rPr>
                    <w:t>2</w:t>
                  </w:r>
                </w:p>
              </w:tc>
              <w:tc>
                <w:tcPr>
                  <w:tcW w:w="3105" w:type="dxa"/>
                  <w:tcBorders>
                    <w:top w:val="single" w:color="auto" w:sz="4" w:space="0"/>
                    <w:left w:val="single" w:color="auto" w:sz="4" w:space="0"/>
                    <w:bottom w:val="single" w:color="auto" w:sz="4" w:space="0"/>
                    <w:right w:val="nil"/>
                  </w:tcBorders>
                  <w:vAlign w:val="center"/>
                </w:tcPr>
                <w:p w14:paraId="31D35FEE">
                  <w:pPr>
                    <w:pStyle w:val="122"/>
                    <w:rPr>
                      <w:rFonts w:eastAsiaTheme="minorEastAsia"/>
                      <w:color w:val="000000"/>
                    </w:rPr>
                  </w:pPr>
                  <w:r>
                    <w:rPr>
                      <w:rFonts w:eastAsiaTheme="minorEastAsia"/>
                      <w:color w:val="000000"/>
                    </w:rPr>
                    <w:t>15.00%-25.00%</w:t>
                  </w:r>
                </w:p>
              </w:tc>
            </w:tr>
            <w:tr w14:paraId="457E6F6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39D98422">
                  <w:pPr>
                    <w:pStyle w:val="122"/>
                    <w:rPr>
                      <w:rFonts w:eastAsiaTheme="minorEastAsia"/>
                      <w:color w:val="000000"/>
                    </w:rPr>
                  </w:pPr>
                  <w:r>
                    <w:rPr>
                      <w:rFonts w:eastAsiaTheme="minorEastAsia"/>
                      <w:color w:val="000000"/>
                    </w:rPr>
                    <w:t>4</w:t>
                  </w:r>
                </w:p>
              </w:tc>
              <w:tc>
                <w:tcPr>
                  <w:tcW w:w="4327" w:type="dxa"/>
                  <w:tcBorders>
                    <w:top w:val="single" w:color="auto" w:sz="4" w:space="0"/>
                    <w:left w:val="single" w:color="auto" w:sz="4" w:space="0"/>
                    <w:bottom w:val="single" w:color="auto" w:sz="4" w:space="0"/>
                    <w:right w:val="single" w:color="auto" w:sz="4" w:space="0"/>
                  </w:tcBorders>
                  <w:vAlign w:val="center"/>
                </w:tcPr>
                <w:p w14:paraId="68AED242">
                  <w:pPr>
                    <w:pStyle w:val="122"/>
                    <w:rPr>
                      <w:rFonts w:eastAsiaTheme="minorEastAsia"/>
                      <w:color w:val="000000"/>
                    </w:rPr>
                  </w:pPr>
                  <w:r>
                    <w:rPr>
                      <w:rFonts w:eastAsiaTheme="minorEastAsia"/>
                      <w:color w:val="000000"/>
                    </w:rPr>
                    <w:t>H</w:t>
                  </w:r>
                  <w:r>
                    <w:rPr>
                      <w:rFonts w:eastAsiaTheme="minorEastAsia"/>
                      <w:color w:val="000000"/>
                      <w:vertAlign w:val="subscript"/>
                    </w:rPr>
                    <w:t>2</w:t>
                  </w:r>
                </w:p>
              </w:tc>
              <w:tc>
                <w:tcPr>
                  <w:tcW w:w="3105" w:type="dxa"/>
                  <w:tcBorders>
                    <w:top w:val="single" w:color="auto" w:sz="4" w:space="0"/>
                    <w:left w:val="single" w:color="auto" w:sz="4" w:space="0"/>
                    <w:bottom w:val="single" w:color="auto" w:sz="4" w:space="0"/>
                    <w:right w:val="nil"/>
                  </w:tcBorders>
                  <w:vAlign w:val="center"/>
                </w:tcPr>
                <w:p w14:paraId="15C519E0">
                  <w:pPr>
                    <w:pStyle w:val="122"/>
                    <w:rPr>
                      <w:rFonts w:eastAsiaTheme="minorEastAsia"/>
                      <w:color w:val="000000"/>
                    </w:rPr>
                  </w:pPr>
                  <w:r>
                    <w:rPr>
                      <w:rFonts w:eastAsiaTheme="minorEastAsia"/>
                      <w:color w:val="000000"/>
                    </w:rPr>
                    <w:t>1.00%-4.00%</w:t>
                  </w:r>
                </w:p>
              </w:tc>
            </w:tr>
            <w:tr w14:paraId="3FD4A9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1E85ACA0">
                  <w:pPr>
                    <w:pStyle w:val="122"/>
                    <w:rPr>
                      <w:rFonts w:eastAsiaTheme="minorEastAsia"/>
                      <w:color w:val="000000"/>
                    </w:rPr>
                  </w:pPr>
                  <w:r>
                    <w:rPr>
                      <w:rFonts w:eastAsiaTheme="minorEastAsia"/>
                      <w:color w:val="000000"/>
                    </w:rPr>
                    <w:t>5</w:t>
                  </w:r>
                </w:p>
              </w:tc>
              <w:tc>
                <w:tcPr>
                  <w:tcW w:w="4327" w:type="dxa"/>
                  <w:tcBorders>
                    <w:top w:val="single" w:color="auto" w:sz="4" w:space="0"/>
                    <w:left w:val="single" w:color="auto" w:sz="4" w:space="0"/>
                    <w:bottom w:val="single" w:color="auto" w:sz="4" w:space="0"/>
                    <w:right w:val="single" w:color="auto" w:sz="4" w:space="0"/>
                  </w:tcBorders>
                  <w:vAlign w:val="center"/>
                </w:tcPr>
                <w:p w14:paraId="093C2B8D">
                  <w:pPr>
                    <w:pStyle w:val="122"/>
                    <w:rPr>
                      <w:rFonts w:eastAsiaTheme="minorEastAsia"/>
                      <w:color w:val="000000"/>
                    </w:rPr>
                  </w:pPr>
                  <w:r>
                    <w:rPr>
                      <w:rFonts w:eastAsiaTheme="minorEastAsia"/>
                      <w:color w:val="000000"/>
                    </w:rPr>
                    <w:t>CH</w:t>
                  </w:r>
                  <w:r>
                    <w:rPr>
                      <w:rFonts w:eastAsiaTheme="minorEastAsia"/>
                      <w:color w:val="000000"/>
                      <w:vertAlign w:val="subscript"/>
                    </w:rPr>
                    <w:t>4</w:t>
                  </w:r>
                </w:p>
              </w:tc>
              <w:tc>
                <w:tcPr>
                  <w:tcW w:w="3105" w:type="dxa"/>
                  <w:tcBorders>
                    <w:top w:val="single" w:color="auto" w:sz="4" w:space="0"/>
                    <w:left w:val="single" w:color="auto" w:sz="4" w:space="0"/>
                    <w:bottom w:val="single" w:color="auto" w:sz="4" w:space="0"/>
                    <w:right w:val="nil"/>
                  </w:tcBorders>
                  <w:vAlign w:val="center"/>
                </w:tcPr>
                <w:p w14:paraId="645F8741">
                  <w:pPr>
                    <w:pStyle w:val="122"/>
                    <w:rPr>
                      <w:rFonts w:eastAsiaTheme="minorEastAsia"/>
                      <w:color w:val="000000"/>
                    </w:rPr>
                  </w:pPr>
                  <w:r>
                    <w:rPr>
                      <w:rFonts w:eastAsiaTheme="minorEastAsia"/>
                      <w:color w:val="000000"/>
                    </w:rPr>
                    <w:t>0.20%-1.00%</w:t>
                  </w:r>
                </w:p>
              </w:tc>
            </w:tr>
            <w:tr w14:paraId="499DBC4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5C8880E1">
                  <w:pPr>
                    <w:pStyle w:val="122"/>
                    <w:rPr>
                      <w:rFonts w:eastAsiaTheme="minorEastAsia"/>
                      <w:color w:val="000000"/>
                    </w:rPr>
                  </w:pPr>
                  <w:r>
                    <w:rPr>
                      <w:rFonts w:eastAsiaTheme="minorEastAsia"/>
                      <w:color w:val="000000"/>
                    </w:rPr>
                    <w:t>6</w:t>
                  </w:r>
                </w:p>
              </w:tc>
              <w:tc>
                <w:tcPr>
                  <w:tcW w:w="4327" w:type="dxa"/>
                  <w:tcBorders>
                    <w:top w:val="single" w:color="auto" w:sz="4" w:space="0"/>
                    <w:left w:val="single" w:color="auto" w:sz="4" w:space="0"/>
                    <w:bottom w:val="single" w:color="auto" w:sz="4" w:space="0"/>
                    <w:right w:val="single" w:color="auto" w:sz="4" w:space="0"/>
                  </w:tcBorders>
                  <w:vAlign w:val="center"/>
                </w:tcPr>
                <w:p w14:paraId="7BC51B04">
                  <w:pPr>
                    <w:pStyle w:val="122"/>
                    <w:rPr>
                      <w:rFonts w:eastAsiaTheme="minorEastAsia"/>
                      <w:color w:val="000000"/>
                    </w:rPr>
                  </w:pPr>
                  <w:r>
                    <w:rPr>
                      <w:rFonts w:eastAsiaTheme="minorEastAsia"/>
                      <w:color w:val="000000"/>
                    </w:rPr>
                    <w:t>粉尘</w:t>
                  </w:r>
                </w:p>
              </w:tc>
              <w:tc>
                <w:tcPr>
                  <w:tcW w:w="3105" w:type="dxa"/>
                  <w:tcBorders>
                    <w:top w:val="single" w:color="auto" w:sz="4" w:space="0"/>
                    <w:left w:val="single" w:color="auto" w:sz="4" w:space="0"/>
                    <w:bottom w:val="single" w:color="auto" w:sz="4" w:space="0"/>
                    <w:right w:val="nil"/>
                  </w:tcBorders>
                  <w:vAlign w:val="center"/>
                </w:tcPr>
                <w:p w14:paraId="53AA5C24">
                  <w:pPr>
                    <w:pStyle w:val="122"/>
                    <w:rPr>
                      <w:rFonts w:eastAsiaTheme="minorEastAsia"/>
                      <w:color w:val="000000"/>
                    </w:rPr>
                  </w:pPr>
                  <w:r>
                    <w:rPr>
                      <w:rFonts w:eastAsiaTheme="minorEastAsia"/>
                      <w:color w:val="000000"/>
                    </w:rPr>
                    <w:t>0.015-0.10%</w:t>
                  </w:r>
                </w:p>
              </w:tc>
            </w:tr>
            <w:tr w14:paraId="0674932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single" w:color="auto" w:sz="4" w:space="0"/>
                    <w:right w:val="single" w:color="auto" w:sz="4" w:space="0"/>
                  </w:tcBorders>
                  <w:vAlign w:val="center"/>
                </w:tcPr>
                <w:p w14:paraId="434DAD0A">
                  <w:pPr>
                    <w:pStyle w:val="122"/>
                    <w:rPr>
                      <w:rFonts w:eastAsiaTheme="minorEastAsia"/>
                      <w:color w:val="000000"/>
                    </w:rPr>
                  </w:pPr>
                  <w:r>
                    <w:rPr>
                      <w:rFonts w:eastAsiaTheme="minorEastAsia"/>
                      <w:color w:val="000000"/>
                    </w:rPr>
                    <w:t>7</w:t>
                  </w:r>
                </w:p>
              </w:tc>
              <w:tc>
                <w:tcPr>
                  <w:tcW w:w="4327" w:type="dxa"/>
                  <w:tcBorders>
                    <w:top w:val="single" w:color="auto" w:sz="4" w:space="0"/>
                    <w:left w:val="single" w:color="auto" w:sz="4" w:space="0"/>
                    <w:bottom w:val="single" w:color="auto" w:sz="4" w:space="0"/>
                    <w:right w:val="single" w:color="auto" w:sz="4" w:space="0"/>
                  </w:tcBorders>
                  <w:vAlign w:val="center"/>
                </w:tcPr>
                <w:p w14:paraId="15F43506">
                  <w:pPr>
                    <w:pStyle w:val="122"/>
                    <w:rPr>
                      <w:rFonts w:eastAsiaTheme="minorEastAsia"/>
                      <w:color w:val="000000"/>
                    </w:rPr>
                  </w:pPr>
                  <w:r>
                    <w:rPr>
                      <w:rFonts w:eastAsiaTheme="minorEastAsia"/>
                      <w:color w:val="000000"/>
                    </w:rPr>
                    <w:t>H</w:t>
                  </w:r>
                  <w:r>
                    <w:rPr>
                      <w:rFonts w:eastAsiaTheme="minorEastAsia"/>
                      <w:color w:val="000000"/>
                      <w:vertAlign w:val="subscript"/>
                    </w:rPr>
                    <w:t>2</w:t>
                  </w:r>
                  <w:r>
                    <w:rPr>
                      <w:rFonts w:eastAsiaTheme="minorEastAsia"/>
                      <w:color w:val="000000"/>
                    </w:rPr>
                    <w:t>S</w:t>
                  </w:r>
                </w:p>
              </w:tc>
              <w:tc>
                <w:tcPr>
                  <w:tcW w:w="3105" w:type="dxa"/>
                  <w:tcBorders>
                    <w:top w:val="single" w:color="auto" w:sz="4" w:space="0"/>
                    <w:left w:val="single" w:color="auto" w:sz="4" w:space="0"/>
                    <w:bottom w:val="single" w:color="auto" w:sz="4" w:space="0"/>
                    <w:right w:val="nil"/>
                  </w:tcBorders>
                  <w:vAlign w:val="center"/>
                </w:tcPr>
                <w:p w14:paraId="54A2D93B">
                  <w:pPr>
                    <w:pStyle w:val="122"/>
                    <w:rPr>
                      <w:rFonts w:eastAsiaTheme="minorEastAsia"/>
                      <w:color w:val="000000"/>
                    </w:rPr>
                  </w:pPr>
                  <w:r>
                    <w:rPr>
                      <w:rFonts w:eastAsiaTheme="minorEastAsia"/>
                      <w:color w:val="000000"/>
                    </w:rPr>
                    <w:t>0.001%-0.05%</w:t>
                  </w:r>
                </w:p>
              </w:tc>
            </w:tr>
            <w:tr w14:paraId="374CCB5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54" w:type="dxa"/>
                  <w:tcBorders>
                    <w:top w:val="single" w:color="auto" w:sz="4" w:space="0"/>
                    <w:left w:val="nil"/>
                    <w:bottom w:val="double" w:color="auto" w:sz="2" w:space="0"/>
                    <w:right w:val="single" w:color="auto" w:sz="4" w:space="0"/>
                  </w:tcBorders>
                  <w:vAlign w:val="center"/>
                </w:tcPr>
                <w:p w14:paraId="413E66DC">
                  <w:pPr>
                    <w:pStyle w:val="122"/>
                    <w:rPr>
                      <w:rFonts w:eastAsiaTheme="minorEastAsia"/>
                      <w:color w:val="000000"/>
                    </w:rPr>
                  </w:pPr>
                  <w:r>
                    <w:rPr>
                      <w:rFonts w:eastAsiaTheme="minorEastAsia"/>
                      <w:color w:val="000000"/>
                    </w:rPr>
                    <w:t>8</w:t>
                  </w:r>
                </w:p>
              </w:tc>
              <w:tc>
                <w:tcPr>
                  <w:tcW w:w="4327" w:type="dxa"/>
                  <w:tcBorders>
                    <w:top w:val="single" w:color="auto" w:sz="4" w:space="0"/>
                    <w:left w:val="single" w:color="auto" w:sz="4" w:space="0"/>
                    <w:bottom w:val="double" w:color="auto" w:sz="2" w:space="0"/>
                    <w:right w:val="single" w:color="auto" w:sz="4" w:space="0"/>
                  </w:tcBorders>
                  <w:vAlign w:val="center"/>
                </w:tcPr>
                <w:p w14:paraId="11FCCD08">
                  <w:pPr>
                    <w:pStyle w:val="122"/>
                    <w:rPr>
                      <w:rFonts w:eastAsiaTheme="minorEastAsia"/>
                      <w:color w:val="000000"/>
                    </w:rPr>
                  </w:pPr>
                  <w:r>
                    <w:rPr>
                      <w:rFonts w:eastAsiaTheme="minorEastAsia"/>
                      <w:color w:val="000000"/>
                    </w:rPr>
                    <w:t>其他微量组分</w:t>
                  </w:r>
                </w:p>
              </w:tc>
              <w:tc>
                <w:tcPr>
                  <w:tcW w:w="3105" w:type="dxa"/>
                  <w:tcBorders>
                    <w:top w:val="single" w:color="auto" w:sz="4" w:space="0"/>
                    <w:left w:val="single" w:color="auto" w:sz="4" w:space="0"/>
                    <w:bottom w:val="double" w:color="auto" w:sz="2" w:space="0"/>
                    <w:right w:val="nil"/>
                  </w:tcBorders>
                  <w:vAlign w:val="center"/>
                </w:tcPr>
                <w:p w14:paraId="2A526DD8">
                  <w:pPr>
                    <w:pStyle w:val="122"/>
                    <w:rPr>
                      <w:rFonts w:eastAsiaTheme="minorEastAsia"/>
                      <w:color w:val="000000"/>
                    </w:rPr>
                  </w:pPr>
                  <w:r>
                    <w:rPr>
                      <w:rFonts w:eastAsiaTheme="minorEastAsia"/>
                      <w:color w:val="000000"/>
                    </w:rPr>
                    <w:t>≤1.00%</w:t>
                  </w:r>
                </w:p>
              </w:tc>
            </w:tr>
          </w:tbl>
          <w:p w14:paraId="18209FB8">
            <w:pPr>
              <w:pStyle w:val="65"/>
              <w:ind w:firstLine="482"/>
              <w:rPr>
                <w:rFonts w:eastAsiaTheme="minorEastAsia"/>
                <w:b/>
                <w:bCs/>
                <w:color w:val="000000"/>
              </w:rPr>
            </w:pPr>
            <w:r>
              <w:rPr>
                <w:rFonts w:eastAsiaTheme="minorEastAsia"/>
                <w:b/>
                <w:bCs/>
                <w:color w:val="000000"/>
              </w:rPr>
              <w:t>6、劳动定员及工作制度</w:t>
            </w:r>
          </w:p>
          <w:p w14:paraId="369C1FA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年工作180天，3班2运转，每班8小时制，每天16小时生产。工作人员人数7人。</w:t>
            </w:r>
          </w:p>
          <w:p w14:paraId="1E76F9ED">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7、四至范围</w:t>
            </w:r>
          </w:p>
          <w:p w14:paraId="555EABAC">
            <w:pPr>
              <w:pStyle w:val="65"/>
              <w:ind w:firstLine="480"/>
              <w:rPr>
                <w:rFonts w:eastAsiaTheme="minorEastAsia"/>
                <w:b/>
                <w:bCs/>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本项目租用朝阳县瓦房子镇宏兴锰矿内部场地建设，占地</w:t>
            </w:r>
            <w:r>
              <w:rPr>
                <w:rFonts w:eastAsiaTheme="minorEastAsia"/>
                <w:color w:val="0000FF"/>
              </w:rPr>
              <w:t>1000m</w:t>
            </w:r>
            <w:r>
              <w:rPr>
                <w:rFonts w:eastAsiaTheme="minorEastAsia"/>
                <w:color w:val="0000FF"/>
                <w:vertAlign w:val="superscript"/>
              </w:rPr>
              <w:t>2</w:t>
            </w:r>
            <w:r>
              <w:rPr>
                <w:rFonts w:eastAsiaTheme="minorEastAsia"/>
                <w:color w:val="000000" w:themeColor="text1"/>
                <w14:textFill>
                  <w14:solidFill>
                    <w14:schemeClr w14:val="tx1"/>
                  </w14:solidFill>
                </w14:textFill>
              </w:rPr>
              <w:t>，场地四至均为朝阳县瓦房子镇宏兴锰矿。本项目租用场地边界拐点坐标详见下表。</w:t>
            </w:r>
          </w:p>
          <w:p w14:paraId="2BECD6A1">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表2-15本项目租用场地边界拐点坐标</w:t>
            </w:r>
          </w:p>
          <w:tbl>
            <w:tblPr>
              <w:tblStyle w:val="36"/>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2"/>
              <w:gridCol w:w="4111"/>
              <w:gridCol w:w="3811"/>
            </w:tblGrid>
            <w:tr w14:paraId="26DC8A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2" w:type="dxa"/>
                </w:tcPr>
                <w:p w14:paraId="37F29C9B">
                  <w:pPr>
                    <w:pStyle w:val="48"/>
                  </w:pPr>
                  <w:r>
                    <w:t>序号</w:t>
                  </w:r>
                </w:p>
              </w:tc>
              <w:tc>
                <w:tcPr>
                  <w:tcW w:w="4111" w:type="dxa"/>
                </w:tcPr>
                <w:p w14:paraId="716EB009">
                  <w:pPr>
                    <w:pStyle w:val="48"/>
                  </w:pPr>
                  <w:r>
                    <w:t>X坐标</w:t>
                  </w:r>
                </w:p>
              </w:tc>
              <w:tc>
                <w:tcPr>
                  <w:tcW w:w="3811" w:type="dxa"/>
                </w:tcPr>
                <w:p w14:paraId="3E643F48">
                  <w:pPr>
                    <w:pStyle w:val="48"/>
                  </w:pPr>
                  <w:r>
                    <w:t>Y坐标</w:t>
                  </w:r>
                </w:p>
              </w:tc>
            </w:tr>
            <w:tr w14:paraId="7FB701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75B2309E">
                  <w:pPr>
                    <w:pStyle w:val="48"/>
                  </w:pPr>
                  <w:r>
                    <w:rPr>
                      <w:sz w:val="22"/>
                      <w:szCs w:val="22"/>
                    </w:rPr>
                    <w:t>1</w:t>
                  </w:r>
                </w:p>
              </w:tc>
              <w:tc>
                <w:tcPr>
                  <w:tcW w:w="4111" w:type="dxa"/>
                  <w:vAlign w:val="center"/>
                </w:tcPr>
                <w:p w14:paraId="50000147">
                  <w:pPr>
                    <w:pStyle w:val="48"/>
                    <w:rPr>
                      <w:color w:val="0000FF"/>
                    </w:rPr>
                  </w:pPr>
                  <w:r>
                    <w:rPr>
                      <w:color w:val="0000FF"/>
                      <w:sz w:val="22"/>
                      <w:szCs w:val="22"/>
                    </w:rPr>
                    <w:t xml:space="preserve">40512468.11 </w:t>
                  </w:r>
                </w:p>
              </w:tc>
              <w:tc>
                <w:tcPr>
                  <w:tcW w:w="3811" w:type="dxa"/>
                  <w:vAlign w:val="center"/>
                </w:tcPr>
                <w:p w14:paraId="2B3DDF94">
                  <w:pPr>
                    <w:pStyle w:val="48"/>
                    <w:rPr>
                      <w:color w:val="0000FF"/>
                    </w:rPr>
                  </w:pPr>
                  <w:r>
                    <w:rPr>
                      <w:color w:val="0000FF"/>
                      <w:sz w:val="22"/>
                      <w:szCs w:val="22"/>
                    </w:rPr>
                    <w:t xml:space="preserve">4550552.58 </w:t>
                  </w:r>
                </w:p>
              </w:tc>
            </w:tr>
            <w:tr w14:paraId="26EDFE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2AD41CDB">
                  <w:pPr>
                    <w:pStyle w:val="48"/>
                  </w:pPr>
                  <w:r>
                    <w:rPr>
                      <w:sz w:val="22"/>
                      <w:szCs w:val="22"/>
                    </w:rPr>
                    <w:t>2</w:t>
                  </w:r>
                </w:p>
              </w:tc>
              <w:tc>
                <w:tcPr>
                  <w:tcW w:w="4111" w:type="dxa"/>
                  <w:vAlign w:val="center"/>
                </w:tcPr>
                <w:p w14:paraId="2663BE39">
                  <w:pPr>
                    <w:pStyle w:val="48"/>
                    <w:rPr>
                      <w:color w:val="0000FF"/>
                    </w:rPr>
                  </w:pPr>
                  <w:r>
                    <w:rPr>
                      <w:color w:val="0000FF"/>
                      <w:sz w:val="22"/>
                      <w:szCs w:val="22"/>
                    </w:rPr>
                    <w:t xml:space="preserve">40512492.00 </w:t>
                  </w:r>
                </w:p>
              </w:tc>
              <w:tc>
                <w:tcPr>
                  <w:tcW w:w="3811" w:type="dxa"/>
                  <w:vAlign w:val="center"/>
                </w:tcPr>
                <w:p w14:paraId="5B85612E">
                  <w:pPr>
                    <w:pStyle w:val="48"/>
                    <w:rPr>
                      <w:color w:val="0000FF"/>
                    </w:rPr>
                  </w:pPr>
                  <w:r>
                    <w:rPr>
                      <w:color w:val="0000FF"/>
                      <w:sz w:val="22"/>
                      <w:szCs w:val="22"/>
                    </w:rPr>
                    <w:t xml:space="preserve">4550534.88 </w:t>
                  </w:r>
                </w:p>
              </w:tc>
            </w:tr>
            <w:tr w14:paraId="2F57BD4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1350DC77">
                  <w:pPr>
                    <w:pStyle w:val="48"/>
                  </w:pPr>
                  <w:r>
                    <w:rPr>
                      <w:sz w:val="22"/>
                      <w:szCs w:val="22"/>
                    </w:rPr>
                    <w:t>3</w:t>
                  </w:r>
                </w:p>
              </w:tc>
              <w:tc>
                <w:tcPr>
                  <w:tcW w:w="4111" w:type="dxa"/>
                  <w:vAlign w:val="center"/>
                </w:tcPr>
                <w:p w14:paraId="202686FE">
                  <w:pPr>
                    <w:pStyle w:val="48"/>
                    <w:rPr>
                      <w:color w:val="0000FF"/>
                    </w:rPr>
                  </w:pPr>
                  <w:r>
                    <w:rPr>
                      <w:color w:val="0000FF"/>
                      <w:sz w:val="22"/>
                      <w:szCs w:val="22"/>
                    </w:rPr>
                    <w:t xml:space="preserve">40512460.49 </w:t>
                  </w:r>
                </w:p>
              </w:tc>
              <w:tc>
                <w:tcPr>
                  <w:tcW w:w="3811" w:type="dxa"/>
                  <w:vAlign w:val="center"/>
                </w:tcPr>
                <w:p w14:paraId="011575E0">
                  <w:pPr>
                    <w:pStyle w:val="48"/>
                    <w:rPr>
                      <w:color w:val="0000FF"/>
                    </w:rPr>
                  </w:pPr>
                  <w:r>
                    <w:rPr>
                      <w:color w:val="0000FF"/>
                      <w:sz w:val="22"/>
                      <w:szCs w:val="22"/>
                    </w:rPr>
                    <w:t xml:space="preserve">4550503.84 </w:t>
                  </w:r>
                </w:p>
              </w:tc>
            </w:tr>
            <w:tr w14:paraId="5B7191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54065C9C">
                  <w:pPr>
                    <w:pStyle w:val="48"/>
                  </w:pPr>
                  <w:r>
                    <w:rPr>
                      <w:sz w:val="22"/>
                      <w:szCs w:val="22"/>
                    </w:rPr>
                    <w:t>4</w:t>
                  </w:r>
                </w:p>
              </w:tc>
              <w:tc>
                <w:tcPr>
                  <w:tcW w:w="4111" w:type="dxa"/>
                  <w:vAlign w:val="center"/>
                </w:tcPr>
                <w:p w14:paraId="131BBB02">
                  <w:pPr>
                    <w:pStyle w:val="48"/>
                    <w:rPr>
                      <w:color w:val="0000FF"/>
                    </w:rPr>
                  </w:pPr>
                  <w:r>
                    <w:rPr>
                      <w:color w:val="0000FF"/>
                      <w:sz w:val="22"/>
                      <w:szCs w:val="22"/>
                    </w:rPr>
                    <w:t xml:space="preserve">40512440.64 </w:t>
                  </w:r>
                </w:p>
              </w:tc>
              <w:tc>
                <w:tcPr>
                  <w:tcW w:w="3811" w:type="dxa"/>
                  <w:vAlign w:val="center"/>
                </w:tcPr>
                <w:p w14:paraId="29E1EDEE">
                  <w:pPr>
                    <w:pStyle w:val="48"/>
                    <w:rPr>
                      <w:color w:val="0000FF"/>
                    </w:rPr>
                  </w:pPr>
                  <w:r>
                    <w:rPr>
                      <w:color w:val="0000FF"/>
                      <w:sz w:val="22"/>
                      <w:szCs w:val="22"/>
                    </w:rPr>
                    <w:t xml:space="preserve">4550520.67 </w:t>
                  </w:r>
                </w:p>
              </w:tc>
            </w:tr>
          </w:tbl>
          <w:p w14:paraId="2EF1B890">
            <w:pPr>
              <w:pStyle w:val="65"/>
              <w:ind w:firstLine="480"/>
              <w:rPr>
                <w:rFonts w:eastAsiaTheme="minorEastAsia"/>
                <w:color w:val="0000FF"/>
              </w:rPr>
            </w:pPr>
            <w:r>
              <w:rPr>
                <w:rFonts w:eastAsiaTheme="minorEastAsia"/>
                <w:color w:val="0000FF"/>
              </w:rPr>
              <w:t>本项目租用宏兴锰矿厂区内场地，场地内各建筑布置如下：烘干车间位于场地东北侧，生产车间位于场地西北侧，原料库位于场地西南侧，成品库位于场地东南侧。项目场地四至关系：东侧紧邻宏兴锰矿配件库（距离0m，距宏兴锰矿厂界31m）；南侧为宏兴锰矿车间（距离10m，距宏兴锰矿厂界301m）；西侧紧邻宏兴锰矿堆场及空地（距离0m，距厂界99m）；北侧为宏兴锰矿车间（距离3m，距宏兴锰矿厂界38m）。</w:t>
            </w:r>
          </w:p>
          <w:p w14:paraId="0A42342C">
            <w:pPr>
              <w:pStyle w:val="92"/>
              <w:rPr>
                <w:rFonts w:eastAsiaTheme="minorEastAsia"/>
                <w:color w:val="0000FF"/>
              </w:rPr>
            </w:pPr>
            <w:r>
              <w:rPr>
                <w:rFonts w:eastAsiaTheme="minorEastAsia"/>
                <w:color w:val="0000FF"/>
              </w:rPr>
              <w:t>表2-16 本项目租用场地四至表</w:t>
            </w:r>
          </w:p>
          <w:tbl>
            <w:tblPr>
              <w:tblStyle w:val="36"/>
              <w:tblW w:w="495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51"/>
              <w:gridCol w:w="3679"/>
              <w:gridCol w:w="1418"/>
              <w:gridCol w:w="2032"/>
            </w:tblGrid>
            <w:tr w14:paraId="281A6D2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706" w:type="dxa"/>
                  <w:vAlign w:val="center"/>
                </w:tcPr>
                <w:p w14:paraId="28D836E1">
                  <w:pPr>
                    <w:pStyle w:val="122"/>
                    <w:rPr>
                      <w:rFonts w:eastAsiaTheme="minorEastAsia"/>
                      <w:color w:val="0000FF"/>
                    </w:rPr>
                  </w:pPr>
                  <w:r>
                    <w:rPr>
                      <w:rFonts w:eastAsiaTheme="minorEastAsia"/>
                      <w:color w:val="0000FF"/>
                    </w:rPr>
                    <w:t>序号</w:t>
                  </w:r>
                </w:p>
              </w:tc>
              <w:tc>
                <w:tcPr>
                  <w:tcW w:w="851" w:type="dxa"/>
                  <w:vAlign w:val="center"/>
                </w:tcPr>
                <w:p w14:paraId="09BE26BD">
                  <w:pPr>
                    <w:pStyle w:val="122"/>
                    <w:rPr>
                      <w:rFonts w:eastAsiaTheme="minorEastAsia"/>
                      <w:color w:val="0000FF"/>
                    </w:rPr>
                  </w:pPr>
                  <w:r>
                    <w:rPr>
                      <w:rFonts w:eastAsiaTheme="minorEastAsia"/>
                      <w:color w:val="0000FF"/>
                    </w:rPr>
                    <w:t>方位</w:t>
                  </w:r>
                </w:p>
              </w:tc>
              <w:tc>
                <w:tcPr>
                  <w:tcW w:w="3679" w:type="dxa"/>
                  <w:vAlign w:val="center"/>
                </w:tcPr>
                <w:p w14:paraId="5EE0E1B2">
                  <w:pPr>
                    <w:pStyle w:val="122"/>
                    <w:rPr>
                      <w:rFonts w:eastAsiaTheme="minorEastAsia"/>
                      <w:color w:val="0000FF"/>
                    </w:rPr>
                  </w:pPr>
                  <w:r>
                    <w:rPr>
                      <w:rFonts w:eastAsiaTheme="minorEastAsia"/>
                      <w:color w:val="0000FF"/>
                    </w:rPr>
                    <w:t>最近对象</w:t>
                  </w:r>
                </w:p>
              </w:tc>
              <w:tc>
                <w:tcPr>
                  <w:tcW w:w="1418" w:type="dxa"/>
                  <w:vAlign w:val="center"/>
                </w:tcPr>
                <w:p w14:paraId="743F5CFA">
                  <w:pPr>
                    <w:pStyle w:val="122"/>
                    <w:rPr>
                      <w:rFonts w:eastAsiaTheme="minorEastAsia"/>
                      <w:color w:val="0000FF"/>
                    </w:rPr>
                  </w:pPr>
                  <w:r>
                    <w:rPr>
                      <w:rFonts w:eastAsiaTheme="minorEastAsia"/>
                      <w:color w:val="0000FF"/>
                    </w:rPr>
                    <w:t>与最近对象距离</w:t>
                  </w:r>
                </w:p>
              </w:tc>
              <w:tc>
                <w:tcPr>
                  <w:tcW w:w="2032" w:type="dxa"/>
                  <w:vAlign w:val="center"/>
                </w:tcPr>
                <w:p w14:paraId="3DDED191">
                  <w:pPr>
                    <w:pStyle w:val="122"/>
                    <w:rPr>
                      <w:rFonts w:eastAsiaTheme="minorEastAsia"/>
                      <w:color w:val="0000FF"/>
                    </w:rPr>
                  </w:pPr>
                  <w:r>
                    <w:rPr>
                      <w:rFonts w:eastAsiaTheme="minorEastAsia"/>
                      <w:color w:val="0000FF"/>
                    </w:rPr>
                    <w:t>朝阳县瓦房子镇宏兴锰矿厂界距离</w:t>
                  </w:r>
                </w:p>
              </w:tc>
            </w:tr>
            <w:tr w14:paraId="532CC4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8D999CE">
                  <w:pPr>
                    <w:pStyle w:val="122"/>
                    <w:rPr>
                      <w:rFonts w:eastAsiaTheme="minorEastAsia"/>
                      <w:color w:val="0000FF"/>
                    </w:rPr>
                  </w:pPr>
                  <w:r>
                    <w:rPr>
                      <w:rFonts w:eastAsiaTheme="minorEastAsia"/>
                      <w:color w:val="0000FF"/>
                    </w:rPr>
                    <w:t>1</w:t>
                  </w:r>
                </w:p>
              </w:tc>
              <w:tc>
                <w:tcPr>
                  <w:tcW w:w="851" w:type="dxa"/>
                  <w:vAlign w:val="center"/>
                </w:tcPr>
                <w:p w14:paraId="6EEE2F40">
                  <w:pPr>
                    <w:pStyle w:val="122"/>
                    <w:rPr>
                      <w:rFonts w:eastAsiaTheme="minorEastAsia"/>
                      <w:color w:val="0000FF"/>
                    </w:rPr>
                  </w:pPr>
                  <w:r>
                    <w:rPr>
                      <w:rFonts w:eastAsiaTheme="minorEastAsia"/>
                      <w:color w:val="0000FF"/>
                    </w:rPr>
                    <w:t>东</w:t>
                  </w:r>
                </w:p>
              </w:tc>
              <w:tc>
                <w:tcPr>
                  <w:tcW w:w="3679" w:type="dxa"/>
                  <w:vAlign w:val="center"/>
                </w:tcPr>
                <w:p w14:paraId="4297AC07">
                  <w:pPr>
                    <w:pStyle w:val="122"/>
                    <w:rPr>
                      <w:rFonts w:eastAsiaTheme="minorEastAsia"/>
                      <w:color w:val="0000FF"/>
                    </w:rPr>
                  </w:pPr>
                  <w:r>
                    <w:rPr>
                      <w:rFonts w:eastAsiaTheme="minorEastAsia"/>
                      <w:color w:val="0000FF"/>
                    </w:rPr>
                    <w:t>朝阳县瓦房子镇宏兴锰矿配件库</w:t>
                  </w:r>
                </w:p>
              </w:tc>
              <w:tc>
                <w:tcPr>
                  <w:tcW w:w="1418" w:type="dxa"/>
                  <w:vAlign w:val="center"/>
                </w:tcPr>
                <w:p w14:paraId="4FAF5319">
                  <w:pPr>
                    <w:pStyle w:val="122"/>
                    <w:rPr>
                      <w:rFonts w:eastAsiaTheme="minorEastAsia"/>
                      <w:color w:val="0000FF"/>
                    </w:rPr>
                  </w:pPr>
                  <w:r>
                    <w:rPr>
                      <w:rFonts w:eastAsiaTheme="minorEastAsia"/>
                      <w:color w:val="0000FF"/>
                    </w:rPr>
                    <w:t>0</w:t>
                  </w:r>
                </w:p>
              </w:tc>
              <w:tc>
                <w:tcPr>
                  <w:tcW w:w="2032" w:type="dxa"/>
                  <w:vAlign w:val="center"/>
                </w:tcPr>
                <w:p w14:paraId="1413B5A9">
                  <w:pPr>
                    <w:pStyle w:val="122"/>
                    <w:rPr>
                      <w:rFonts w:eastAsiaTheme="minorEastAsia"/>
                      <w:color w:val="0000FF"/>
                    </w:rPr>
                  </w:pPr>
                  <w:r>
                    <w:rPr>
                      <w:rFonts w:eastAsiaTheme="minorEastAsia"/>
                      <w:color w:val="0000FF"/>
                    </w:rPr>
                    <w:t>31</w:t>
                  </w:r>
                </w:p>
              </w:tc>
            </w:tr>
            <w:tr w14:paraId="31B745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776CCE26">
                  <w:pPr>
                    <w:pStyle w:val="122"/>
                    <w:rPr>
                      <w:rFonts w:eastAsiaTheme="minorEastAsia"/>
                      <w:color w:val="0000FF"/>
                    </w:rPr>
                  </w:pPr>
                  <w:r>
                    <w:rPr>
                      <w:rFonts w:eastAsiaTheme="minorEastAsia"/>
                      <w:color w:val="0000FF"/>
                    </w:rPr>
                    <w:t>2</w:t>
                  </w:r>
                </w:p>
              </w:tc>
              <w:tc>
                <w:tcPr>
                  <w:tcW w:w="851" w:type="dxa"/>
                  <w:vAlign w:val="center"/>
                </w:tcPr>
                <w:p w14:paraId="242D6F6F">
                  <w:pPr>
                    <w:pStyle w:val="122"/>
                    <w:rPr>
                      <w:rFonts w:eastAsiaTheme="minorEastAsia"/>
                      <w:color w:val="0000FF"/>
                    </w:rPr>
                  </w:pPr>
                  <w:r>
                    <w:rPr>
                      <w:rFonts w:eastAsiaTheme="minorEastAsia"/>
                      <w:color w:val="0000FF"/>
                    </w:rPr>
                    <w:t>西</w:t>
                  </w:r>
                </w:p>
              </w:tc>
              <w:tc>
                <w:tcPr>
                  <w:tcW w:w="3679" w:type="dxa"/>
                  <w:vAlign w:val="center"/>
                </w:tcPr>
                <w:p w14:paraId="7E18B0E4">
                  <w:pPr>
                    <w:pStyle w:val="122"/>
                    <w:rPr>
                      <w:rFonts w:eastAsiaTheme="minorEastAsia"/>
                      <w:color w:val="0000FF"/>
                    </w:rPr>
                  </w:pPr>
                  <w:r>
                    <w:rPr>
                      <w:rFonts w:eastAsiaTheme="minorEastAsia"/>
                      <w:color w:val="0000FF"/>
                    </w:rPr>
                    <w:t xml:space="preserve">朝阳县瓦房子镇宏兴锰矿堆场及空地 </w:t>
                  </w:r>
                </w:p>
              </w:tc>
              <w:tc>
                <w:tcPr>
                  <w:tcW w:w="1418" w:type="dxa"/>
                  <w:vAlign w:val="center"/>
                </w:tcPr>
                <w:p w14:paraId="1447042E">
                  <w:pPr>
                    <w:pStyle w:val="122"/>
                    <w:rPr>
                      <w:rFonts w:eastAsiaTheme="minorEastAsia"/>
                      <w:color w:val="0000FF"/>
                    </w:rPr>
                  </w:pPr>
                  <w:r>
                    <w:rPr>
                      <w:rFonts w:eastAsiaTheme="minorEastAsia"/>
                      <w:color w:val="0000FF"/>
                    </w:rPr>
                    <w:t>0</w:t>
                  </w:r>
                </w:p>
              </w:tc>
              <w:tc>
                <w:tcPr>
                  <w:tcW w:w="2032" w:type="dxa"/>
                  <w:vAlign w:val="center"/>
                </w:tcPr>
                <w:p w14:paraId="03781B2D">
                  <w:pPr>
                    <w:pStyle w:val="122"/>
                    <w:rPr>
                      <w:rFonts w:eastAsiaTheme="minorEastAsia"/>
                      <w:color w:val="0000FF"/>
                    </w:rPr>
                  </w:pPr>
                  <w:r>
                    <w:rPr>
                      <w:rFonts w:eastAsiaTheme="minorEastAsia"/>
                      <w:color w:val="0000FF"/>
                    </w:rPr>
                    <w:t>99</w:t>
                  </w:r>
                </w:p>
              </w:tc>
            </w:tr>
            <w:tr w14:paraId="1ACB15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5EE848B1">
                  <w:pPr>
                    <w:pStyle w:val="122"/>
                    <w:rPr>
                      <w:rFonts w:eastAsiaTheme="minorEastAsia"/>
                      <w:color w:val="0000FF"/>
                    </w:rPr>
                  </w:pPr>
                  <w:r>
                    <w:rPr>
                      <w:rFonts w:eastAsiaTheme="minorEastAsia"/>
                      <w:color w:val="0000FF"/>
                    </w:rPr>
                    <w:t>3</w:t>
                  </w:r>
                </w:p>
              </w:tc>
              <w:tc>
                <w:tcPr>
                  <w:tcW w:w="851" w:type="dxa"/>
                  <w:vAlign w:val="center"/>
                </w:tcPr>
                <w:p w14:paraId="1039A118">
                  <w:pPr>
                    <w:pStyle w:val="122"/>
                    <w:rPr>
                      <w:rFonts w:eastAsiaTheme="minorEastAsia"/>
                      <w:color w:val="0000FF"/>
                    </w:rPr>
                  </w:pPr>
                  <w:r>
                    <w:rPr>
                      <w:rFonts w:eastAsiaTheme="minorEastAsia"/>
                      <w:color w:val="0000FF"/>
                    </w:rPr>
                    <w:t>南</w:t>
                  </w:r>
                </w:p>
              </w:tc>
              <w:tc>
                <w:tcPr>
                  <w:tcW w:w="3679" w:type="dxa"/>
                  <w:vAlign w:val="center"/>
                </w:tcPr>
                <w:p w14:paraId="0DE5D3B0">
                  <w:pPr>
                    <w:pStyle w:val="122"/>
                    <w:rPr>
                      <w:rFonts w:eastAsiaTheme="minorEastAsia"/>
                      <w:color w:val="0000FF"/>
                    </w:rPr>
                  </w:pPr>
                  <w:r>
                    <w:rPr>
                      <w:rFonts w:eastAsiaTheme="minorEastAsia"/>
                      <w:color w:val="0000FF"/>
                    </w:rPr>
                    <w:t xml:space="preserve">朝阳县瓦房子镇宏兴锰矿车间及空地 </w:t>
                  </w:r>
                </w:p>
              </w:tc>
              <w:tc>
                <w:tcPr>
                  <w:tcW w:w="1418" w:type="dxa"/>
                  <w:vAlign w:val="center"/>
                </w:tcPr>
                <w:p w14:paraId="44F6C2BB">
                  <w:pPr>
                    <w:pStyle w:val="122"/>
                    <w:rPr>
                      <w:rFonts w:eastAsiaTheme="minorEastAsia"/>
                      <w:color w:val="0000FF"/>
                    </w:rPr>
                  </w:pPr>
                  <w:r>
                    <w:rPr>
                      <w:rFonts w:eastAsiaTheme="minorEastAsia"/>
                      <w:color w:val="0000FF"/>
                    </w:rPr>
                    <w:t>10</w:t>
                  </w:r>
                </w:p>
              </w:tc>
              <w:tc>
                <w:tcPr>
                  <w:tcW w:w="2032" w:type="dxa"/>
                  <w:vAlign w:val="center"/>
                </w:tcPr>
                <w:p w14:paraId="499957D3">
                  <w:pPr>
                    <w:pStyle w:val="122"/>
                    <w:rPr>
                      <w:rFonts w:eastAsiaTheme="minorEastAsia"/>
                      <w:color w:val="0000FF"/>
                    </w:rPr>
                  </w:pPr>
                  <w:r>
                    <w:rPr>
                      <w:rFonts w:eastAsiaTheme="minorEastAsia"/>
                      <w:color w:val="0000FF"/>
                    </w:rPr>
                    <w:t>301</w:t>
                  </w:r>
                </w:p>
              </w:tc>
            </w:tr>
            <w:tr w14:paraId="3639B50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706" w:type="dxa"/>
                  <w:vAlign w:val="center"/>
                </w:tcPr>
                <w:p w14:paraId="7C16762D">
                  <w:pPr>
                    <w:pStyle w:val="122"/>
                    <w:rPr>
                      <w:rFonts w:eastAsiaTheme="minorEastAsia"/>
                      <w:color w:val="0000FF"/>
                    </w:rPr>
                  </w:pPr>
                  <w:r>
                    <w:rPr>
                      <w:rFonts w:eastAsiaTheme="minorEastAsia"/>
                      <w:color w:val="0000FF"/>
                    </w:rPr>
                    <w:t>4</w:t>
                  </w:r>
                </w:p>
              </w:tc>
              <w:tc>
                <w:tcPr>
                  <w:tcW w:w="851" w:type="dxa"/>
                  <w:vAlign w:val="center"/>
                </w:tcPr>
                <w:p w14:paraId="04C08733">
                  <w:pPr>
                    <w:pStyle w:val="122"/>
                    <w:rPr>
                      <w:rFonts w:eastAsiaTheme="minorEastAsia"/>
                      <w:color w:val="0000FF"/>
                    </w:rPr>
                  </w:pPr>
                  <w:r>
                    <w:rPr>
                      <w:rFonts w:eastAsiaTheme="minorEastAsia"/>
                      <w:color w:val="0000FF"/>
                    </w:rPr>
                    <w:t>北</w:t>
                  </w:r>
                </w:p>
              </w:tc>
              <w:tc>
                <w:tcPr>
                  <w:tcW w:w="3679" w:type="dxa"/>
                  <w:vAlign w:val="center"/>
                </w:tcPr>
                <w:p w14:paraId="690F63E6">
                  <w:pPr>
                    <w:pStyle w:val="122"/>
                    <w:rPr>
                      <w:rFonts w:eastAsiaTheme="minorEastAsia"/>
                      <w:color w:val="0000FF"/>
                    </w:rPr>
                  </w:pPr>
                  <w:r>
                    <w:rPr>
                      <w:rFonts w:eastAsiaTheme="minorEastAsia"/>
                      <w:color w:val="0000FF"/>
                    </w:rPr>
                    <w:t>朝阳县瓦房子镇宏兴锰矿车间</w:t>
                  </w:r>
                </w:p>
              </w:tc>
              <w:tc>
                <w:tcPr>
                  <w:tcW w:w="1418" w:type="dxa"/>
                  <w:vAlign w:val="center"/>
                </w:tcPr>
                <w:p w14:paraId="0E786D7D">
                  <w:pPr>
                    <w:pStyle w:val="122"/>
                    <w:rPr>
                      <w:rFonts w:eastAsiaTheme="minorEastAsia"/>
                      <w:color w:val="0000FF"/>
                    </w:rPr>
                  </w:pPr>
                  <w:r>
                    <w:rPr>
                      <w:rFonts w:eastAsiaTheme="minorEastAsia"/>
                      <w:color w:val="0000FF"/>
                    </w:rPr>
                    <w:t>3</w:t>
                  </w:r>
                </w:p>
              </w:tc>
              <w:tc>
                <w:tcPr>
                  <w:tcW w:w="2032" w:type="dxa"/>
                  <w:vAlign w:val="center"/>
                </w:tcPr>
                <w:p w14:paraId="3D0CFC59">
                  <w:pPr>
                    <w:pStyle w:val="122"/>
                    <w:rPr>
                      <w:rFonts w:eastAsiaTheme="minorEastAsia"/>
                      <w:color w:val="0000FF"/>
                    </w:rPr>
                  </w:pPr>
                  <w:r>
                    <w:rPr>
                      <w:rFonts w:eastAsiaTheme="minorEastAsia"/>
                      <w:color w:val="0000FF"/>
                    </w:rPr>
                    <w:t>38</w:t>
                  </w:r>
                </w:p>
              </w:tc>
            </w:tr>
          </w:tbl>
          <w:p w14:paraId="5EE3A1F1">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8、物料平衡</w:t>
            </w:r>
          </w:p>
          <w:p w14:paraId="5DC87BCE">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表2-17本项目物料平衡表</w:t>
            </w:r>
          </w:p>
          <w:tbl>
            <w:tblPr>
              <w:tblStyle w:val="35"/>
              <w:tblW w:w="495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37"/>
              <w:gridCol w:w="2340"/>
              <w:gridCol w:w="2310"/>
              <w:gridCol w:w="1912"/>
            </w:tblGrid>
            <w:tr w14:paraId="2AF4A5A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477" w:type="dxa"/>
                  <w:gridSpan w:val="2"/>
                  <w:shd w:val="clear" w:color="auto" w:fill="auto"/>
                  <w:vAlign w:val="center"/>
                </w:tcPr>
                <w:p w14:paraId="6F428532">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投入</w:t>
                  </w:r>
                </w:p>
              </w:tc>
              <w:tc>
                <w:tcPr>
                  <w:tcW w:w="4222" w:type="dxa"/>
                  <w:gridSpan w:val="2"/>
                  <w:shd w:val="clear" w:color="auto" w:fill="auto"/>
                  <w:vAlign w:val="center"/>
                </w:tcPr>
                <w:p w14:paraId="65FCB690">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产出</w:t>
                  </w:r>
                </w:p>
              </w:tc>
            </w:tr>
            <w:tr w14:paraId="0A0135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69" w:hRule="atLeast"/>
                <w:jc w:val="center"/>
              </w:trPr>
              <w:tc>
                <w:tcPr>
                  <w:tcW w:w="2137" w:type="dxa"/>
                  <w:shd w:val="clear" w:color="auto" w:fill="auto"/>
                  <w:vAlign w:val="center"/>
                </w:tcPr>
                <w:p w14:paraId="0682D9DF">
                  <w:pPr>
                    <w:autoSpaceDE w:val="0"/>
                    <w:adjustRightInd w:val="0"/>
                    <w:snapToGrid w:val="0"/>
                    <w:jc w:val="center"/>
                    <w:rPr>
                      <w:rFonts w:eastAsiaTheme="minorEastAsia"/>
                      <w:color w:val="000000" w:themeColor="text1"/>
                      <w:sz w:val="22"/>
                      <w:szCs w:val="21"/>
                      <w14:textFill>
                        <w14:solidFill>
                          <w14:schemeClr w14:val="tx1"/>
                        </w14:solidFill>
                      </w14:textFill>
                    </w:rPr>
                  </w:pPr>
                  <w:bookmarkStart w:id="6" w:name="_Hlk215751724"/>
                  <w:r>
                    <w:rPr>
                      <w:rFonts w:eastAsiaTheme="minorEastAsia"/>
                      <w:color w:val="000000" w:themeColor="text1"/>
                      <w:sz w:val="22"/>
                      <w:szCs w:val="21"/>
                      <w14:textFill>
                        <w14:solidFill>
                          <w14:schemeClr w14:val="tx1"/>
                        </w14:solidFill>
                      </w14:textFill>
                    </w:rPr>
                    <w:t>名称</w:t>
                  </w:r>
                  <w:bookmarkEnd w:id="6"/>
                </w:p>
              </w:tc>
              <w:tc>
                <w:tcPr>
                  <w:tcW w:w="2340" w:type="dxa"/>
                  <w:shd w:val="clear" w:color="auto" w:fill="auto"/>
                  <w:vAlign w:val="center"/>
                </w:tcPr>
                <w:p w14:paraId="64ED0552">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年用量（t/a）</w:t>
                  </w:r>
                </w:p>
              </w:tc>
              <w:tc>
                <w:tcPr>
                  <w:tcW w:w="2310" w:type="dxa"/>
                  <w:shd w:val="clear" w:color="auto" w:fill="auto"/>
                  <w:vAlign w:val="center"/>
                </w:tcPr>
                <w:p w14:paraId="73F1F54D">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名称</w:t>
                  </w:r>
                </w:p>
              </w:tc>
              <w:tc>
                <w:tcPr>
                  <w:tcW w:w="1912" w:type="dxa"/>
                  <w:shd w:val="clear" w:color="auto" w:fill="auto"/>
                  <w:vAlign w:val="center"/>
                </w:tcPr>
                <w:p w14:paraId="245C7500">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年产量（t/a）</w:t>
                  </w:r>
                </w:p>
              </w:tc>
            </w:tr>
            <w:tr w14:paraId="7B00AE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6B697C70">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14:textFill>
                        <w14:solidFill>
                          <w14:schemeClr w14:val="tx1"/>
                        </w14:solidFill>
                      </w14:textFill>
                    </w:rPr>
                    <w:t>锰矿石废料</w:t>
                  </w:r>
                </w:p>
              </w:tc>
              <w:tc>
                <w:tcPr>
                  <w:tcW w:w="2340" w:type="dxa"/>
                  <w:shd w:val="clear" w:color="auto" w:fill="auto"/>
                  <w:vAlign w:val="center"/>
                </w:tcPr>
                <w:p w14:paraId="48D7C95A">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50000</w:t>
                  </w:r>
                  <w:r>
                    <w:rPr>
                      <w:rFonts w:eastAsiaTheme="minorEastAsia"/>
                      <w:color w:val="000000" w:themeColor="text1"/>
                      <w14:textFill>
                        <w14:solidFill>
                          <w14:schemeClr w14:val="tx1"/>
                        </w14:solidFill>
                      </w14:textFill>
                    </w:rPr>
                    <w:t>（含水约15%，7500）</w:t>
                  </w:r>
                </w:p>
              </w:tc>
              <w:tc>
                <w:tcPr>
                  <w:tcW w:w="2310" w:type="dxa"/>
                  <w:shd w:val="clear" w:color="auto" w:fill="auto"/>
                  <w:vAlign w:val="center"/>
                </w:tcPr>
                <w:p w14:paraId="1954547E">
                  <w:pPr>
                    <w:pStyle w:val="137"/>
                    <w:autoSpaceDE w:val="0"/>
                    <w:snapToGrid w:val="0"/>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热造块</w:t>
                  </w:r>
                </w:p>
              </w:tc>
              <w:tc>
                <w:tcPr>
                  <w:tcW w:w="1912" w:type="dxa"/>
                  <w:shd w:val="clear" w:color="auto" w:fill="auto"/>
                  <w:vAlign w:val="center"/>
                </w:tcPr>
                <w:p w14:paraId="533A3499">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45000（含水1187.1909）</w:t>
                  </w:r>
                </w:p>
              </w:tc>
            </w:tr>
            <w:tr w14:paraId="227218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643B9A37">
                  <w:pPr>
                    <w:pStyle w:val="135"/>
                    <w:autoSpaceDE w:val="0"/>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膨润土</w:t>
                  </w:r>
                </w:p>
              </w:tc>
              <w:tc>
                <w:tcPr>
                  <w:tcW w:w="2340" w:type="dxa"/>
                  <w:shd w:val="clear" w:color="auto" w:fill="auto"/>
                  <w:vAlign w:val="center"/>
                </w:tcPr>
                <w:p w14:paraId="5D981402">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1500（含水约12%，180）</w:t>
                  </w:r>
                </w:p>
              </w:tc>
              <w:tc>
                <w:tcPr>
                  <w:tcW w:w="2310" w:type="dxa"/>
                  <w:shd w:val="clear" w:color="auto" w:fill="auto"/>
                  <w:vAlign w:val="center"/>
                </w:tcPr>
                <w:p w14:paraId="2E447D60">
                  <w:pPr>
                    <w:pStyle w:val="137"/>
                    <w:autoSpaceDE w:val="0"/>
                    <w:snapToGrid w:val="0"/>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w:t>
                  </w:r>
                </w:p>
              </w:tc>
              <w:tc>
                <w:tcPr>
                  <w:tcW w:w="1912" w:type="dxa"/>
                  <w:shd w:val="clear" w:color="auto" w:fill="auto"/>
                  <w:vAlign w:val="center"/>
                </w:tcPr>
                <w:p w14:paraId="148A8DE4">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w:t>
                  </w:r>
                </w:p>
              </w:tc>
            </w:tr>
            <w:tr w14:paraId="5C4E35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0E1A3B54">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水</w:t>
                  </w:r>
                </w:p>
              </w:tc>
              <w:tc>
                <w:tcPr>
                  <w:tcW w:w="2340" w:type="dxa"/>
                  <w:shd w:val="clear" w:color="auto" w:fill="auto"/>
                  <w:vAlign w:val="center"/>
                </w:tcPr>
                <w:p w14:paraId="1F62CFB2">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1000</w:t>
                  </w:r>
                </w:p>
              </w:tc>
              <w:tc>
                <w:tcPr>
                  <w:tcW w:w="2310" w:type="dxa"/>
                  <w:shd w:val="clear" w:color="auto" w:fill="auto"/>
                  <w:vAlign w:val="center"/>
                </w:tcPr>
                <w:p w14:paraId="2CC6B2C3">
                  <w:pPr>
                    <w:pStyle w:val="137"/>
                    <w:autoSpaceDE w:val="0"/>
                    <w:snapToGrid w:val="0"/>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蒸发损失水</w:t>
                  </w:r>
                </w:p>
              </w:tc>
              <w:tc>
                <w:tcPr>
                  <w:tcW w:w="1912" w:type="dxa"/>
                  <w:shd w:val="clear" w:color="auto" w:fill="auto"/>
                  <w:vAlign w:val="center"/>
                </w:tcPr>
                <w:p w14:paraId="5DC4A72C">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FF"/>
                      <w:sz w:val="22"/>
                      <w:szCs w:val="21"/>
                    </w:rPr>
                    <w:t>7492.8091</w:t>
                  </w:r>
                </w:p>
              </w:tc>
            </w:tr>
            <w:tr w14:paraId="5F7968E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3F7A70DF">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沉降灰回用</w:t>
                  </w:r>
                </w:p>
              </w:tc>
              <w:tc>
                <w:tcPr>
                  <w:tcW w:w="2340" w:type="dxa"/>
                  <w:shd w:val="clear" w:color="auto" w:fill="auto"/>
                  <w:vAlign w:val="center"/>
                </w:tcPr>
                <w:p w14:paraId="5748F0CE">
                  <w:pPr>
                    <w:pStyle w:val="135"/>
                    <w:autoSpaceDE w:val="0"/>
                    <w:adjustRightInd w:val="0"/>
                    <w:snapToGrid w:val="0"/>
                    <w:rPr>
                      <w:rFonts w:eastAsiaTheme="minorEastAsia"/>
                      <w:color w:val="0000FF"/>
                      <w:sz w:val="22"/>
                    </w:rPr>
                  </w:pPr>
                  <w:r>
                    <w:rPr>
                      <w:rFonts w:eastAsiaTheme="minorEastAsia"/>
                      <w:color w:val="0000FF"/>
                    </w:rPr>
                    <w:t>180.8827</w:t>
                  </w:r>
                </w:p>
              </w:tc>
              <w:tc>
                <w:tcPr>
                  <w:tcW w:w="2310" w:type="dxa"/>
                  <w:shd w:val="clear" w:color="auto" w:fill="auto"/>
                  <w:vAlign w:val="center"/>
                </w:tcPr>
                <w:p w14:paraId="244AE7DA">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14:textFill>
                        <w14:solidFill>
                          <w14:schemeClr w14:val="tx1"/>
                        </w14:solidFill>
                      </w14:textFill>
                    </w:rPr>
                    <w:t>沉降灰</w:t>
                  </w:r>
                </w:p>
              </w:tc>
              <w:tc>
                <w:tcPr>
                  <w:tcW w:w="1912" w:type="dxa"/>
                  <w:shd w:val="clear" w:color="auto" w:fill="auto"/>
                  <w:vAlign w:val="center"/>
                </w:tcPr>
                <w:p w14:paraId="68AD67F1">
                  <w:pPr>
                    <w:autoSpaceDE w:val="0"/>
                    <w:adjustRightInd w:val="0"/>
                    <w:snapToGrid w:val="0"/>
                    <w:jc w:val="center"/>
                    <w:rPr>
                      <w:rFonts w:eastAsiaTheme="minorEastAsia"/>
                      <w:color w:val="0000FF"/>
                      <w:sz w:val="22"/>
                      <w:szCs w:val="21"/>
                    </w:rPr>
                  </w:pPr>
                  <w:r>
                    <w:rPr>
                      <w:rFonts w:eastAsiaTheme="minorEastAsia"/>
                      <w:color w:val="0000FF"/>
                      <w:szCs w:val="21"/>
                    </w:rPr>
                    <w:t>180.8827</w:t>
                  </w:r>
                </w:p>
              </w:tc>
            </w:tr>
            <w:tr w14:paraId="43B6389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4FBA7CBF">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除尘灰回用</w:t>
                  </w:r>
                </w:p>
              </w:tc>
              <w:tc>
                <w:tcPr>
                  <w:tcW w:w="2340" w:type="dxa"/>
                  <w:shd w:val="clear" w:color="auto" w:fill="auto"/>
                  <w:vAlign w:val="center"/>
                </w:tcPr>
                <w:p w14:paraId="40509DE1">
                  <w:pPr>
                    <w:pStyle w:val="135"/>
                    <w:autoSpaceDE w:val="0"/>
                    <w:adjustRightInd w:val="0"/>
                    <w:snapToGrid w:val="0"/>
                    <w:rPr>
                      <w:rFonts w:eastAsiaTheme="minorEastAsia"/>
                      <w:color w:val="0000FF"/>
                      <w:sz w:val="22"/>
                    </w:rPr>
                  </w:pPr>
                  <w:r>
                    <w:rPr>
                      <w:rFonts w:eastAsiaTheme="minorEastAsia"/>
                      <w:color w:val="0000FF"/>
                    </w:rPr>
                    <w:t>66.2329</w:t>
                  </w:r>
                </w:p>
              </w:tc>
              <w:tc>
                <w:tcPr>
                  <w:tcW w:w="2310" w:type="dxa"/>
                  <w:shd w:val="clear" w:color="auto" w:fill="auto"/>
                  <w:vAlign w:val="center"/>
                </w:tcPr>
                <w:p w14:paraId="6FC58931">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除尘灰</w:t>
                  </w:r>
                </w:p>
              </w:tc>
              <w:tc>
                <w:tcPr>
                  <w:tcW w:w="1912" w:type="dxa"/>
                  <w:shd w:val="clear" w:color="auto" w:fill="auto"/>
                  <w:vAlign w:val="center"/>
                </w:tcPr>
                <w:p w14:paraId="082D0F72">
                  <w:pPr>
                    <w:autoSpaceDE w:val="0"/>
                    <w:adjustRightInd w:val="0"/>
                    <w:snapToGrid w:val="0"/>
                    <w:jc w:val="center"/>
                    <w:rPr>
                      <w:rFonts w:eastAsiaTheme="minorEastAsia"/>
                      <w:color w:val="0000FF"/>
                      <w:sz w:val="22"/>
                      <w:szCs w:val="21"/>
                    </w:rPr>
                  </w:pPr>
                  <w:r>
                    <w:rPr>
                      <w:rFonts w:eastAsiaTheme="minorEastAsia"/>
                      <w:color w:val="0000FF"/>
                      <w:szCs w:val="21"/>
                    </w:rPr>
                    <w:t>66.2329</w:t>
                  </w:r>
                </w:p>
              </w:tc>
            </w:tr>
            <w:tr w14:paraId="087157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69" w:hRule="atLeast"/>
                <w:jc w:val="center"/>
              </w:trPr>
              <w:tc>
                <w:tcPr>
                  <w:tcW w:w="2137" w:type="dxa"/>
                  <w:shd w:val="clear" w:color="auto" w:fill="auto"/>
                  <w:vAlign w:val="center"/>
                </w:tcPr>
                <w:p w14:paraId="40A5F131">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w:t>
                  </w:r>
                </w:p>
              </w:tc>
              <w:tc>
                <w:tcPr>
                  <w:tcW w:w="2340" w:type="dxa"/>
                  <w:shd w:val="clear" w:color="auto" w:fill="auto"/>
                  <w:vAlign w:val="center"/>
                </w:tcPr>
                <w:p w14:paraId="3922B3B3">
                  <w:pPr>
                    <w:pStyle w:val="135"/>
                    <w:autoSpaceDE w:val="0"/>
                    <w:adjustRightInd w:val="0"/>
                    <w:snapToGrid w:val="0"/>
                    <w:rPr>
                      <w:rFonts w:eastAsiaTheme="minorEastAsia"/>
                      <w:color w:val="0000FF"/>
                    </w:rPr>
                  </w:pPr>
                  <w:r>
                    <w:rPr>
                      <w:rFonts w:eastAsiaTheme="minorEastAsia"/>
                      <w:color w:val="0000FF"/>
                    </w:rPr>
                    <w:t>-</w:t>
                  </w:r>
                </w:p>
              </w:tc>
              <w:tc>
                <w:tcPr>
                  <w:tcW w:w="2310" w:type="dxa"/>
                  <w:shd w:val="clear" w:color="auto" w:fill="auto"/>
                  <w:vAlign w:val="center"/>
                </w:tcPr>
                <w:p w14:paraId="0354BE23">
                  <w:pPr>
                    <w:autoSpaceDE w:val="0"/>
                    <w:adjustRightInd w:val="0"/>
                    <w:snapToGrid w:val="0"/>
                    <w:jc w:val="center"/>
                    <w:rPr>
                      <w:rFonts w:eastAsiaTheme="minorEastAsia"/>
                      <w:color w:val="0000FF"/>
                      <w:sz w:val="22"/>
                      <w:szCs w:val="21"/>
                    </w:rPr>
                  </w:pPr>
                  <w:r>
                    <w:rPr>
                      <w:rFonts w:eastAsiaTheme="minorEastAsia"/>
                      <w:color w:val="0000FF"/>
                      <w:sz w:val="22"/>
                      <w:szCs w:val="21"/>
                    </w:rPr>
                    <w:t>原料以SO</w:t>
                  </w:r>
                  <w:r>
                    <w:rPr>
                      <w:rFonts w:eastAsiaTheme="minorEastAsia"/>
                      <w:color w:val="0000FF"/>
                      <w:sz w:val="22"/>
                      <w:szCs w:val="21"/>
                      <w:vertAlign w:val="subscript"/>
                    </w:rPr>
                    <w:t>2</w:t>
                  </w:r>
                  <w:r>
                    <w:rPr>
                      <w:rFonts w:eastAsiaTheme="minorEastAsia"/>
                      <w:color w:val="0000FF"/>
                      <w:sz w:val="22"/>
                      <w:szCs w:val="21"/>
                    </w:rPr>
                    <w:t>形式产出S</w:t>
                  </w:r>
                </w:p>
              </w:tc>
              <w:tc>
                <w:tcPr>
                  <w:tcW w:w="1912" w:type="dxa"/>
                  <w:shd w:val="clear" w:color="auto" w:fill="auto"/>
                  <w:vAlign w:val="center"/>
                </w:tcPr>
                <w:p w14:paraId="650EEB9A">
                  <w:pPr>
                    <w:autoSpaceDE w:val="0"/>
                    <w:adjustRightInd w:val="0"/>
                    <w:snapToGrid w:val="0"/>
                    <w:jc w:val="center"/>
                    <w:rPr>
                      <w:rFonts w:eastAsiaTheme="minorEastAsia"/>
                      <w:color w:val="0000FF"/>
                      <w:szCs w:val="21"/>
                    </w:rPr>
                  </w:pPr>
                  <w:r>
                    <w:rPr>
                      <w:rFonts w:eastAsiaTheme="minorEastAsia"/>
                      <w:color w:val="0000FF"/>
                      <w:szCs w:val="21"/>
                    </w:rPr>
                    <w:t>0.874</w:t>
                  </w:r>
                </w:p>
              </w:tc>
            </w:tr>
            <w:tr w14:paraId="4CF0AB4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7F2B31B7">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w:t>
                  </w:r>
                </w:p>
              </w:tc>
              <w:tc>
                <w:tcPr>
                  <w:tcW w:w="2340" w:type="dxa"/>
                  <w:shd w:val="clear" w:color="auto" w:fill="auto"/>
                  <w:vAlign w:val="center"/>
                </w:tcPr>
                <w:p w14:paraId="371F32CA">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w:t>
                  </w:r>
                </w:p>
              </w:tc>
              <w:tc>
                <w:tcPr>
                  <w:tcW w:w="2310" w:type="dxa"/>
                  <w:shd w:val="clear" w:color="auto" w:fill="auto"/>
                  <w:vAlign w:val="center"/>
                </w:tcPr>
                <w:p w14:paraId="42EC4C38">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有组织颗粒物排放</w:t>
                  </w:r>
                </w:p>
              </w:tc>
              <w:tc>
                <w:tcPr>
                  <w:tcW w:w="1912" w:type="dxa"/>
                  <w:shd w:val="clear" w:color="auto" w:fill="auto"/>
                  <w:vAlign w:val="center"/>
                </w:tcPr>
                <w:p w14:paraId="7E34DC34">
                  <w:pPr>
                    <w:autoSpaceDE w:val="0"/>
                    <w:adjustRightInd w:val="0"/>
                    <w:snapToGrid w:val="0"/>
                    <w:jc w:val="center"/>
                    <w:rPr>
                      <w:rFonts w:eastAsiaTheme="minorEastAsia"/>
                      <w:color w:val="0000FF"/>
                      <w:sz w:val="22"/>
                      <w:szCs w:val="21"/>
                    </w:rPr>
                  </w:pPr>
                  <w:r>
                    <w:rPr>
                      <w:rFonts w:eastAsiaTheme="minorEastAsia"/>
                      <w:color w:val="0000FF"/>
                      <w:sz w:val="22"/>
                      <w:szCs w:val="21"/>
                    </w:rPr>
                    <w:t>0.669</w:t>
                  </w:r>
                </w:p>
              </w:tc>
            </w:tr>
            <w:tr w14:paraId="408182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7" w:type="dxa"/>
                  <w:shd w:val="clear" w:color="auto" w:fill="auto"/>
                  <w:vAlign w:val="center"/>
                </w:tcPr>
                <w:p w14:paraId="47E6B9E6">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w:t>
                  </w:r>
                </w:p>
              </w:tc>
              <w:tc>
                <w:tcPr>
                  <w:tcW w:w="2340" w:type="dxa"/>
                  <w:shd w:val="clear" w:color="auto" w:fill="auto"/>
                  <w:vAlign w:val="center"/>
                </w:tcPr>
                <w:p w14:paraId="79768BDC">
                  <w:pPr>
                    <w:pStyle w:val="135"/>
                    <w:autoSpaceDE w:val="0"/>
                    <w:adjustRightInd w:val="0"/>
                    <w:snapToGrid w:val="0"/>
                    <w:rPr>
                      <w:rFonts w:eastAsiaTheme="minorEastAsia"/>
                      <w:color w:val="000000" w:themeColor="text1"/>
                      <w:sz w:val="22"/>
                      <w14:textFill>
                        <w14:solidFill>
                          <w14:schemeClr w14:val="tx1"/>
                        </w14:solidFill>
                      </w14:textFill>
                    </w:rPr>
                  </w:pPr>
                  <w:r>
                    <w:rPr>
                      <w:rFonts w:eastAsiaTheme="minorEastAsia"/>
                      <w:color w:val="000000" w:themeColor="text1"/>
                      <w:sz w:val="22"/>
                      <w14:textFill>
                        <w14:solidFill>
                          <w14:schemeClr w14:val="tx1"/>
                        </w14:solidFill>
                      </w14:textFill>
                    </w:rPr>
                    <w:t>-</w:t>
                  </w:r>
                </w:p>
              </w:tc>
              <w:tc>
                <w:tcPr>
                  <w:tcW w:w="2310" w:type="dxa"/>
                  <w:shd w:val="clear" w:color="auto" w:fill="auto"/>
                  <w:vAlign w:val="center"/>
                </w:tcPr>
                <w:p w14:paraId="53E078EC">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无组织颗粒物排放</w:t>
                  </w:r>
                </w:p>
              </w:tc>
              <w:tc>
                <w:tcPr>
                  <w:tcW w:w="1912" w:type="dxa"/>
                  <w:shd w:val="clear" w:color="auto" w:fill="auto"/>
                  <w:vAlign w:val="center"/>
                </w:tcPr>
                <w:p w14:paraId="658BD544">
                  <w:pPr>
                    <w:autoSpaceDE w:val="0"/>
                    <w:adjustRightInd w:val="0"/>
                    <w:snapToGrid w:val="0"/>
                    <w:jc w:val="center"/>
                    <w:rPr>
                      <w:rFonts w:eastAsiaTheme="minorEastAsia"/>
                      <w:color w:val="0000FF"/>
                      <w:sz w:val="22"/>
                      <w:szCs w:val="21"/>
                    </w:rPr>
                  </w:pPr>
                  <w:r>
                    <w:rPr>
                      <w:rFonts w:eastAsiaTheme="minorEastAsia"/>
                      <w:color w:val="0000FF"/>
                      <w:sz w:val="22"/>
                      <w:szCs w:val="21"/>
                    </w:rPr>
                    <w:t>2.6679</w:t>
                  </w:r>
                </w:p>
              </w:tc>
            </w:tr>
            <w:tr w14:paraId="34A9D4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137" w:type="dxa"/>
                  <w:shd w:val="clear" w:color="auto" w:fill="auto"/>
                  <w:vAlign w:val="center"/>
                </w:tcPr>
                <w:p w14:paraId="436E7DFB">
                  <w:pPr>
                    <w:autoSpaceDE w:val="0"/>
                    <w:adjustRightInd w:val="0"/>
                    <w:snapToGrid w:val="0"/>
                    <w:jc w:val="center"/>
                    <w:rPr>
                      <w:rFonts w:eastAsiaTheme="minorEastAsia"/>
                      <w:color w:val="000000" w:themeColor="text1"/>
                      <w:sz w:val="22"/>
                      <w:szCs w:val="21"/>
                      <w14:textFill>
                        <w14:solidFill>
                          <w14:schemeClr w14:val="tx1"/>
                        </w14:solidFill>
                      </w14:textFill>
                    </w:rPr>
                  </w:pPr>
                  <w:r>
                    <w:rPr>
                      <w:rFonts w:eastAsiaTheme="minorEastAsia"/>
                      <w:color w:val="000000" w:themeColor="text1"/>
                      <w:sz w:val="22"/>
                      <w:szCs w:val="21"/>
                      <w14:textFill>
                        <w14:solidFill>
                          <w14:schemeClr w14:val="tx1"/>
                        </w14:solidFill>
                      </w14:textFill>
                    </w:rPr>
                    <w:t>合计</w:t>
                  </w:r>
                </w:p>
              </w:tc>
              <w:tc>
                <w:tcPr>
                  <w:tcW w:w="2340" w:type="dxa"/>
                  <w:shd w:val="clear" w:color="auto" w:fill="auto"/>
                  <w:vAlign w:val="center"/>
                </w:tcPr>
                <w:p w14:paraId="00E3F0E3">
                  <w:pPr>
                    <w:autoSpaceDE w:val="0"/>
                    <w:adjustRightInd w:val="0"/>
                    <w:snapToGrid w:val="0"/>
                    <w:jc w:val="center"/>
                    <w:rPr>
                      <w:rFonts w:eastAsiaTheme="minorEastAsia"/>
                      <w:color w:val="0000FF"/>
                      <w:sz w:val="22"/>
                      <w:szCs w:val="21"/>
                    </w:rPr>
                  </w:pPr>
                  <w:r>
                    <w:rPr>
                      <w:rFonts w:eastAsiaTheme="minorEastAsia"/>
                      <w:color w:val="0000FF"/>
                      <w:sz w:val="22"/>
                      <w:szCs w:val="21"/>
                    </w:rPr>
                    <w:t>52747.1156</w:t>
                  </w:r>
                </w:p>
              </w:tc>
              <w:tc>
                <w:tcPr>
                  <w:tcW w:w="2310" w:type="dxa"/>
                  <w:shd w:val="clear" w:color="auto" w:fill="auto"/>
                  <w:vAlign w:val="center"/>
                </w:tcPr>
                <w:p w14:paraId="439CDAC1">
                  <w:pPr>
                    <w:autoSpaceDE w:val="0"/>
                    <w:adjustRightInd w:val="0"/>
                    <w:snapToGrid w:val="0"/>
                    <w:jc w:val="center"/>
                    <w:rPr>
                      <w:rFonts w:eastAsiaTheme="minorEastAsia"/>
                      <w:color w:val="0000FF"/>
                      <w:sz w:val="22"/>
                      <w:szCs w:val="21"/>
                    </w:rPr>
                  </w:pPr>
                  <w:r>
                    <w:rPr>
                      <w:rFonts w:eastAsiaTheme="minorEastAsia"/>
                      <w:color w:val="000000" w:themeColor="text1"/>
                      <w:sz w:val="22"/>
                      <w:szCs w:val="21"/>
                      <w14:textFill>
                        <w14:solidFill>
                          <w14:schemeClr w14:val="tx1"/>
                        </w14:solidFill>
                      </w14:textFill>
                    </w:rPr>
                    <w:t>合计</w:t>
                  </w:r>
                </w:p>
              </w:tc>
              <w:tc>
                <w:tcPr>
                  <w:tcW w:w="1912" w:type="dxa"/>
                  <w:shd w:val="clear" w:color="auto" w:fill="auto"/>
                  <w:vAlign w:val="center"/>
                </w:tcPr>
                <w:p w14:paraId="7380F0FB">
                  <w:pPr>
                    <w:autoSpaceDE w:val="0"/>
                    <w:adjustRightInd w:val="0"/>
                    <w:snapToGrid w:val="0"/>
                    <w:jc w:val="center"/>
                    <w:rPr>
                      <w:rFonts w:eastAsiaTheme="minorEastAsia"/>
                      <w:color w:val="0000FF"/>
                      <w:sz w:val="22"/>
                      <w:szCs w:val="21"/>
                    </w:rPr>
                  </w:pPr>
                  <w:r>
                    <w:rPr>
                      <w:rFonts w:eastAsiaTheme="minorEastAsia"/>
                      <w:color w:val="0000FF"/>
                      <w:sz w:val="22"/>
                      <w:szCs w:val="21"/>
                    </w:rPr>
                    <w:t>52747.1156</w:t>
                  </w:r>
                </w:p>
              </w:tc>
            </w:tr>
          </w:tbl>
          <w:p w14:paraId="7255B3FB">
            <w:pPr>
              <w:pStyle w:val="65"/>
              <w:ind w:firstLine="482"/>
              <w:rPr>
                <w:rFonts w:eastAsiaTheme="minorEastAsia"/>
                <w:b/>
                <w:bCs/>
                <w:color w:val="000000" w:themeColor="text1"/>
                <w14:textFill>
                  <w14:solidFill>
                    <w14:schemeClr w14:val="tx1"/>
                  </w14:solidFill>
                </w14:textFill>
              </w:rPr>
            </w:pPr>
          </w:p>
          <w:p w14:paraId="5CE69985">
            <w:pPr>
              <w:pStyle w:val="65"/>
              <w:ind w:firstLine="482"/>
              <w:rPr>
                <w:rFonts w:eastAsiaTheme="minorEastAsia"/>
                <w:b/>
                <w:bCs/>
                <w:color w:val="000000" w:themeColor="text1"/>
                <w14:textFill>
                  <w14:solidFill>
                    <w14:schemeClr w14:val="tx1"/>
                  </w14:solidFill>
                </w14:textFill>
              </w:rPr>
            </w:pPr>
          </w:p>
          <w:p w14:paraId="159C6E8B">
            <w:pPr>
              <w:pStyle w:val="65"/>
              <w:ind w:firstLine="482"/>
              <w:rPr>
                <w:rFonts w:eastAsiaTheme="minorEastAsia"/>
                <w:b/>
                <w:bCs/>
                <w:color w:val="000000" w:themeColor="text1"/>
                <w14:textFill>
                  <w14:solidFill>
                    <w14:schemeClr w14:val="tx1"/>
                  </w14:solidFill>
                </w14:textFill>
              </w:rPr>
            </w:pPr>
          </w:p>
          <w:p w14:paraId="2D497B33">
            <w:pPr>
              <w:pStyle w:val="65"/>
              <w:ind w:firstLine="482"/>
              <w:rPr>
                <w:rFonts w:eastAsiaTheme="minorEastAsia"/>
                <w:b/>
                <w:bCs/>
                <w:color w:val="000000" w:themeColor="text1"/>
                <w14:textFill>
                  <w14:solidFill>
                    <w14:schemeClr w14:val="tx1"/>
                  </w14:solidFill>
                </w14:textFill>
              </w:rPr>
            </w:pPr>
          </w:p>
          <w:p w14:paraId="77082FE9">
            <w:pPr>
              <w:pStyle w:val="65"/>
              <w:ind w:firstLine="482"/>
              <w:rPr>
                <w:rFonts w:eastAsiaTheme="minorEastAsia"/>
                <w:b/>
                <w:bCs/>
                <w:color w:val="000000" w:themeColor="text1"/>
                <w14:textFill>
                  <w14:solidFill>
                    <w14:schemeClr w14:val="tx1"/>
                  </w14:solidFill>
                </w14:textFill>
              </w:rPr>
            </w:pPr>
          </w:p>
          <w:p w14:paraId="1022FC6D">
            <w:pPr>
              <w:pStyle w:val="65"/>
              <w:ind w:firstLine="482"/>
              <w:rPr>
                <w:rFonts w:eastAsiaTheme="minorEastAsia"/>
                <w:b/>
                <w:bCs/>
                <w:color w:val="000000" w:themeColor="text1"/>
                <w14:textFill>
                  <w14:solidFill>
                    <w14:schemeClr w14:val="tx1"/>
                  </w14:solidFill>
                </w14:textFill>
              </w:rPr>
            </w:pPr>
          </w:p>
          <w:p w14:paraId="293AA1F6">
            <w:pPr>
              <w:pStyle w:val="65"/>
              <w:ind w:firstLine="482"/>
              <w:rPr>
                <w:rFonts w:eastAsiaTheme="minorEastAsia"/>
                <w:b/>
                <w:bCs/>
                <w:color w:val="000000" w:themeColor="text1"/>
                <w14:textFill>
                  <w14:solidFill>
                    <w14:schemeClr w14:val="tx1"/>
                  </w14:solidFill>
                </w14:textFill>
              </w:rPr>
            </w:pPr>
          </w:p>
          <w:p w14:paraId="49643554">
            <w:pPr>
              <w:pStyle w:val="136"/>
              <w:spacing w:before="156" w:beforeLines="50"/>
              <w:ind w:firstLine="0" w:firstLineChars="0"/>
              <w:jc w:val="center"/>
              <w:rPr>
                <w:rFonts w:eastAsiaTheme="minorEastAsia"/>
                <w:color w:val="000000" w:themeColor="text1"/>
                <w14:textFill>
                  <w14:solidFill>
                    <w14:schemeClr w14:val="tx1"/>
                  </w14:solidFill>
                </w14:textFill>
              </w:rPr>
            </w:pPr>
            <w:r>
              <w:rPr>
                <w:rFonts w:eastAsiaTheme="minorEastAsia"/>
              </w:rPr>
              <w:drawing>
                <wp:inline distT="0" distB="0" distL="0" distR="0">
                  <wp:extent cx="5571490" cy="6902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571490" cy="6902450"/>
                          </a:xfrm>
                          <a:prstGeom prst="rect">
                            <a:avLst/>
                          </a:prstGeom>
                        </pic:spPr>
                      </pic:pic>
                    </a:graphicData>
                  </a:graphic>
                </wp:inline>
              </w:drawing>
            </w:r>
          </w:p>
          <w:p w14:paraId="245EC4FD">
            <w:pPr>
              <w:pStyle w:val="136"/>
              <w:ind w:firstLine="422"/>
              <w:jc w:val="center"/>
              <w:rPr>
                <w:rFonts w:eastAsiaTheme="minorEastAsia"/>
                <w:b/>
                <w:bCs/>
                <w:color w:val="0000FF"/>
                <w:sz w:val="21"/>
                <w:szCs w:val="21"/>
              </w:rPr>
            </w:pPr>
            <w:r>
              <w:rPr>
                <w:rFonts w:eastAsiaTheme="minorEastAsia"/>
                <w:b/>
                <w:bCs/>
                <w:color w:val="0000FF"/>
                <w:sz w:val="21"/>
                <w:szCs w:val="21"/>
              </w:rPr>
              <w:t>图2-1 本项目物料平衡图（单位：t/a）</w:t>
            </w:r>
          </w:p>
          <w:p w14:paraId="62B7DFD8">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表2-18本项目硫平衡表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229"/>
              <w:gridCol w:w="1637"/>
              <w:gridCol w:w="1560"/>
              <w:gridCol w:w="1134"/>
              <w:gridCol w:w="1502"/>
            </w:tblGrid>
            <w:tr w14:paraId="147B21A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90" w:type="dxa"/>
                  <w:gridSpan w:val="3"/>
                  <w:tcBorders>
                    <w:top w:val="double" w:color="auto" w:sz="2" w:space="0"/>
                    <w:left w:val="nil"/>
                    <w:bottom w:val="single" w:color="auto" w:sz="4" w:space="0"/>
                    <w:right w:val="nil"/>
                  </w:tcBorders>
                  <w:vAlign w:val="center"/>
                </w:tcPr>
                <w:p w14:paraId="43135BAD">
                  <w:pPr>
                    <w:jc w:val="center"/>
                    <w:rPr>
                      <w:rFonts w:eastAsiaTheme="minorEastAsia"/>
                      <w:color w:val="000000"/>
                      <w:szCs w:val="21"/>
                    </w:rPr>
                  </w:pPr>
                  <w:r>
                    <w:rPr>
                      <w:rFonts w:eastAsiaTheme="minorEastAsia"/>
                      <w:color w:val="000000"/>
                    </w:rPr>
                    <w:t>投入</w:t>
                  </w:r>
                </w:p>
              </w:tc>
              <w:tc>
                <w:tcPr>
                  <w:tcW w:w="4196" w:type="dxa"/>
                  <w:gridSpan w:val="3"/>
                  <w:tcBorders>
                    <w:top w:val="double" w:color="auto" w:sz="2" w:space="0"/>
                    <w:left w:val="single" w:color="auto" w:sz="4" w:space="0"/>
                    <w:bottom w:val="single" w:color="auto" w:sz="4" w:space="0"/>
                    <w:right w:val="nil"/>
                  </w:tcBorders>
                  <w:vAlign w:val="center"/>
                </w:tcPr>
                <w:p w14:paraId="58B0DF80">
                  <w:pPr>
                    <w:jc w:val="center"/>
                    <w:rPr>
                      <w:rFonts w:eastAsiaTheme="minorEastAsia"/>
                      <w:color w:val="000000"/>
                    </w:rPr>
                  </w:pPr>
                  <w:r>
                    <w:rPr>
                      <w:rFonts w:eastAsiaTheme="minorEastAsia"/>
                      <w:color w:val="000000"/>
                    </w:rPr>
                    <w:t>产出</w:t>
                  </w:r>
                </w:p>
              </w:tc>
            </w:tr>
            <w:tr w14:paraId="7B473FA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52C773BD">
                  <w:pPr>
                    <w:jc w:val="center"/>
                    <w:rPr>
                      <w:rFonts w:eastAsiaTheme="minorEastAsia"/>
                      <w:color w:val="000000"/>
                    </w:rPr>
                  </w:pPr>
                  <w:r>
                    <w:rPr>
                      <w:rFonts w:eastAsiaTheme="minorEastAsia"/>
                      <w:color w:val="000000"/>
                    </w:rPr>
                    <w:t>名称</w:t>
                  </w:r>
                </w:p>
              </w:tc>
              <w:tc>
                <w:tcPr>
                  <w:tcW w:w="1229" w:type="dxa"/>
                  <w:tcBorders>
                    <w:top w:val="single" w:color="auto" w:sz="4" w:space="0"/>
                    <w:left w:val="nil"/>
                    <w:bottom w:val="single" w:color="auto" w:sz="4" w:space="0"/>
                    <w:right w:val="single" w:color="auto" w:sz="4" w:space="0"/>
                  </w:tcBorders>
                  <w:vAlign w:val="center"/>
                </w:tcPr>
                <w:p w14:paraId="48AFF29A">
                  <w:pPr>
                    <w:jc w:val="center"/>
                    <w:rPr>
                      <w:rFonts w:eastAsiaTheme="minorEastAsia"/>
                      <w:color w:val="000000"/>
                    </w:rPr>
                  </w:pPr>
                  <w:r>
                    <w:rPr>
                      <w:rFonts w:eastAsiaTheme="minorEastAsia"/>
                      <w:color w:val="000000"/>
                    </w:rPr>
                    <w:t>S年用量（t/a）</w:t>
                  </w:r>
                </w:p>
              </w:tc>
              <w:tc>
                <w:tcPr>
                  <w:tcW w:w="1637" w:type="dxa"/>
                  <w:tcBorders>
                    <w:top w:val="single" w:color="auto" w:sz="4" w:space="0"/>
                    <w:left w:val="nil"/>
                    <w:bottom w:val="single" w:color="auto" w:sz="4" w:space="0"/>
                    <w:right w:val="single" w:color="auto" w:sz="4" w:space="0"/>
                  </w:tcBorders>
                  <w:vAlign w:val="center"/>
                </w:tcPr>
                <w:p w14:paraId="20FAC8BA">
                  <w:pPr>
                    <w:jc w:val="center"/>
                    <w:rPr>
                      <w:rFonts w:eastAsiaTheme="minorEastAsia"/>
                      <w:color w:val="0000FF"/>
                    </w:rPr>
                  </w:pPr>
                  <w:r>
                    <w:rPr>
                      <w:rFonts w:eastAsiaTheme="minorEastAsia"/>
                      <w:color w:val="0000FF"/>
                    </w:rPr>
                    <w:t>备注</w:t>
                  </w:r>
                </w:p>
              </w:tc>
              <w:tc>
                <w:tcPr>
                  <w:tcW w:w="1560" w:type="dxa"/>
                  <w:tcBorders>
                    <w:top w:val="single" w:color="auto" w:sz="4" w:space="0"/>
                    <w:left w:val="nil"/>
                    <w:bottom w:val="single" w:color="auto" w:sz="4" w:space="0"/>
                    <w:right w:val="single" w:color="auto" w:sz="4" w:space="0"/>
                  </w:tcBorders>
                  <w:vAlign w:val="center"/>
                </w:tcPr>
                <w:p w14:paraId="4FF345AF">
                  <w:pPr>
                    <w:jc w:val="center"/>
                    <w:rPr>
                      <w:rFonts w:eastAsiaTheme="minorEastAsia"/>
                      <w:color w:val="000000"/>
                    </w:rPr>
                  </w:pPr>
                  <w:r>
                    <w:rPr>
                      <w:rFonts w:eastAsiaTheme="minorEastAsia"/>
                      <w:color w:val="000000"/>
                    </w:rPr>
                    <w:t>名称</w:t>
                  </w:r>
                </w:p>
              </w:tc>
              <w:tc>
                <w:tcPr>
                  <w:tcW w:w="1134" w:type="dxa"/>
                  <w:tcBorders>
                    <w:top w:val="single" w:color="auto" w:sz="4" w:space="0"/>
                    <w:left w:val="nil"/>
                    <w:bottom w:val="single" w:color="auto" w:sz="4" w:space="0"/>
                    <w:right w:val="nil"/>
                  </w:tcBorders>
                  <w:vAlign w:val="center"/>
                </w:tcPr>
                <w:p w14:paraId="42C53AAB">
                  <w:pPr>
                    <w:jc w:val="center"/>
                    <w:rPr>
                      <w:rFonts w:eastAsiaTheme="minorEastAsia"/>
                      <w:color w:val="000000"/>
                    </w:rPr>
                  </w:pPr>
                  <w:r>
                    <w:rPr>
                      <w:rFonts w:eastAsiaTheme="minorEastAsia"/>
                      <w:color w:val="000000"/>
                    </w:rPr>
                    <w:t>S年产量（t/a）</w:t>
                  </w:r>
                </w:p>
              </w:tc>
              <w:tc>
                <w:tcPr>
                  <w:tcW w:w="1502" w:type="dxa"/>
                  <w:tcBorders>
                    <w:top w:val="single" w:color="auto" w:sz="4" w:space="0"/>
                    <w:left w:val="single" w:color="auto" w:sz="4" w:space="0"/>
                    <w:bottom w:val="single" w:color="auto" w:sz="4" w:space="0"/>
                    <w:right w:val="nil"/>
                  </w:tcBorders>
                  <w:vAlign w:val="center"/>
                </w:tcPr>
                <w:p w14:paraId="236881C6">
                  <w:pPr>
                    <w:jc w:val="center"/>
                    <w:rPr>
                      <w:rFonts w:eastAsiaTheme="minorEastAsia"/>
                      <w:color w:val="0000FF"/>
                    </w:rPr>
                  </w:pPr>
                  <w:r>
                    <w:rPr>
                      <w:rFonts w:eastAsiaTheme="minorEastAsia"/>
                      <w:color w:val="0000FF"/>
                    </w:rPr>
                    <w:t>备注</w:t>
                  </w:r>
                </w:p>
              </w:tc>
            </w:tr>
            <w:tr w14:paraId="39183FC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7760CDE4">
                  <w:pPr>
                    <w:pStyle w:val="135"/>
                    <w:widowControl/>
                    <w:rPr>
                      <w:rFonts w:eastAsiaTheme="minorEastAsia"/>
                      <w:color w:val="000000"/>
                    </w:rPr>
                  </w:pPr>
                  <w:r>
                    <w:rPr>
                      <w:rFonts w:eastAsiaTheme="minorEastAsia"/>
                      <w:color w:val="000000"/>
                    </w:rPr>
                    <w:t>燃料（高炉煤气）</w:t>
                  </w:r>
                </w:p>
              </w:tc>
              <w:tc>
                <w:tcPr>
                  <w:tcW w:w="1229" w:type="dxa"/>
                  <w:tcBorders>
                    <w:top w:val="single" w:color="auto" w:sz="4" w:space="0"/>
                    <w:left w:val="nil"/>
                    <w:bottom w:val="single" w:color="auto" w:sz="4" w:space="0"/>
                    <w:right w:val="single" w:color="auto" w:sz="4" w:space="0"/>
                  </w:tcBorders>
                  <w:vAlign w:val="center"/>
                </w:tcPr>
                <w:p w14:paraId="57C78BE7">
                  <w:pPr>
                    <w:pStyle w:val="135"/>
                    <w:widowControl/>
                    <w:rPr>
                      <w:rFonts w:eastAsiaTheme="minorEastAsia"/>
                      <w:color w:val="000000"/>
                    </w:rPr>
                  </w:pPr>
                  <w:r>
                    <w:rPr>
                      <w:rFonts w:eastAsiaTheme="minorEastAsia"/>
                      <w:color w:val="000000"/>
                    </w:rPr>
                    <w:t>3.855</w:t>
                  </w:r>
                </w:p>
              </w:tc>
              <w:tc>
                <w:tcPr>
                  <w:tcW w:w="1637" w:type="dxa"/>
                  <w:tcBorders>
                    <w:top w:val="single" w:color="auto" w:sz="4" w:space="0"/>
                    <w:left w:val="nil"/>
                    <w:bottom w:val="single" w:color="auto" w:sz="4" w:space="0"/>
                    <w:right w:val="single" w:color="auto" w:sz="4" w:space="0"/>
                  </w:tcBorders>
                  <w:vAlign w:val="center"/>
                </w:tcPr>
                <w:p w14:paraId="1D4F024C">
                  <w:pPr>
                    <w:pStyle w:val="135"/>
                    <w:widowControl/>
                    <w:rPr>
                      <w:rFonts w:eastAsiaTheme="minorEastAsia"/>
                      <w:color w:val="0000FF"/>
                    </w:rPr>
                  </w:pPr>
                  <w:r>
                    <w:rPr>
                      <w:rFonts w:eastAsiaTheme="minorEastAsia"/>
                      <w:color w:val="0000FF"/>
                    </w:rPr>
                    <w:t>完全转化SO</w:t>
                  </w:r>
                  <w:r>
                    <w:rPr>
                      <w:rFonts w:eastAsiaTheme="minorEastAsia"/>
                      <w:color w:val="0000FF"/>
                      <w:vertAlign w:val="subscript"/>
                    </w:rPr>
                    <w:t>2</w:t>
                  </w:r>
                  <w:r>
                    <w:rPr>
                      <w:rFonts w:eastAsiaTheme="minorEastAsia"/>
                      <w:color w:val="0000FF"/>
                    </w:rPr>
                    <w:t>为7.71t</w:t>
                  </w:r>
                </w:p>
              </w:tc>
              <w:tc>
                <w:tcPr>
                  <w:tcW w:w="1560" w:type="dxa"/>
                  <w:tcBorders>
                    <w:top w:val="single" w:color="auto" w:sz="4" w:space="0"/>
                    <w:left w:val="nil"/>
                    <w:bottom w:val="single" w:color="auto" w:sz="4" w:space="0"/>
                    <w:right w:val="single" w:color="auto" w:sz="4" w:space="0"/>
                  </w:tcBorders>
                  <w:vAlign w:val="center"/>
                </w:tcPr>
                <w:p w14:paraId="7B17EE3B">
                  <w:pPr>
                    <w:pStyle w:val="137"/>
                    <w:widowControl/>
                    <w:rPr>
                      <w:rFonts w:eastAsiaTheme="minorEastAsia"/>
                      <w:color w:val="000000"/>
                      <w:sz w:val="21"/>
                      <w:szCs w:val="21"/>
                    </w:rPr>
                  </w:pPr>
                  <w:r>
                    <w:rPr>
                      <w:rFonts w:eastAsiaTheme="minorEastAsia"/>
                      <w:color w:val="000000"/>
                      <w:sz w:val="21"/>
                      <w:szCs w:val="21"/>
                    </w:rPr>
                    <w:t>-</w:t>
                  </w:r>
                </w:p>
              </w:tc>
              <w:tc>
                <w:tcPr>
                  <w:tcW w:w="1134" w:type="dxa"/>
                  <w:tcBorders>
                    <w:top w:val="single" w:color="auto" w:sz="4" w:space="0"/>
                    <w:left w:val="nil"/>
                    <w:bottom w:val="single" w:color="auto" w:sz="4" w:space="0"/>
                    <w:right w:val="nil"/>
                  </w:tcBorders>
                  <w:vAlign w:val="center"/>
                </w:tcPr>
                <w:p w14:paraId="601B385B">
                  <w:pPr>
                    <w:jc w:val="center"/>
                    <w:rPr>
                      <w:rFonts w:eastAsiaTheme="minorEastAsia"/>
                      <w:color w:val="000000"/>
                      <w:szCs w:val="21"/>
                    </w:rPr>
                  </w:pPr>
                  <w:r>
                    <w:rPr>
                      <w:rFonts w:eastAsiaTheme="minorEastAsia"/>
                      <w:color w:val="000000"/>
                    </w:rPr>
                    <w:t>-</w:t>
                  </w:r>
                </w:p>
              </w:tc>
              <w:tc>
                <w:tcPr>
                  <w:tcW w:w="1502" w:type="dxa"/>
                  <w:tcBorders>
                    <w:top w:val="single" w:color="auto" w:sz="4" w:space="0"/>
                    <w:left w:val="single" w:color="auto" w:sz="4" w:space="0"/>
                    <w:bottom w:val="single" w:color="auto" w:sz="4" w:space="0"/>
                    <w:right w:val="nil"/>
                  </w:tcBorders>
                  <w:vAlign w:val="center"/>
                </w:tcPr>
                <w:p w14:paraId="0F4DDCB2">
                  <w:pPr>
                    <w:jc w:val="center"/>
                    <w:rPr>
                      <w:rFonts w:eastAsiaTheme="minorEastAsia"/>
                      <w:color w:val="0000FF"/>
                    </w:rPr>
                  </w:pPr>
                  <w:r>
                    <w:rPr>
                      <w:rFonts w:eastAsiaTheme="minorEastAsia"/>
                      <w:color w:val="0000FF"/>
                    </w:rPr>
                    <w:t>-</w:t>
                  </w:r>
                </w:p>
              </w:tc>
            </w:tr>
            <w:tr w14:paraId="7D53140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72538816">
                  <w:pPr>
                    <w:pStyle w:val="135"/>
                    <w:widowControl/>
                    <w:rPr>
                      <w:rFonts w:eastAsiaTheme="minorEastAsia"/>
                      <w:color w:val="000000"/>
                    </w:rPr>
                  </w:pPr>
                  <w:r>
                    <w:rPr>
                      <w:rFonts w:eastAsiaTheme="minorEastAsia"/>
                      <w:color w:val="000000"/>
                    </w:rPr>
                    <w:t>原料（锰矿石废料50000t）含硫量</w:t>
                  </w:r>
                  <w:r>
                    <w:rPr>
                      <w:rStyle w:val="125"/>
                      <w:rFonts w:eastAsiaTheme="minorEastAsia"/>
                    </w:rPr>
                    <w:t xml:space="preserve">0.115% </w:t>
                  </w:r>
                </w:p>
              </w:tc>
              <w:tc>
                <w:tcPr>
                  <w:tcW w:w="1229" w:type="dxa"/>
                  <w:tcBorders>
                    <w:top w:val="single" w:color="auto" w:sz="4" w:space="0"/>
                    <w:left w:val="nil"/>
                    <w:bottom w:val="single" w:color="auto" w:sz="4" w:space="0"/>
                    <w:right w:val="single" w:color="auto" w:sz="4" w:space="0"/>
                  </w:tcBorders>
                  <w:vAlign w:val="center"/>
                </w:tcPr>
                <w:p w14:paraId="0998A92F">
                  <w:pPr>
                    <w:pStyle w:val="135"/>
                    <w:widowControl/>
                    <w:rPr>
                      <w:rFonts w:eastAsiaTheme="minorEastAsia"/>
                      <w:color w:val="000000"/>
                    </w:rPr>
                  </w:pPr>
                  <w:r>
                    <w:rPr>
                      <w:rFonts w:eastAsiaTheme="minorEastAsia"/>
                      <w:color w:val="000000"/>
                    </w:rPr>
                    <w:t>57.5</w:t>
                  </w:r>
                </w:p>
              </w:tc>
              <w:tc>
                <w:tcPr>
                  <w:tcW w:w="1637" w:type="dxa"/>
                  <w:tcBorders>
                    <w:top w:val="single" w:color="auto" w:sz="4" w:space="0"/>
                    <w:left w:val="nil"/>
                    <w:bottom w:val="single" w:color="auto" w:sz="4" w:space="0"/>
                    <w:right w:val="single" w:color="auto" w:sz="4" w:space="0"/>
                  </w:tcBorders>
                  <w:vAlign w:val="center"/>
                </w:tcPr>
                <w:p w14:paraId="409F26D9">
                  <w:pPr>
                    <w:pStyle w:val="135"/>
                    <w:widowControl/>
                    <w:rPr>
                      <w:rFonts w:eastAsiaTheme="minorEastAsia"/>
                      <w:color w:val="0000FF"/>
                    </w:rPr>
                  </w:pPr>
                  <w:r>
                    <w:rPr>
                      <w:rFonts w:eastAsiaTheme="minorEastAsia"/>
                      <w:color w:val="0000FF"/>
                    </w:rPr>
                    <w:t>原料含硫总量，实际产生SO</w:t>
                  </w:r>
                  <w:r>
                    <w:rPr>
                      <w:rFonts w:eastAsiaTheme="minorEastAsia"/>
                      <w:color w:val="0000FF"/>
                      <w:vertAlign w:val="subscript"/>
                    </w:rPr>
                    <w:t>2</w:t>
                  </w:r>
                  <w:r>
                    <w:rPr>
                      <w:rFonts w:eastAsiaTheme="minorEastAsia"/>
                      <w:color w:val="0000FF"/>
                    </w:rPr>
                    <w:t>较少</w:t>
                  </w:r>
                </w:p>
              </w:tc>
              <w:tc>
                <w:tcPr>
                  <w:tcW w:w="1560" w:type="dxa"/>
                  <w:tcBorders>
                    <w:top w:val="single" w:color="auto" w:sz="4" w:space="0"/>
                    <w:left w:val="nil"/>
                    <w:bottom w:val="single" w:color="auto" w:sz="4" w:space="0"/>
                    <w:right w:val="single" w:color="auto" w:sz="4" w:space="0"/>
                  </w:tcBorders>
                  <w:vAlign w:val="center"/>
                </w:tcPr>
                <w:p w14:paraId="34A22435">
                  <w:pPr>
                    <w:pStyle w:val="137"/>
                    <w:widowControl/>
                    <w:rPr>
                      <w:rFonts w:eastAsiaTheme="minorEastAsia"/>
                      <w:color w:val="000000"/>
                      <w:sz w:val="21"/>
                      <w:szCs w:val="21"/>
                    </w:rPr>
                  </w:pPr>
                  <w:r>
                    <w:rPr>
                      <w:rFonts w:eastAsiaTheme="minorEastAsia"/>
                      <w:color w:val="000000"/>
                      <w:sz w:val="21"/>
                      <w:szCs w:val="21"/>
                    </w:rPr>
                    <w:t>-</w:t>
                  </w:r>
                </w:p>
              </w:tc>
              <w:tc>
                <w:tcPr>
                  <w:tcW w:w="1134" w:type="dxa"/>
                  <w:tcBorders>
                    <w:top w:val="single" w:color="auto" w:sz="4" w:space="0"/>
                    <w:left w:val="nil"/>
                    <w:bottom w:val="single" w:color="auto" w:sz="4" w:space="0"/>
                    <w:right w:val="nil"/>
                  </w:tcBorders>
                  <w:vAlign w:val="center"/>
                </w:tcPr>
                <w:p w14:paraId="4B53C2C5">
                  <w:pPr>
                    <w:jc w:val="center"/>
                    <w:rPr>
                      <w:rFonts w:eastAsiaTheme="minorEastAsia"/>
                      <w:color w:val="000000"/>
                      <w:szCs w:val="21"/>
                    </w:rPr>
                  </w:pPr>
                  <w:r>
                    <w:rPr>
                      <w:rFonts w:eastAsiaTheme="minorEastAsia"/>
                      <w:color w:val="000000"/>
                    </w:rPr>
                    <w:t>-</w:t>
                  </w:r>
                </w:p>
              </w:tc>
              <w:tc>
                <w:tcPr>
                  <w:tcW w:w="1502" w:type="dxa"/>
                  <w:tcBorders>
                    <w:top w:val="single" w:color="auto" w:sz="4" w:space="0"/>
                    <w:left w:val="single" w:color="auto" w:sz="4" w:space="0"/>
                    <w:bottom w:val="single" w:color="auto" w:sz="4" w:space="0"/>
                    <w:right w:val="nil"/>
                  </w:tcBorders>
                  <w:vAlign w:val="center"/>
                </w:tcPr>
                <w:p w14:paraId="6763DE46">
                  <w:pPr>
                    <w:jc w:val="center"/>
                    <w:rPr>
                      <w:rFonts w:eastAsiaTheme="minorEastAsia"/>
                      <w:color w:val="0000FF"/>
                    </w:rPr>
                  </w:pPr>
                  <w:r>
                    <w:rPr>
                      <w:rFonts w:eastAsiaTheme="minorEastAsia"/>
                      <w:color w:val="0000FF"/>
                    </w:rPr>
                    <w:t>-</w:t>
                  </w:r>
                </w:p>
              </w:tc>
            </w:tr>
            <w:tr w14:paraId="2771F4E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7734EA6C">
                  <w:pPr>
                    <w:pStyle w:val="135"/>
                    <w:widowControl/>
                    <w:rPr>
                      <w:rFonts w:eastAsiaTheme="minorEastAsia"/>
                      <w:color w:val="000000"/>
                    </w:rPr>
                  </w:pPr>
                  <w:r>
                    <w:rPr>
                      <w:rFonts w:eastAsiaTheme="minorEastAsia"/>
                      <w:color w:val="000000"/>
                    </w:rPr>
                    <w:t>-</w:t>
                  </w:r>
                </w:p>
              </w:tc>
              <w:tc>
                <w:tcPr>
                  <w:tcW w:w="1229" w:type="dxa"/>
                  <w:tcBorders>
                    <w:top w:val="single" w:color="auto" w:sz="4" w:space="0"/>
                    <w:left w:val="nil"/>
                    <w:bottom w:val="single" w:color="auto" w:sz="4" w:space="0"/>
                    <w:right w:val="single" w:color="auto" w:sz="4" w:space="0"/>
                  </w:tcBorders>
                  <w:vAlign w:val="center"/>
                </w:tcPr>
                <w:p w14:paraId="441217F6">
                  <w:pPr>
                    <w:pStyle w:val="135"/>
                    <w:widowControl/>
                    <w:rPr>
                      <w:rFonts w:eastAsiaTheme="minorEastAsia"/>
                      <w:color w:val="000000"/>
                    </w:rPr>
                  </w:pPr>
                  <w:r>
                    <w:rPr>
                      <w:rFonts w:eastAsiaTheme="minorEastAsia"/>
                      <w:color w:val="000000"/>
                    </w:rPr>
                    <w:t>-</w:t>
                  </w:r>
                </w:p>
              </w:tc>
              <w:tc>
                <w:tcPr>
                  <w:tcW w:w="1637" w:type="dxa"/>
                  <w:tcBorders>
                    <w:top w:val="single" w:color="auto" w:sz="4" w:space="0"/>
                    <w:left w:val="nil"/>
                    <w:bottom w:val="single" w:color="auto" w:sz="4" w:space="0"/>
                    <w:right w:val="single" w:color="auto" w:sz="4" w:space="0"/>
                  </w:tcBorders>
                  <w:vAlign w:val="center"/>
                </w:tcPr>
                <w:p w14:paraId="052E1369">
                  <w:pPr>
                    <w:pStyle w:val="135"/>
                    <w:widowControl/>
                    <w:rPr>
                      <w:rFonts w:eastAsiaTheme="minorEastAsia"/>
                      <w:color w:val="0000FF"/>
                    </w:rPr>
                  </w:pPr>
                  <w:r>
                    <w:rPr>
                      <w:rFonts w:eastAsiaTheme="minorEastAsia"/>
                      <w:color w:val="0000FF"/>
                    </w:rPr>
                    <w:t>-</w:t>
                  </w:r>
                </w:p>
              </w:tc>
              <w:tc>
                <w:tcPr>
                  <w:tcW w:w="1560" w:type="dxa"/>
                  <w:tcBorders>
                    <w:top w:val="single" w:color="auto" w:sz="4" w:space="0"/>
                    <w:left w:val="nil"/>
                    <w:bottom w:val="single" w:color="auto" w:sz="4" w:space="0"/>
                    <w:right w:val="single" w:color="auto" w:sz="4" w:space="0"/>
                  </w:tcBorders>
                  <w:vAlign w:val="center"/>
                </w:tcPr>
                <w:p w14:paraId="53AB4ADB">
                  <w:pPr>
                    <w:pStyle w:val="137"/>
                    <w:widowControl/>
                    <w:rPr>
                      <w:rFonts w:eastAsiaTheme="minorEastAsia"/>
                      <w:color w:val="000000"/>
                      <w:sz w:val="21"/>
                      <w:szCs w:val="21"/>
                    </w:rPr>
                  </w:pPr>
                  <w:r>
                    <w:rPr>
                      <w:rFonts w:eastAsiaTheme="minorEastAsia"/>
                      <w:color w:val="000000"/>
                      <w:sz w:val="21"/>
                      <w:szCs w:val="21"/>
                    </w:rPr>
                    <w:t>产品（热造块）</w:t>
                  </w:r>
                </w:p>
              </w:tc>
              <w:tc>
                <w:tcPr>
                  <w:tcW w:w="1134" w:type="dxa"/>
                  <w:tcBorders>
                    <w:top w:val="single" w:color="auto" w:sz="4" w:space="0"/>
                    <w:left w:val="nil"/>
                    <w:bottom w:val="single" w:color="auto" w:sz="4" w:space="0"/>
                    <w:right w:val="nil"/>
                  </w:tcBorders>
                  <w:vAlign w:val="center"/>
                </w:tcPr>
                <w:p w14:paraId="6D6397BC">
                  <w:pPr>
                    <w:jc w:val="center"/>
                    <w:rPr>
                      <w:rFonts w:eastAsiaTheme="minorEastAsia"/>
                      <w:color w:val="000000"/>
                      <w:szCs w:val="21"/>
                    </w:rPr>
                  </w:pPr>
                  <w:r>
                    <w:rPr>
                      <w:rFonts w:eastAsiaTheme="minorEastAsia"/>
                      <w:color w:val="0000FF"/>
                    </w:rPr>
                    <w:t>56.626</w:t>
                  </w:r>
                </w:p>
              </w:tc>
              <w:tc>
                <w:tcPr>
                  <w:tcW w:w="1502" w:type="dxa"/>
                  <w:tcBorders>
                    <w:top w:val="single" w:color="auto" w:sz="4" w:space="0"/>
                    <w:left w:val="single" w:color="auto" w:sz="4" w:space="0"/>
                    <w:bottom w:val="single" w:color="auto" w:sz="4" w:space="0"/>
                    <w:right w:val="nil"/>
                  </w:tcBorders>
                  <w:vAlign w:val="center"/>
                </w:tcPr>
                <w:p w14:paraId="20C101E2">
                  <w:pPr>
                    <w:jc w:val="center"/>
                    <w:rPr>
                      <w:rFonts w:eastAsiaTheme="minorEastAsia"/>
                      <w:color w:val="0000FF"/>
                      <w:highlight w:val="yellow"/>
                    </w:rPr>
                  </w:pPr>
                  <w:r>
                    <w:rPr>
                      <w:rFonts w:eastAsiaTheme="minorEastAsia"/>
                      <w:color w:val="0000FF"/>
                    </w:rPr>
                    <w:t>-</w:t>
                  </w:r>
                </w:p>
              </w:tc>
            </w:tr>
            <w:tr w14:paraId="5E0D291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59CBEA93">
                  <w:pPr>
                    <w:pStyle w:val="135"/>
                    <w:widowControl/>
                    <w:rPr>
                      <w:rFonts w:eastAsiaTheme="minorEastAsia"/>
                      <w:color w:val="000000"/>
                    </w:rPr>
                  </w:pPr>
                  <w:r>
                    <w:rPr>
                      <w:rFonts w:eastAsiaTheme="minorEastAsia"/>
                      <w:color w:val="000000"/>
                    </w:rPr>
                    <w:t>-</w:t>
                  </w:r>
                </w:p>
              </w:tc>
              <w:tc>
                <w:tcPr>
                  <w:tcW w:w="1229" w:type="dxa"/>
                  <w:tcBorders>
                    <w:top w:val="single" w:color="auto" w:sz="4" w:space="0"/>
                    <w:left w:val="nil"/>
                    <w:bottom w:val="single" w:color="auto" w:sz="4" w:space="0"/>
                    <w:right w:val="single" w:color="auto" w:sz="4" w:space="0"/>
                  </w:tcBorders>
                  <w:vAlign w:val="center"/>
                </w:tcPr>
                <w:p w14:paraId="7EF2E1E4">
                  <w:pPr>
                    <w:pStyle w:val="135"/>
                    <w:widowControl/>
                    <w:rPr>
                      <w:rFonts w:eastAsiaTheme="minorEastAsia"/>
                      <w:color w:val="000000"/>
                    </w:rPr>
                  </w:pPr>
                  <w:r>
                    <w:rPr>
                      <w:rFonts w:eastAsiaTheme="minorEastAsia"/>
                      <w:color w:val="000000"/>
                    </w:rPr>
                    <w:t>-</w:t>
                  </w:r>
                </w:p>
              </w:tc>
              <w:tc>
                <w:tcPr>
                  <w:tcW w:w="1637" w:type="dxa"/>
                  <w:tcBorders>
                    <w:top w:val="single" w:color="auto" w:sz="4" w:space="0"/>
                    <w:left w:val="nil"/>
                    <w:bottom w:val="single" w:color="auto" w:sz="4" w:space="0"/>
                    <w:right w:val="single" w:color="auto" w:sz="4" w:space="0"/>
                  </w:tcBorders>
                  <w:vAlign w:val="center"/>
                </w:tcPr>
                <w:p w14:paraId="46D0D586">
                  <w:pPr>
                    <w:pStyle w:val="135"/>
                    <w:widowControl/>
                    <w:rPr>
                      <w:rFonts w:eastAsiaTheme="minorEastAsia"/>
                      <w:color w:val="0000FF"/>
                    </w:rPr>
                  </w:pPr>
                  <w:r>
                    <w:rPr>
                      <w:rFonts w:eastAsiaTheme="minorEastAsia"/>
                      <w:color w:val="0000FF"/>
                    </w:rPr>
                    <w:t>-</w:t>
                  </w:r>
                </w:p>
              </w:tc>
              <w:tc>
                <w:tcPr>
                  <w:tcW w:w="1560" w:type="dxa"/>
                  <w:tcBorders>
                    <w:top w:val="single" w:color="auto" w:sz="4" w:space="0"/>
                    <w:left w:val="nil"/>
                    <w:bottom w:val="single" w:color="auto" w:sz="4" w:space="0"/>
                    <w:right w:val="single" w:color="auto" w:sz="4" w:space="0"/>
                  </w:tcBorders>
                  <w:vAlign w:val="center"/>
                </w:tcPr>
                <w:p w14:paraId="549C4C85">
                  <w:pPr>
                    <w:pStyle w:val="137"/>
                    <w:widowControl/>
                    <w:rPr>
                      <w:rFonts w:eastAsiaTheme="minorEastAsia"/>
                      <w:color w:val="000000"/>
                      <w:sz w:val="21"/>
                      <w:szCs w:val="21"/>
                    </w:rPr>
                  </w:pPr>
                  <w:r>
                    <w:rPr>
                      <w:rFonts w:eastAsiaTheme="minorEastAsia"/>
                      <w:color w:val="000000"/>
                      <w:sz w:val="21"/>
                      <w:szCs w:val="21"/>
                    </w:rPr>
                    <w:t>湿法脱硫（石灰石-石膏法）</w:t>
                  </w:r>
                </w:p>
              </w:tc>
              <w:tc>
                <w:tcPr>
                  <w:tcW w:w="1134" w:type="dxa"/>
                  <w:tcBorders>
                    <w:top w:val="single" w:color="auto" w:sz="4" w:space="0"/>
                    <w:left w:val="nil"/>
                    <w:bottom w:val="single" w:color="auto" w:sz="4" w:space="0"/>
                    <w:right w:val="nil"/>
                  </w:tcBorders>
                  <w:vAlign w:val="center"/>
                </w:tcPr>
                <w:p w14:paraId="0B30782A">
                  <w:pPr>
                    <w:jc w:val="center"/>
                    <w:rPr>
                      <w:rFonts w:eastAsiaTheme="minorEastAsia"/>
                      <w:color w:val="000000"/>
                      <w:szCs w:val="21"/>
                    </w:rPr>
                  </w:pPr>
                  <w:r>
                    <w:rPr>
                      <w:rFonts w:eastAsiaTheme="minorEastAsia"/>
                      <w:color w:val="000000"/>
                    </w:rPr>
                    <w:t>4.2135</w:t>
                  </w:r>
                </w:p>
              </w:tc>
              <w:tc>
                <w:tcPr>
                  <w:tcW w:w="1502" w:type="dxa"/>
                  <w:tcBorders>
                    <w:top w:val="single" w:color="auto" w:sz="4" w:space="0"/>
                    <w:left w:val="single" w:color="auto" w:sz="4" w:space="0"/>
                    <w:bottom w:val="single" w:color="auto" w:sz="4" w:space="0"/>
                    <w:right w:val="nil"/>
                  </w:tcBorders>
                  <w:vAlign w:val="center"/>
                </w:tcPr>
                <w:p w14:paraId="5D7EA1AC">
                  <w:pPr>
                    <w:jc w:val="center"/>
                    <w:rPr>
                      <w:rFonts w:eastAsiaTheme="minorEastAsia"/>
                      <w:color w:val="0000FF"/>
                    </w:rPr>
                  </w:pPr>
                  <w:r>
                    <w:rPr>
                      <w:rFonts w:eastAsiaTheme="minorEastAsia"/>
                      <w:color w:val="0000FF"/>
                    </w:rPr>
                    <w:t>根据脱硫措施去除8.4271tSO</w:t>
                  </w:r>
                  <w:r>
                    <w:rPr>
                      <w:rFonts w:eastAsiaTheme="minorEastAsia"/>
                      <w:color w:val="0000FF"/>
                      <w:vertAlign w:val="subscript"/>
                    </w:rPr>
                    <w:t>2</w:t>
                  </w:r>
                  <w:r>
                    <w:rPr>
                      <w:rFonts w:eastAsiaTheme="minorEastAsia"/>
                      <w:color w:val="0000FF"/>
                    </w:rPr>
                    <w:t>计算</w:t>
                  </w:r>
                </w:p>
              </w:tc>
            </w:tr>
            <w:tr w14:paraId="1F315B8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39EE1685">
                  <w:pPr>
                    <w:pStyle w:val="135"/>
                    <w:widowControl/>
                    <w:rPr>
                      <w:rFonts w:eastAsiaTheme="minorEastAsia"/>
                      <w:color w:val="000000"/>
                    </w:rPr>
                  </w:pPr>
                  <w:r>
                    <w:rPr>
                      <w:rFonts w:eastAsiaTheme="minorEastAsia"/>
                      <w:color w:val="000000"/>
                    </w:rPr>
                    <w:t>-</w:t>
                  </w:r>
                </w:p>
              </w:tc>
              <w:tc>
                <w:tcPr>
                  <w:tcW w:w="1229" w:type="dxa"/>
                  <w:tcBorders>
                    <w:top w:val="single" w:color="auto" w:sz="4" w:space="0"/>
                    <w:left w:val="nil"/>
                    <w:bottom w:val="single" w:color="auto" w:sz="4" w:space="0"/>
                    <w:right w:val="single" w:color="auto" w:sz="4" w:space="0"/>
                  </w:tcBorders>
                  <w:vAlign w:val="center"/>
                </w:tcPr>
                <w:p w14:paraId="7DE2CADF">
                  <w:pPr>
                    <w:pStyle w:val="135"/>
                    <w:widowControl/>
                    <w:rPr>
                      <w:rFonts w:eastAsiaTheme="minorEastAsia"/>
                      <w:color w:val="000000"/>
                    </w:rPr>
                  </w:pPr>
                  <w:r>
                    <w:rPr>
                      <w:rFonts w:eastAsiaTheme="minorEastAsia"/>
                      <w:color w:val="000000"/>
                    </w:rPr>
                    <w:t>-</w:t>
                  </w:r>
                </w:p>
              </w:tc>
              <w:tc>
                <w:tcPr>
                  <w:tcW w:w="1637" w:type="dxa"/>
                  <w:tcBorders>
                    <w:top w:val="single" w:color="auto" w:sz="4" w:space="0"/>
                    <w:left w:val="nil"/>
                    <w:bottom w:val="single" w:color="auto" w:sz="4" w:space="0"/>
                    <w:right w:val="single" w:color="auto" w:sz="4" w:space="0"/>
                  </w:tcBorders>
                  <w:vAlign w:val="center"/>
                </w:tcPr>
                <w:p w14:paraId="008DD60F">
                  <w:pPr>
                    <w:pStyle w:val="135"/>
                    <w:widowControl/>
                    <w:rPr>
                      <w:rFonts w:eastAsiaTheme="minorEastAsia"/>
                      <w:color w:val="0000FF"/>
                    </w:rPr>
                  </w:pPr>
                  <w:r>
                    <w:rPr>
                      <w:rFonts w:eastAsiaTheme="minorEastAsia"/>
                      <w:color w:val="0000FF"/>
                    </w:rPr>
                    <w:t>-</w:t>
                  </w:r>
                </w:p>
              </w:tc>
              <w:tc>
                <w:tcPr>
                  <w:tcW w:w="1560" w:type="dxa"/>
                  <w:tcBorders>
                    <w:top w:val="single" w:color="auto" w:sz="4" w:space="0"/>
                    <w:left w:val="nil"/>
                    <w:bottom w:val="single" w:color="auto" w:sz="4" w:space="0"/>
                    <w:right w:val="single" w:color="auto" w:sz="4" w:space="0"/>
                  </w:tcBorders>
                  <w:vAlign w:val="center"/>
                </w:tcPr>
                <w:p w14:paraId="5C59B977">
                  <w:pPr>
                    <w:jc w:val="center"/>
                    <w:rPr>
                      <w:rFonts w:eastAsiaTheme="minorEastAsia"/>
                      <w:color w:val="000000"/>
                    </w:rPr>
                  </w:pPr>
                  <w:r>
                    <w:rPr>
                      <w:rFonts w:eastAsiaTheme="minorEastAsia"/>
                      <w:color w:val="000000"/>
                    </w:rPr>
                    <w:t>烘干废气有组织排放</w:t>
                  </w:r>
                </w:p>
              </w:tc>
              <w:tc>
                <w:tcPr>
                  <w:tcW w:w="1134" w:type="dxa"/>
                  <w:tcBorders>
                    <w:top w:val="single" w:color="auto" w:sz="4" w:space="0"/>
                    <w:left w:val="nil"/>
                    <w:bottom w:val="single" w:color="auto" w:sz="4" w:space="0"/>
                    <w:right w:val="nil"/>
                  </w:tcBorders>
                  <w:vAlign w:val="center"/>
                </w:tcPr>
                <w:p w14:paraId="792CF706">
                  <w:pPr>
                    <w:jc w:val="center"/>
                    <w:rPr>
                      <w:rFonts w:eastAsiaTheme="minorEastAsia"/>
                      <w:color w:val="0000FF"/>
                    </w:rPr>
                  </w:pPr>
                  <w:r>
                    <w:rPr>
                      <w:rFonts w:eastAsiaTheme="minorEastAsia"/>
                      <w:color w:val="0000FF"/>
                    </w:rPr>
                    <w:t>0.4682</w:t>
                  </w:r>
                </w:p>
              </w:tc>
              <w:tc>
                <w:tcPr>
                  <w:tcW w:w="1502" w:type="dxa"/>
                  <w:tcBorders>
                    <w:top w:val="single" w:color="auto" w:sz="4" w:space="0"/>
                    <w:left w:val="single" w:color="auto" w:sz="4" w:space="0"/>
                    <w:bottom w:val="single" w:color="auto" w:sz="4" w:space="0"/>
                    <w:right w:val="nil"/>
                  </w:tcBorders>
                  <w:vAlign w:val="center"/>
                </w:tcPr>
                <w:p w14:paraId="4D0DA2F4">
                  <w:pPr>
                    <w:jc w:val="center"/>
                    <w:rPr>
                      <w:rFonts w:eastAsiaTheme="minorEastAsia"/>
                      <w:color w:val="0000FF"/>
                    </w:rPr>
                  </w:pPr>
                  <w:r>
                    <w:rPr>
                      <w:rFonts w:eastAsiaTheme="minorEastAsia"/>
                      <w:color w:val="0000FF"/>
                    </w:rPr>
                    <w:t>SO</w:t>
                  </w:r>
                  <w:r>
                    <w:rPr>
                      <w:rFonts w:eastAsiaTheme="minorEastAsia"/>
                      <w:color w:val="0000FF"/>
                      <w:vertAlign w:val="subscript"/>
                    </w:rPr>
                    <w:t>2</w:t>
                  </w:r>
                  <w:r>
                    <w:rPr>
                      <w:rFonts w:eastAsiaTheme="minorEastAsia"/>
                      <w:color w:val="0000FF"/>
                    </w:rPr>
                    <w:t>为0.9363t</w:t>
                  </w:r>
                </w:p>
              </w:tc>
            </w:tr>
            <w:tr w14:paraId="5C78CCC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single" w:color="auto" w:sz="4" w:space="0"/>
                    <w:right w:val="single" w:color="auto" w:sz="4" w:space="0"/>
                  </w:tcBorders>
                  <w:vAlign w:val="center"/>
                </w:tcPr>
                <w:p w14:paraId="43924C86">
                  <w:pPr>
                    <w:pStyle w:val="135"/>
                    <w:widowControl/>
                    <w:rPr>
                      <w:rFonts w:eastAsiaTheme="minorEastAsia"/>
                      <w:color w:val="000000"/>
                    </w:rPr>
                  </w:pPr>
                  <w:r>
                    <w:rPr>
                      <w:rFonts w:eastAsiaTheme="minorEastAsia"/>
                      <w:color w:val="000000"/>
                    </w:rPr>
                    <w:t>-</w:t>
                  </w:r>
                </w:p>
              </w:tc>
              <w:tc>
                <w:tcPr>
                  <w:tcW w:w="1229" w:type="dxa"/>
                  <w:tcBorders>
                    <w:top w:val="single" w:color="auto" w:sz="4" w:space="0"/>
                    <w:left w:val="nil"/>
                    <w:bottom w:val="single" w:color="auto" w:sz="4" w:space="0"/>
                    <w:right w:val="single" w:color="auto" w:sz="4" w:space="0"/>
                  </w:tcBorders>
                  <w:vAlign w:val="center"/>
                </w:tcPr>
                <w:p w14:paraId="5E8E86C5">
                  <w:pPr>
                    <w:pStyle w:val="135"/>
                    <w:widowControl/>
                    <w:rPr>
                      <w:rFonts w:eastAsiaTheme="minorEastAsia"/>
                      <w:color w:val="000000"/>
                    </w:rPr>
                  </w:pPr>
                  <w:r>
                    <w:rPr>
                      <w:rFonts w:eastAsiaTheme="minorEastAsia"/>
                      <w:color w:val="000000"/>
                    </w:rPr>
                    <w:t>-</w:t>
                  </w:r>
                </w:p>
              </w:tc>
              <w:tc>
                <w:tcPr>
                  <w:tcW w:w="1637" w:type="dxa"/>
                  <w:tcBorders>
                    <w:top w:val="single" w:color="auto" w:sz="4" w:space="0"/>
                    <w:left w:val="nil"/>
                    <w:bottom w:val="single" w:color="auto" w:sz="4" w:space="0"/>
                    <w:right w:val="single" w:color="auto" w:sz="4" w:space="0"/>
                  </w:tcBorders>
                  <w:vAlign w:val="center"/>
                </w:tcPr>
                <w:p w14:paraId="1CD52875">
                  <w:pPr>
                    <w:pStyle w:val="135"/>
                    <w:widowControl/>
                    <w:rPr>
                      <w:rFonts w:eastAsiaTheme="minorEastAsia"/>
                      <w:color w:val="0000FF"/>
                    </w:rPr>
                  </w:pPr>
                  <w:r>
                    <w:rPr>
                      <w:rFonts w:eastAsiaTheme="minorEastAsia"/>
                      <w:color w:val="0000FF"/>
                    </w:rPr>
                    <w:t>-</w:t>
                  </w:r>
                </w:p>
              </w:tc>
              <w:tc>
                <w:tcPr>
                  <w:tcW w:w="1560" w:type="dxa"/>
                  <w:tcBorders>
                    <w:top w:val="single" w:color="auto" w:sz="4" w:space="0"/>
                    <w:left w:val="nil"/>
                    <w:bottom w:val="single" w:color="auto" w:sz="4" w:space="0"/>
                    <w:right w:val="single" w:color="auto" w:sz="4" w:space="0"/>
                  </w:tcBorders>
                  <w:vAlign w:val="center"/>
                </w:tcPr>
                <w:p w14:paraId="387DD1C4">
                  <w:pPr>
                    <w:jc w:val="center"/>
                    <w:rPr>
                      <w:rFonts w:eastAsiaTheme="minorEastAsia"/>
                      <w:color w:val="000000"/>
                    </w:rPr>
                  </w:pPr>
                  <w:r>
                    <w:rPr>
                      <w:rFonts w:eastAsiaTheme="minorEastAsia"/>
                      <w:color w:val="000000"/>
                    </w:rPr>
                    <w:t>烘干废气无组织逸散</w:t>
                  </w:r>
                </w:p>
              </w:tc>
              <w:tc>
                <w:tcPr>
                  <w:tcW w:w="1134" w:type="dxa"/>
                  <w:tcBorders>
                    <w:top w:val="single" w:color="auto" w:sz="4" w:space="0"/>
                    <w:left w:val="nil"/>
                    <w:bottom w:val="single" w:color="auto" w:sz="4" w:space="0"/>
                    <w:right w:val="nil"/>
                  </w:tcBorders>
                  <w:vAlign w:val="center"/>
                </w:tcPr>
                <w:p w14:paraId="4DE52E0F">
                  <w:pPr>
                    <w:jc w:val="center"/>
                    <w:rPr>
                      <w:rFonts w:eastAsiaTheme="minorEastAsia"/>
                      <w:color w:val="0000FF"/>
                    </w:rPr>
                  </w:pPr>
                  <w:r>
                    <w:rPr>
                      <w:rFonts w:eastAsiaTheme="minorEastAsia"/>
                      <w:color w:val="0000FF"/>
                    </w:rPr>
                    <w:t>0.0473</w:t>
                  </w:r>
                </w:p>
              </w:tc>
              <w:tc>
                <w:tcPr>
                  <w:tcW w:w="1502" w:type="dxa"/>
                  <w:tcBorders>
                    <w:top w:val="single" w:color="auto" w:sz="4" w:space="0"/>
                    <w:left w:val="single" w:color="auto" w:sz="4" w:space="0"/>
                    <w:bottom w:val="single" w:color="auto" w:sz="4" w:space="0"/>
                    <w:right w:val="nil"/>
                  </w:tcBorders>
                  <w:vAlign w:val="center"/>
                </w:tcPr>
                <w:p w14:paraId="6C24D7D4">
                  <w:pPr>
                    <w:jc w:val="center"/>
                    <w:rPr>
                      <w:rFonts w:eastAsiaTheme="minorEastAsia"/>
                      <w:color w:val="0000FF"/>
                    </w:rPr>
                  </w:pPr>
                  <w:r>
                    <w:rPr>
                      <w:rFonts w:eastAsiaTheme="minorEastAsia"/>
                      <w:color w:val="0000FF"/>
                    </w:rPr>
                    <w:t>SO</w:t>
                  </w:r>
                  <w:r>
                    <w:rPr>
                      <w:rFonts w:eastAsiaTheme="minorEastAsia"/>
                      <w:color w:val="0000FF"/>
                      <w:vertAlign w:val="subscript"/>
                    </w:rPr>
                    <w:t>2</w:t>
                  </w:r>
                  <w:r>
                    <w:rPr>
                      <w:rFonts w:eastAsiaTheme="minorEastAsia"/>
                      <w:color w:val="0000FF"/>
                    </w:rPr>
                    <w:t>为0.0946t</w:t>
                  </w:r>
                </w:p>
              </w:tc>
            </w:tr>
            <w:tr w14:paraId="1C89D7F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24" w:type="dxa"/>
                  <w:tcBorders>
                    <w:top w:val="single" w:color="auto" w:sz="4" w:space="0"/>
                    <w:left w:val="nil"/>
                    <w:bottom w:val="double" w:color="auto" w:sz="2" w:space="0"/>
                    <w:right w:val="single" w:color="auto" w:sz="4" w:space="0"/>
                  </w:tcBorders>
                  <w:vAlign w:val="center"/>
                </w:tcPr>
                <w:p w14:paraId="21561783">
                  <w:pPr>
                    <w:pStyle w:val="135"/>
                    <w:widowControl/>
                    <w:rPr>
                      <w:rFonts w:eastAsiaTheme="minorEastAsia"/>
                      <w:color w:val="000000"/>
                    </w:rPr>
                  </w:pPr>
                  <w:r>
                    <w:rPr>
                      <w:rFonts w:eastAsiaTheme="minorEastAsia"/>
                      <w:color w:val="000000"/>
                    </w:rPr>
                    <w:t>投入合计</w:t>
                  </w:r>
                </w:p>
              </w:tc>
              <w:tc>
                <w:tcPr>
                  <w:tcW w:w="2866" w:type="dxa"/>
                  <w:gridSpan w:val="2"/>
                  <w:tcBorders>
                    <w:top w:val="single" w:color="auto" w:sz="4" w:space="0"/>
                    <w:left w:val="nil"/>
                    <w:bottom w:val="double" w:color="auto" w:sz="2" w:space="0"/>
                    <w:right w:val="single" w:color="auto" w:sz="4" w:space="0"/>
                  </w:tcBorders>
                  <w:vAlign w:val="center"/>
                </w:tcPr>
                <w:p w14:paraId="7ED0CF28">
                  <w:pPr>
                    <w:widowControl/>
                    <w:jc w:val="center"/>
                    <w:rPr>
                      <w:rFonts w:eastAsiaTheme="minorEastAsia"/>
                      <w:color w:val="000000"/>
                      <w:kern w:val="0"/>
                      <w:sz w:val="22"/>
                      <w:szCs w:val="22"/>
                    </w:rPr>
                  </w:pPr>
                  <w:r>
                    <w:rPr>
                      <w:rFonts w:eastAsiaTheme="minorEastAsia"/>
                      <w:color w:val="000000"/>
                      <w:kern w:val="0"/>
                      <w:sz w:val="22"/>
                      <w:szCs w:val="22"/>
                    </w:rPr>
                    <w:t>61.355</w:t>
                  </w:r>
                </w:p>
              </w:tc>
              <w:tc>
                <w:tcPr>
                  <w:tcW w:w="1560" w:type="dxa"/>
                  <w:tcBorders>
                    <w:top w:val="single" w:color="auto" w:sz="4" w:space="0"/>
                    <w:left w:val="nil"/>
                    <w:bottom w:val="double" w:color="auto" w:sz="2" w:space="0"/>
                    <w:right w:val="single" w:color="auto" w:sz="4" w:space="0"/>
                  </w:tcBorders>
                  <w:vAlign w:val="center"/>
                </w:tcPr>
                <w:p w14:paraId="2BA8382E">
                  <w:pPr>
                    <w:jc w:val="center"/>
                    <w:rPr>
                      <w:rFonts w:eastAsiaTheme="minorEastAsia"/>
                      <w:color w:val="000000"/>
                      <w:szCs w:val="21"/>
                    </w:rPr>
                  </w:pPr>
                  <w:r>
                    <w:rPr>
                      <w:rFonts w:eastAsiaTheme="minorEastAsia"/>
                      <w:color w:val="000000"/>
                    </w:rPr>
                    <w:t>产出合计</w:t>
                  </w:r>
                </w:p>
              </w:tc>
              <w:tc>
                <w:tcPr>
                  <w:tcW w:w="2636" w:type="dxa"/>
                  <w:gridSpan w:val="2"/>
                  <w:tcBorders>
                    <w:top w:val="single" w:color="auto" w:sz="4" w:space="0"/>
                    <w:left w:val="nil"/>
                    <w:bottom w:val="double" w:color="auto" w:sz="2" w:space="0"/>
                    <w:right w:val="nil"/>
                  </w:tcBorders>
                  <w:vAlign w:val="center"/>
                </w:tcPr>
                <w:p w14:paraId="6F7FFFEB">
                  <w:pPr>
                    <w:widowControl/>
                    <w:jc w:val="center"/>
                    <w:rPr>
                      <w:rFonts w:eastAsiaTheme="minorEastAsia"/>
                      <w:color w:val="000000"/>
                      <w:kern w:val="0"/>
                      <w:sz w:val="22"/>
                      <w:szCs w:val="22"/>
                    </w:rPr>
                  </w:pPr>
                  <w:r>
                    <w:rPr>
                      <w:rFonts w:eastAsiaTheme="minorEastAsia"/>
                      <w:color w:val="000000"/>
                      <w:kern w:val="0"/>
                      <w:sz w:val="22"/>
                      <w:szCs w:val="22"/>
                    </w:rPr>
                    <w:t>61.355</w:t>
                  </w:r>
                </w:p>
              </w:tc>
            </w:tr>
          </w:tbl>
          <w:p w14:paraId="6F2E6F99">
            <w:pPr>
              <w:pStyle w:val="136"/>
              <w:ind w:firstLine="422"/>
              <w:jc w:val="center"/>
              <w:rPr>
                <w:rFonts w:eastAsiaTheme="minorEastAsia"/>
                <w:b/>
                <w:bCs/>
                <w:color w:val="0000FF"/>
                <w:sz w:val="21"/>
                <w:szCs w:val="21"/>
              </w:rPr>
            </w:pPr>
          </w:p>
          <w:p w14:paraId="637C371E">
            <w:pPr>
              <w:pStyle w:val="51"/>
              <w:spacing w:before="156"/>
              <w:rPr>
                <w:rFonts w:cs="Times New Roman"/>
                <w:color w:val="000000" w:themeColor="text1"/>
                <w14:textFill>
                  <w14:solidFill>
                    <w14:schemeClr w14:val="tx1"/>
                  </w14:solidFill>
                </w14:textFill>
              </w:rPr>
            </w:pPr>
            <w:r>
              <w:rPr>
                <w:rFonts w:cs="Times New Roman"/>
              </w:rPr>
              <w:drawing>
                <wp:inline distT="0" distB="0" distL="0" distR="0">
                  <wp:extent cx="5286375" cy="2095500"/>
                  <wp:effectExtent l="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7"/>
                          <a:stretch>
                            <a:fillRect/>
                          </a:stretch>
                        </pic:blipFill>
                        <pic:spPr>
                          <a:xfrm>
                            <a:off x="0" y="0"/>
                            <a:ext cx="5286375" cy="2095500"/>
                          </a:xfrm>
                          <a:prstGeom prst="rect">
                            <a:avLst/>
                          </a:prstGeom>
                        </pic:spPr>
                      </pic:pic>
                    </a:graphicData>
                  </a:graphic>
                </wp:inline>
              </w:drawing>
            </w:r>
          </w:p>
          <w:p w14:paraId="2F5B6187">
            <w:pPr>
              <w:pStyle w:val="50"/>
              <w:rPr>
                <w:color w:val="0000FF"/>
              </w:rPr>
            </w:pPr>
            <w:r>
              <w:rPr>
                <w:color w:val="0000FF"/>
              </w:rPr>
              <w:t>图2-2 本项目硫平衡图（单位：t/a）</w:t>
            </w:r>
          </w:p>
          <w:p w14:paraId="5FB93389">
            <w:pPr>
              <w:pStyle w:val="92"/>
              <w:rPr>
                <w:rFonts w:eastAsiaTheme="minorEastAsia"/>
                <w:color w:val="0000FF"/>
              </w:rPr>
            </w:pPr>
            <w:r>
              <w:rPr>
                <w:rFonts w:eastAsiaTheme="minorEastAsia"/>
                <w:color w:val="0000FF"/>
              </w:rPr>
              <w:t>表2-19 锰元素平衡表   单位：t/a</w:t>
            </w:r>
          </w:p>
          <w:tbl>
            <w:tblPr>
              <w:tblStyle w:val="35"/>
              <w:tblW w:w="5000"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Layout w:type="fixed"/>
              <w:tblCellMar>
                <w:top w:w="0" w:type="dxa"/>
                <w:left w:w="108" w:type="dxa"/>
                <w:bottom w:w="0" w:type="dxa"/>
                <w:right w:w="108" w:type="dxa"/>
              </w:tblCellMar>
            </w:tblPr>
            <w:tblGrid>
              <w:gridCol w:w="984"/>
              <w:gridCol w:w="1134"/>
              <w:gridCol w:w="850"/>
              <w:gridCol w:w="1276"/>
              <w:gridCol w:w="1273"/>
              <w:gridCol w:w="1278"/>
              <w:gridCol w:w="993"/>
              <w:gridCol w:w="986"/>
            </w:tblGrid>
            <w:tr w14:paraId="5A4F82E4">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4244" w:type="dxa"/>
                  <w:gridSpan w:val="4"/>
                  <w:noWrap/>
                  <w:vAlign w:val="center"/>
                </w:tcPr>
                <w:p w14:paraId="5EFAF126">
                  <w:pPr>
                    <w:pStyle w:val="48"/>
                    <w:rPr>
                      <w:color w:val="0000FF"/>
                    </w:rPr>
                  </w:pPr>
                  <w:r>
                    <w:rPr>
                      <w:color w:val="0000FF"/>
                    </w:rPr>
                    <w:t>投入</w:t>
                  </w:r>
                </w:p>
              </w:tc>
              <w:tc>
                <w:tcPr>
                  <w:tcW w:w="4530" w:type="dxa"/>
                  <w:gridSpan w:val="4"/>
                  <w:noWrap/>
                  <w:vAlign w:val="center"/>
                </w:tcPr>
                <w:p w14:paraId="5C022B99">
                  <w:pPr>
                    <w:pStyle w:val="48"/>
                    <w:rPr>
                      <w:color w:val="0000FF"/>
                    </w:rPr>
                  </w:pPr>
                  <w:r>
                    <w:rPr>
                      <w:color w:val="0000FF"/>
                    </w:rPr>
                    <w:t>产出</w:t>
                  </w:r>
                </w:p>
              </w:tc>
            </w:tr>
            <w:tr w14:paraId="5E220A2F">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noWrap/>
                  <w:vAlign w:val="center"/>
                </w:tcPr>
                <w:p w14:paraId="375D5DC3">
                  <w:pPr>
                    <w:pStyle w:val="48"/>
                    <w:rPr>
                      <w:color w:val="0000FF"/>
                    </w:rPr>
                  </w:pPr>
                  <w:r>
                    <w:rPr>
                      <w:color w:val="0000FF"/>
                    </w:rPr>
                    <w:t>名称</w:t>
                  </w:r>
                </w:p>
              </w:tc>
              <w:tc>
                <w:tcPr>
                  <w:tcW w:w="1134" w:type="dxa"/>
                  <w:noWrap/>
                  <w:vAlign w:val="center"/>
                </w:tcPr>
                <w:p w14:paraId="13E2E220">
                  <w:pPr>
                    <w:pStyle w:val="48"/>
                    <w:rPr>
                      <w:color w:val="0000FF"/>
                    </w:rPr>
                  </w:pPr>
                  <w:r>
                    <w:rPr>
                      <w:color w:val="0000FF"/>
                    </w:rPr>
                    <w:t>数量</w:t>
                  </w:r>
                </w:p>
              </w:tc>
              <w:tc>
                <w:tcPr>
                  <w:tcW w:w="850" w:type="dxa"/>
                  <w:noWrap/>
                  <w:vAlign w:val="center"/>
                </w:tcPr>
                <w:p w14:paraId="0209A8C4">
                  <w:pPr>
                    <w:pStyle w:val="48"/>
                    <w:rPr>
                      <w:color w:val="0000FF"/>
                    </w:rPr>
                  </w:pPr>
                  <w:r>
                    <w:rPr>
                      <w:color w:val="0000FF"/>
                    </w:rPr>
                    <w:t>锰占比%</w:t>
                  </w:r>
                </w:p>
              </w:tc>
              <w:tc>
                <w:tcPr>
                  <w:tcW w:w="1276" w:type="dxa"/>
                  <w:noWrap/>
                  <w:vAlign w:val="center"/>
                </w:tcPr>
                <w:p w14:paraId="479C1117">
                  <w:pPr>
                    <w:pStyle w:val="48"/>
                    <w:rPr>
                      <w:color w:val="0000FF"/>
                    </w:rPr>
                  </w:pPr>
                  <w:r>
                    <w:rPr>
                      <w:color w:val="0000FF"/>
                    </w:rPr>
                    <w:t>含锰量</w:t>
                  </w:r>
                </w:p>
              </w:tc>
              <w:tc>
                <w:tcPr>
                  <w:tcW w:w="1273" w:type="dxa"/>
                  <w:noWrap/>
                  <w:vAlign w:val="center"/>
                </w:tcPr>
                <w:p w14:paraId="49486770">
                  <w:pPr>
                    <w:pStyle w:val="48"/>
                    <w:rPr>
                      <w:color w:val="0000FF"/>
                    </w:rPr>
                  </w:pPr>
                  <w:r>
                    <w:rPr>
                      <w:color w:val="0000FF"/>
                    </w:rPr>
                    <w:t>名称</w:t>
                  </w:r>
                </w:p>
              </w:tc>
              <w:tc>
                <w:tcPr>
                  <w:tcW w:w="1278" w:type="dxa"/>
                  <w:noWrap/>
                  <w:vAlign w:val="center"/>
                </w:tcPr>
                <w:p w14:paraId="79B51A7C">
                  <w:pPr>
                    <w:pStyle w:val="48"/>
                    <w:rPr>
                      <w:color w:val="0000FF"/>
                    </w:rPr>
                  </w:pPr>
                  <w:r>
                    <w:rPr>
                      <w:color w:val="0000FF"/>
                    </w:rPr>
                    <w:t>数量</w:t>
                  </w:r>
                </w:p>
              </w:tc>
              <w:tc>
                <w:tcPr>
                  <w:tcW w:w="993" w:type="dxa"/>
                  <w:noWrap/>
                  <w:vAlign w:val="center"/>
                </w:tcPr>
                <w:p w14:paraId="33C60F58">
                  <w:pPr>
                    <w:pStyle w:val="48"/>
                    <w:rPr>
                      <w:color w:val="0000FF"/>
                    </w:rPr>
                  </w:pPr>
                  <w:r>
                    <w:rPr>
                      <w:color w:val="0000FF"/>
                    </w:rPr>
                    <w:t>锰占比%</w:t>
                  </w:r>
                </w:p>
              </w:tc>
              <w:tc>
                <w:tcPr>
                  <w:tcW w:w="986" w:type="dxa"/>
                  <w:noWrap/>
                  <w:vAlign w:val="center"/>
                </w:tcPr>
                <w:p w14:paraId="50476607">
                  <w:pPr>
                    <w:pStyle w:val="48"/>
                    <w:rPr>
                      <w:color w:val="0000FF"/>
                    </w:rPr>
                  </w:pPr>
                  <w:r>
                    <w:rPr>
                      <w:color w:val="0000FF"/>
                    </w:rPr>
                    <w:t>含锰量</w:t>
                  </w:r>
                </w:p>
              </w:tc>
            </w:tr>
            <w:tr w14:paraId="39A0D57B">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vMerge w:val="restart"/>
                  <w:noWrap/>
                  <w:vAlign w:val="center"/>
                </w:tcPr>
                <w:p w14:paraId="5AED9FA3">
                  <w:pPr>
                    <w:pStyle w:val="48"/>
                    <w:rPr>
                      <w:color w:val="0000FF"/>
                    </w:rPr>
                  </w:pPr>
                  <w:r>
                    <w:rPr>
                      <w:color w:val="0000FF"/>
                    </w:rPr>
                    <w:t>锰矿石废料</w:t>
                  </w:r>
                </w:p>
              </w:tc>
              <w:tc>
                <w:tcPr>
                  <w:tcW w:w="1134" w:type="dxa"/>
                  <w:vMerge w:val="restart"/>
                  <w:noWrap/>
                  <w:vAlign w:val="center"/>
                </w:tcPr>
                <w:p w14:paraId="69122600">
                  <w:pPr>
                    <w:pStyle w:val="48"/>
                    <w:rPr>
                      <w:color w:val="0000FF"/>
                    </w:rPr>
                  </w:pPr>
                  <w:r>
                    <w:rPr>
                      <w:color w:val="0000FF"/>
                    </w:rPr>
                    <w:t>50000</w:t>
                  </w:r>
                </w:p>
              </w:tc>
              <w:tc>
                <w:tcPr>
                  <w:tcW w:w="850" w:type="dxa"/>
                  <w:vMerge w:val="restart"/>
                  <w:noWrap/>
                  <w:vAlign w:val="center"/>
                </w:tcPr>
                <w:p w14:paraId="7848BC84">
                  <w:pPr>
                    <w:pStyle w:val="48"/>
                    <w:rPr>
                      <w:color w:val="0000FF"/>
                    </w:rPr>
                  </w:pPr>
                  <w:r>
                    <w:rPr>
                      <w:color w:val="0000FF"/>
                      <w:sz w:val="20"/>
                      <w:szCs w:val="20"/>
                    </w:rPr>
                    <w:t>24</w:t>
                  </w:r>
                </w:p>
              </w:tc>
              <w:tc>
                <w:tcPr>
                  <w:tcW w:w="1276" w:type="dxa"/>
                  <w:vMerge w:val="restart"/>
                  <w:noWrap/>
                  <w:vAlign w:val="center"/>
                </w:tcPr>
                <w:p w14:paraId="19751116">
                  <w:pPr>
                    <w:pStyle w:val="48"/>
                    <w:rPr>
                      <w:color w:val="0000FF"/>
                    </w:rPr>
                  </w:pPr>
                  <w:r>
                    <w:rPr>
                      <w:color w:val="0000FF"/>
                    </w:rPr>
                    <w:t>12000</w:t>
                  </w:r>
                </w:p>
              </w:tc>
              <w:tc>
                <w:tcPr>
                  <w:tcW w:w="1273" w:type="dxa"/>
                  <w:noWrap/>
                  <w:vAlign w:val="center"/>
                </w:tcPr>
                <w:p w14:paraId="3B1D39A8">
                  <w:pPr>
                    <w:pStyle w:val="48"/>
                    <w:rPr>
                      <w:color w:val="0000FF"/>
                    </w:rPr>
                  </w:pPr>
                  <w:r>
                    <w:rPr>
                      <w:color w:val="0000FF"/>
                    </w:rPr>
                    <w:t>热造块</w:t>
                  </w:r>
                </w:p>
              </w:tc>
              <w:tc>
                <w:tcPr>
                  <w:tcW w:w="1278" w:type="dxa"/>
                  <w:noWrap/>
                  <w:vAlign w:val="center"/>
                </w:tcPr>
                <w:p w14:paraId="6B39B280">
                  <w:pPr>
                    <w:pStyle w:val="48"/>
                    <w:rPr>
                      <w:color w:val="0000FF"/>
                    </w:rPr>
                  </w:pPr>
                  <w:r>
                    <w:rPr>
                      <w:color w:val="0000FF"/>
                      <w:sz w:val="22"/>
                      <w:szCs w:val="22"/>
                    </w:rPr>
                    <w:t>45000</w:t>
                  </w:r>
                </w:p>
              </w:tc>
              <w:tc>
                <w:tcPr>
                  <w:tcW w:w="993" w:type="dxa"/>
                  <w:noWrap/>
                  <w:vAlign w:val="center"/>
                </w:tcPr>
                <w:p w14:paraId="1F81DBDA">
                  <w:pPr>
                    <w:pStyle w:val="48"/>
                    <w:rPr>
                      <w:color w:val="0000FF"/>
                    </w:rPr>
                  </w:pPr>
                  <w:r>
                    <w:rPr>
                      <w:color w:val="0000FF"/>
                    </w:rPr>
                    <w:t>26.6657</w:t>
                  </w:r>
                </w:p>
              </w:tc>
              <w:tc>
                <w:tcPr>
                  <w:tcW w:w="986" w:type="dxa"/>
                  <w:noWrap/>
                  <w:vAlign w:val="center"/>
                </w:tcPr>
                <w:p w14:paraId="53DBFDB4">
                  <w:pPr>
                    <w:pStyle w:val="48"/>
                    <w:rPr>
                      <w:color w:val="0000FF"/>
                    </w:rPr>
                  </w:pPr>
                  <w:r>
                    <w:rPr>
                      <w:color w:val="0000FF"/>
                      <w:sz w:val="22"/>
                      <w:szCs w:val="22"/>
                    </w:rPr>
                    <w:t>11999.566</w:t>
                  </w:r>
                </w:p>
              </w:tc>
            </w:tr>
            <w:tr w14:paraId="3CA721DF">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vMerge w:val="continue"/>
                  <w:vAlign w:val="center"/>
                </w:tcPr>
                <w:p w14:paraId="6A2AA985">
                  <w:pPr>
                    <w:pStyle w:val="48"/>
                    <w:rPr>
                      <w:color w:val="0000FF"/>
                    </w:rPr>
                  </w:pPr>
                </w:p>
              </w:tc>
              <w:tc>
                <w:tcPr>
                  <w:tcW w:w="1134" w:type="dxa"/>
                  <w:vMerge w:val="continue"/>
                  <w:vAlign w:val="center"/>
                </w:tcPr>
                <w:p w14:paraId="01B64B5B">
                  <w:pPr>
                    <w:pStyle w:val="48"/>
                    <w:rPr>
                      <w:color w:val="0000FF"/>
                    </w:rPr>
                  </w:pPr>
                </w:p>
              </w:tc>
              <w:tc>
                <w:tcPr>
                  <w:tcW w:w="850" w:type="dxa"/>
                  <w:vMerge w:val="continue"/>
                  <w:vAlign w:val="center"/>
                </w:tcPr>
                <w:p w14:paraId="49759516">
                  <w:pPr>
                    <w:pStyle w:val="48"/>
                    <w:rPr>
                      <w:color w:val="0000FF"/>
                    </w:rPr>
                  </w:pPr>
                </w:p>
              </w:tc>
              <w:tc>
                <w:tcPr>
                  <w:tcW w:w="1276" w:type="dxa"/>
                  <w:vMerge w:val="continue"/>
                  <w:vAlign w:val="center"/>
                </w:tcPr>
                <w:p w14:paraId="3EE53B38">
                  <w:pPr>
                    <w:pStyle w:val="48"/>
                    <w:rPr>
                      <w:color w:val="0000FF"/>
                    </w:rPr>
                  </w:pPr>
                </w:p>
              </w:tc>
              <w:tc>
                <w:tcPr>
                  <w:tcW w:w="1273" w:type="dxa"/>
                  <w:noWrap/>
                  <w:vAlign w:val="center"/>
                </w:tcPr>
                <w:p w14:paraId="7B1DB619">
                  <w:pPr>
                    <w:pStyle w:val="48"/>
                    <w:rPr>
                      <w:color w:val="0000FF"/>
                    </w:rPr>
                  </w:pPr>
                  <w:r>
                    <w:rPr>
                      <w:color w:val="0000FF"/>
                    </w:rPr>
                    <w:t>有组织废气</w:t>
                  </w:r>
                </w:p>
              </w:tc>
              <w:tc>
                <w:tcPr>
                  <w:tcW w:w="1278" w:type="dxa"/>
                  <w:noWrap/>
                  <w:vAlign w:val="center"/>
                </w:tcPr>
                <w:p w14:paraId="3DDFC65B">
                  <w:pPr>
                    <w:pStyle w:val="48"/>
                    <w:rPr>
                      <w:color w:val="0000FF"/>
                    </w:rPr>
                  </w:pPr>
                  <w:r>
                    <w:rPr>
                      <w:color w:val="0000FF"/>
                    </w:rPr>
                    <w:t>0.669</w:t>
                  </w:r>
                </w:p>
              </w:tc>
              <w:tc>
                <w:tcPr>
                  <w:tcW w:w="993" w:type="dxa"/>
                  <w:noWrap/>
                  <w:vAlign w:val="center"/>
                </w:tcPr>
                <w:p w14:paraId="4CC972D7">
                  <w:pPr>
                    <w:pStyle w:val="48"/>
                    <w:rPr>
                      <w:color w:val="0000FF"/>
                    </w:rPr>
                  </w:pPr>
                  <w:r>
                    <w:rPr>
                      <w:color w:val="0000FF"/>
                    </w:rPr>
                    <w:t>27.2</w:t>
                  </w:r>
                </w:p>
              </w:tc>
              <w:tc>
                <w:tcPr>
                  <w:tcW w:w="986" w:type="dxa"/>
                  <w:noWrap/>
                  <w:vAlign w:val="center"/>
                </w:tcPr>
                <w:p w14:paraId="67477D84">
                  <w:pPr>
                    <w:pStyle w:val="48"/>
                    <w:rPr>
                      <w:color w:val="0000FF"/>
                    </w:rPr>
                  </w:pPr>
                  <w:r>
                    <w:rPr>
                      <w:color w:val="0000FF"/>
                    </w:rPr>
                    <w:t>0.182</w:t>
                  </w:r>
                </w:p>
              </w:tc>
            </w:tr>
            <w:tr w14:paraId="23FD2749">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vMerge w:val="continue"/>
                  <w:vAlign w:val="center"/>
                </w:tcPr>
                <w:p w14:paraId="72CB3795">
                  <w:pPr>
                    <w:pStyle w:val="48"/>
                    <w:rPr>
                      <w:color w:val="0000FF"/>
                    </w:rPr>
                  </w:pPr>
                </w:p>
              </w:tc>
              <w:tc>
                <w:tcPr>
                  <w:tcW w:w="1134" w:type="dxa"/>
                  <w:vMerge w:val="continue"/>
                  <w:vAlign w:val="center"/>
                </w:tcPr>
                <w:p w14:paraId="79204B95">
                  <w:pPr>
                    <w:pStyle w:val="48"/>
                    <w:rPr>
                      <w:color w:val="0000FF"/>
                    </w:rPr>
                  </w:pPr>
                </w:p>
              </w:tc>
              <w:tc>
                <w:tcPr>
                  <w:tcW w:w="850" w:type="dxa"/>
                  <w:vMerge w:val="continue"/>
                  <w:vAlign w:val="center"/>
                </w:tcPr>
                <w:p w14:paraId="67008817">
                  <w:pPr>
                    <w:pStyle w:val="48"/>
                    <w:rPr>
                      <w:color w:val="0000FF"/>
                    </w:rPr>
                  </w:pPr>
                </w:p>
              </w:tc>
              <w:tc>
                <w:tcPr>
                  <w:tcW w:w="1276" w:type="dxa"/>
                  <w:vMerge w:val="continue"/>
                  <w:vAlign w:val="center"/>
                </w:tcPr>
                <w:p w14:paraId="1A71C907">
                  <w:pPr>
                    <w:pStyle w:val="48"/>
                    <w:rPr>
                      <w:color w:val="0000FF"/>
                    </w:rPr>
                  </w:pPr>
                </w:p>
              </w:tc>
              <w:tc>
                <w:tcPr>
                  <w:tcW w:w="1273" w:type="dxa"/>
                  <w:vAlign w:val="center"/>
                </w:tcPr>
                <w:p w14:paraId="1A39CFE3">
                  <w:pPr>
                    <w:pStyle w:val="48"/>
                    <w:rPr>
                      <w:color w:val="0000FF"/>
                    </w:rPr>
                  </w:pPr>
                  <w:r>
                    <w:rPr>
                      <w:color w:val="0000FF"/>
                    </w:rPr>
                    <w:t>无组织废气</w:t>
                  </w:r>
                </w:p>
              </w:tc>
              <w:tc>
                <w:tcPr>
                  <w:tcW w:w="1278" w:type="dxa"/>
                  <w:vAlign w:val="center"/>
                </w:tcPr>
                <w:p w14:paraId="36E8EFBD">
                  <w:pPr>
                    <w:pStyle w:val="48"/>
                    <w:rPr>
                      <w:color w:val="0000FF"/>
                    </w:rPr>
                  </w:pPr>
                  <w:r>
                    <w:rPr>
                      <w:color w:val="0000FF"/>
                    </w:rPr>
                    <w:t>0.9264</w:t>
                  </w:r>
                </w:p>
              </w:tc>
              <w:tc>
                <w:tcPr>
                  <w:tcW w:w="993" w:type="dxa"/>
                  <w:vAlign w:val="center"/>
                </w:tcPr>
                <w:p w14:paraId="2141E8F3">
                  <w:pPr>
                    <w:pStyle w:val="48"/>
                    <w:rPr>
                      <w:color w:val="0000FF"/>
                    </w:rPr>
                  </w:pPr>
                  <w:r>
                    <w:rPr>
                      <w:color w:val="0000FF"/>
                    </w:rPr>
                    <w:t>27.2</w:t>
                  </w:r>
                </w:p>
              </w:tc>
              <w:tc>
                <w:tcPr>
                  <w:tcW w:w="986" w:type="dxa"/>
                  <w:noWrap/>
                  <w:vAlign w:val="center"/>
                </w:tcPr>
                <w:p w14:paraId="78926A19">
                  <w:pPr>
                    <w:pStyle w:val="48"/>
                    <w:rPr>
                      <w:color w:val="0000FF"/>
                    </w:rPr>
                  </w:pPr>
                  <w:r>
                    <w:rPr>
                      <w:color w:val="0000FF"/>
                    </w:rPr>
                    <w:t>0.252</w:t>
                  </w:r>
                </w:p>
              </w:tc>
            </w:tr>
            <w:tr w14:paraId="670C3822">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vAlign w:val="center"/>
                </w:tcPr>
                <w:p w14:paraId="41D8EC11">
                  <w:pPr>
                    <w:pStyle w:val="48"/>
                    <w:rPr>
                      <w:color w:val="0000FF"/>
                    </w:rPr>
                  </w:pPr>
                  <w:r>
                    <w:rPr>
                      <w:color w:val="0000FF"/>
                    </w:rPr>
                    <w:t>除尘灰</w:t>
                  </w:r>
                </w:p>
              </w:tc>
              <w:tc>
                <w:tcPr>
                  <w:tcW w:w="1134" w:type="dxa"/>
                  <w:vAlign w:val="center"/>
                </w:tcPr>
                <w:p w14:paraId="39E52C21">
                  <w:pPr>
                    <w:pStyle w:val="48"/>
                    <w:rPr>
                      <w:color w:val="0000FF"/>
                    </w:rPr>
                  </w:pPr>
                  <w:r>
                    <w:rPr>
                      <w:color w:val="0000FF"/>
                    </w:rPr>
                    <w:t>163.7493</w:t>
                  </w:r>
                </w:p>
              </w:tc>
              <w:tc>
                <w:tcPr>
                  <w:tcW w:w="850" w:type="dxa"/>
                  <w:vAlign w:val="center"/>
                </w:tcPr>
                <w:p w14:paraId="27DAD3AB">
                  <w:pPr>
                    <w:pStyle w:val="48"/>
                    <w:rPr>
                      <w:color w:val="0000FF"/>
                    </w:rPr>
                  </w:pPr>
                  <w:r>
                    <w:rPr>
                      <w:color w:val="0000FF"/>
                    </w:rPr>
                    <w:t>27.2</w:t>
                  </w:r>
                </w:p>
              </w:tc>
              <w:tc>
                <w:tcPr>
                  <w:tcW w:w="1276" w:type="dxa"/>
                  <w:vAlign w:val="center"/>
                </w:tcPr>
                <w:p w14:paraId="10F70D42">
                  <w:pPr>
                    <w:pStyle w:val="48"/>
                    <w:rPr>
                      <w:color w:val="0000FF"/>
                    </w:rPr>
                  </w:pPr>
                  <w:r>
                    <w:rPr>
                      <w:color w:val="0000FF"/>
                    </w:rPr>
                    <w:t>44.54</w:t>
                  </w:r>
                </w:p>
              </w:tc>
              <w:tc>
                <w:tcPr>
                  <w:tcW w:w="1273" w:type="dxa"/>
                  <w:vAlign w:val="center"/>
                </w:tcPr>
                <w:p w14:paraId="70C4510D">
                  <w:pPr>
                    <w:pStyle w:val="48"/>
                    <w:rPr>
                      <w:color w:val="0000FF"/>
                    </w:rPr>
                  </w:pPr>
                  <w:r>
                    <w:rPr>
                      <w:color w:val="0000FF"/>
                    </w:rPr>
                    <w:t>除尘灰</w:t>
                  </w:r>
                </w:p>
              </w:tc>
              <w:tc>
                <w:tcPr>
                  <w:tcW w:w="1278" w:type="dxa"/>
                  <w:vAlign w:val="center"/>
                </w:tcPr>
                <w:p w14:paraId="366642C7">
                  <w:pPr>
                    <w:pStyle w:val="48"/>
                    <w:rPr>
                      <w:color w:val="0000FF"/>
                    </w:rPr>
                  </w:pPr>
                  <w:r>
                    <w:rPr>
                      <w:color w:val="0000FF"/>
                    </w:rPr>
                    <w:t>163.7493</w:t>
                  </w:r>
                </w:p>
              </w:tc>
              <w:tc>
                <w:tcPr>
                  <w:tcW w:w="993" w:type="dxa"/>
                  <w:vAlign w:val="center"/>
                </w:tcPr>
                <w:p w14:paraId="0C1CAB3B">
                  <w:pPr>
                    <w:pStyle w:val="48"/>
                    <w:rPr>
                      <w:color w:val="0000FF"/>
                    </w:rPr>
                  </w:pPr>
                  <w:r>
                    <w:rPr>
                      <w:color w:val="0000FF"/>
                    </w:rPr>
                    <w:t>27.2</w:t>
                  </w:r>
                </w:p>
              </w:tc>
              <w:tc>
                <w:tcPr>
                  <w:tcW w:w="986" w:type="dxa"/>
                  <w:noWrap/>
                  <w:vAlign w:val="center"/>
                </w:tcPr>
                <w:p w14:paraId="42E1AF3B">
                  <w:pPr>
                    <w:pStyle w:val="48"/>
                    <w:rPr>
                      <w:color w:val="0000FF"/>
                    </w:rPr>
                  </w:pPr>
                  <w:r>
                    <w:rPr>
                      <w:color w:val="0000FF"/>
                    </w:rPr>
                    <w:t>44.54</w:t>
                  </w:r>
                </w:p>
              </w:tc>
            </w:tr>
            <w:tr w14:paraId="500FD5EA">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984" w:type="dxa"/>
                  <w:vAlign w:val="center"/>
                </w:tcPr>
                <w:p w14:paraId="5AD2580D">
                  <w:pPr>
                    <w:pStyle w:val="48"/>
                    <w:rPr>
                      <w:color w:val="0000FF"/>
                    </w:rPr>
                  </w:pPr>
                  <w:r>
                    <w:rPr>
                      <w:color w:val="0000FF"/>
                    </w:rPr>
                    <w:t>沉降灰</w:t>
                  </w:r>
                </w:p>
              </w:tc>
              <w:tc>
                <w:tcPr>
                  <w:tcW w:w="1134" w:type="dxa"/>
                  <w:vAlign w:val="center"/>
                </w:tcPr>
                <w:p w14:paraId="5288D38C">
                  <w:pPr>
                    <w:pStyle w:val="48"/>
                    <w:rPr>
                      <w:color w:val="0000FF"/>
                    </w:rPr>
                  </w:pPr>
                  <w:r>
                    <w:rPr>
                      <w:color w:val="0000FF"/>
                    </w:rPr>
                    <w:t>180.8827</w:t>
                  </w:r>
                </w:p>
              </w:tc>
              <w:tc>
                <w:tcPr>
                  <w:tcW w:w="850" w:type="dxa"/>
                  <w:vAlign w:val="center"/>
                </w:tcPr>
                <w:p w14:paraId="6628801E">
                  <w:pPr>
                    <w:pStyle w:val="48"/>
                    <w:rPr>
                      <w:color w:val="0000FF"/>
                    </w:rPr>
                  </w:pPr>
                  <w:r>
                    <w:rPr>
                      <w:color w:val="0000FF"/>
                    </w:rPr>
                    <w:t>27.2</w:t>
                  </w:r>
                </w:p>
              </w:tc>
              <w:tc>
                <w:tcPr>
                  <w:tcW w:w="1276" w:type="dxa"/>
                  <w:vAlign w:val="center"/>
                </w:tcPr>
                <w:p w14:paraId="3AC7EC12">
                  <w:pPr>
                    <w:pStyle w:val="48"/>
                    <w:rPr>
                      <w:color w:val="0000FF"/>
                    </w:rPr>
                  </w:pPr>
                  <w:r>
                    <w:rPr>
                      <w:color w:val="0000FF"/>
                    </w:rPr>
                    <w:t>49.2</w:t>
                  </w:r>
                </w:p>
              </w:tc>
              <w:tc>
                <w:tcPr>
                  <w:tcW w:w="1273" w:type="dxa"/>
                  <w:vAlign w:val="center"/>
                </w:tcPr>
                <w:p w14:paraId="22B83AF8">
                  <w:pPr>
                    <w:pStyle w:val="48"/>
                    <w:rPr>
                      <w:color w:val="0000FF"/>
                    </w:rPr>
                  </w:pPr>
                  <w:r>
                    <w:rPr>
                      <w:color w:val="0000FF"/>
                    </w:rPr>
                    <w:t>沉降灰</w:t>
                  </w:r>
                </w:p>
              </w:tc>
              <w:tc>
                <w:tcPr>
                  <w:tcW w:w="1278" w:type="dxa"/>
                  <w:vAlign w:val="center"/>
                </w:tcPr>
                <w:p w14:paraId="10BAFA10">
                  <w:pPr>
                    <w:pStyle w:val="48"/>
                    <w:rPr>
                      <w:color w:val="0000FF"/>
                    </w:rPr>
                  </w:pPr>
                  <w:r>
                    <w:rPr>
                      <w:color w:val="0000FF"/>
                    </w:rPr>
                    <w:t>180.8827</w:t>
                  </w:r>
                </w:p>
              </w:tc>
              <w:tc>
                <w:tcPr>
                  <w:tcW w:w="993" w:type="dxa"/>
                  <w:vAlign w:val="center"/>
                </w:tcPr>
                <w:p w14:paraId="7017F39A">
                  <w:pPr>
                    <w:pStyle w:val="48"/>
                    <w:rPr>
                      <w:color w:val="0000FF"/>
                    </w:rPr>
                  </w:pPr>
                  <w:r>
                    <w:rPr>
                      <w:color w:val="0000FF"/>
                    </w:rPr>
                    <w:t>27.2</w:t>
                  </w:r>
                </w:p>
              </w:tc>
              <w:tc>
                <w:tcPr>
                  <w:tcW w:w="986" w:type="dxa"/>
                  <w:noWrap/>
                  <w:vAlign w:val="center"/>
                </w:tcPr>
                <w:p w14:paraId="61E95933">
                  <w:pPr>
                    <w:pStyle w:val="48"/>
                    <w:rPr>
                      <w:color w:val="0000FF"/>
                    </w:rPr>
                  </w:pPr>
                  <w:r>
                    <w:rPr>
                      <w:color w:val="0000FF"/>
                    </w:rPr>
                    <w:t>49.2</w:t>
                  </w:r>
                </w:p>
              </w:tc>
            </w:tr>
            <w:tr w14:paraId="40B48DD9">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2968" w:type="dxa"/>
                  <w:gridSpan w:val="3"/>
                  <w:noWrap/>
                  <w:vAlign w:val="center"/>
                </w:tcPr>
                <w:p w14:paraId="0A8E4A6D">
                  <w:pPr>
                    <w:pStyle w:val="48"/>
                    <w:rPr>
                      <w:color w:val="0000FF"/>
                    </w:rPr>
                  </w:pPr>
                  <w:r>
                    <w:rPr>
                      <w:color w:val="0000FF"/>
                    </w:rPr>
                    <w:t>合计</w:t>
                  </w:r>
                </w:p>
              </w:tc>
              <w:tc>
                <w:tcPr>
                  <w:tcW w:w="1276" w:type="dxa"/>
                  <w:noWrap/>
                  <w:vAlign w:val="center"/>
                </w:tcPr>
                <w:p w14:paraId="0FC9F7F7">
                  <w:pPr>
                    <w:pStyle w:val="48"/>
                    <w:rPr>
                      <w:color w:val="0000FF"/>
                    </w:rPr>
                  </w:pPr>
                  <w:r>
                    <w:rPr>
                      <w:color w:val="0000FF"/>
                    </w:rPr>
                    <w:t>12093.74</w:t>
                  </w:r>
                </w:p>
              </w:tc>
              <w:tc>
                <w:tcPr>
                  <w:tcW w:w="3544" w:type="dxa"/>
                  <w:gridSpan w:val="3"/>
                  <w:noWrap/>
                  <w:vAlign w:val="center"/>
                </w:tcPr>
                <w:p w14:paraId="523A7354">
                  <w:pPr>
                    <w:pStyle w:val="48"/>
                    <w:rPr>
                      <w:color w:val="0000FF"/>
                    </w:rPr>
                  </w:pPr>
                  <w:r>
                    <w:rPr>
                      <w:color w:val="0000FF"/>
                    </w:rPr>
                    <w:t>合计</w:t>
                  </w:r>
                </w:p>
              </w:tc>
              <w:tc>
                <w:tcPr>
                  <w:tcW w:w="986" w:type="dxa"/>
                  <w:noWrap/>
                  <w:vAlign w:val="center"/>
                </w:tcPr>
                <w:p w14:paraId="27674AFD">
                  <w:pPr>
                    <w:pStyle w:val="48"/>
                    <w:rPr>
                      <w:color w:val="0000FF"/>
                    </w:rPr>
                  </w:pPr>
                  <w:r>
                    <w:rPr>
                      <w:color w:val="0000FF"/>
                    </w:rPr>
                    <w:t>12093.74</w:t>
                  </w:r>
                </w:p>
              </w:tc>
            </w:tr>
            <w:tr w14:paraId="028B7D82">
              <w:tblPrEx>
                <w:tblBorders>
                  <w:top w:val="double" w:color="000000" w:sz="4" w:space="0"/>
                  <w:left w:val="none" w:color="auto" w:sz="0" w:space="0"/>
                  <w:bottom w:val="double" w:color="000000" w:sz="4"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jc w:val="center"/>
              </w:trPr>
              <w:tc>
                <w:tcPr>
                  <w:tcW w:w="8774" w:type="dxa"/>
                  <w:gridSpan w:val="8"/>
                  <w:noWrap/>
                  <w:vAlign w:val="center"/>
                </w:tcPr>
                <w:p w14:paraId="69B291AD">
                  <w:pPr>
                    <w:pStyle w:val="48"/>
                    <w:jc w:val="left"/>
                    <w:rPr>
                      <w:color w:val="0000FF"/>
                    </w:rPr>
                  </w:pPr>
                  <w:r>
                    <w:rPr>
                      <w:color w:val="0000FF"/>
                    </w:rPr>
                    <w:t>注：生产中产生的除尘灰、沉降灰以及废气中的颗粒物锰含量按照锰在原料干重的占比计算。</w:t>
                  </w:r>
                </w:p>
              </w:tc>
            </w:tr>
          </w:tbl>
          <w:p w14:paraId="3C5A87AB">
            <w:pPr>
              <w:pStyle w:val="51"/>
              <w:spacing w:before="156"/>
              <w:rPr>
                <w:rFonts w:cs="Times New Roman"/>
                <w:color w:val="0000FF"/>
              </w:rPr>
            </w:pPr>
            <w:r>
              <w:rPr>
                <w:rFonts w:cs="Times New Roman"/>
              </w:rPr>
              <w:drawing>
                <wp:inline distT="0" distB="0" distL="0" distR="0">
                  <wp:extent cx="3971925" cy="19621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3971925" cy="1962150"/>
                          </a:xfrm>
                          <a:prstGeom prst="rect">
                            <a:avLst/>
                          </a:prstGeom>
                        </pic:spPr>
                      </pic:pic>
                    </a:graphicData>
                  </a:graphic>
                </wp:inline>
              </w:drawing>
            </w:r>
          </w:p>
          <w:p w14:paraId="781381BD">
            <w:pPr>
              <w:pStyle w:val="50"/>
              <w:rPr>
                <w:color w:val="0000FF"/>
              </w:rPr>
            </w:pPr>
            <w:r>
              <w:rPr>
                <w:color w:val="0000FF"/>
              </w:rPr>
              <w:t>图2-3 本项目锰平衡图（单位：t/a）</w:t>
            </w:r>
          </w:p>
          <w:p w14:paraId="1F651F9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9、总平面布置</w:t>
            </w:r>
          </w:p>
          <w:p w14:paraId="057A3F2D">
            <w:pPr>
              <w:pStyle w:val="65"/>
              <w:ind w:firstLine="480"/>
              <w:rPr>
                <w:rFonts w:eastAsiaTheme="minorEastAsia"/>
                <w:color w:val="000000" w:themeColor="text1"/>
                <w14:textFill>
                  <w14:solidFill>
                    <w14:schemeClr w14:val="tx1"/>
                  </w14:solidFill>
                </w14:textFill>
              </w:rPr>
            </w:pPr>
            <w:r>
              <w:rPr>
                <w:rFonts w:eastAsiaTheme="minorEastAsia"/>
                <w:color w:val="000000"/>
                <w:szCs w:val="21"/>
              </w:rPr>
              <w:t>本项目占地面积</w:t>
            </w:r>
            <w:r>
              <w:rPr>
                <w:rFonts w:eastAsiaTheme="minorEastAsia"/>
                <w:color w:val="0000FF"/>
                <w:szCs w:val="21"/>
              </w:rPr>
              <w:t>1000 m</w:t>
            </w:r>
            <w:r>
              <w:rPr>
                <w:rFonts w:eastAsiaTheme="minorEastAsia"/>
                <w:color w:val="0000FF"/>
                <w:szCs w:val="21"/>
                <w:vertAlign w:val="superscript"/>
              </w:rPr>
              <w:t>2</w:t>
            </w:r>
            <w:r>
              <w:rPr>
                <w:rFonts w:eastAsiaTheme="minorEastAsia"/>
                <w:color w:val="0000FF"/>
                <w:szCs w:val="21"/>
              </w:rPr>
              <w:t>，</w:t>
            </w:r>
            <w:r>
              <w:rPr>
                <w:rFonts w:eastAsiaTheme="minorEastAsia"/>
                <w:color w:val="000000"/>
                <w:szCs w:val="21"/>
              </w:rPr>
              <w:t>全部为租用朝阳县瓦房子镇宏兴锰矿厂区占地，建设固体废物回收利用生产线一条。建筑面积</w:t>
            </w:r>
            <w:r>
              <w:rPr>
                <w:rFonts w:eastAsiaTheme="minorEastAsia"/>
                <w:color w:val="0000FF"/>
                <w:szCs w:val="21"/>
              </w:rPr>
              <w:t>820m</w:t>
            </w:r>
            <w:r>
              <w:rPr>
                <w:rFonts w:eastAsiaTheme="minorEastAsia"/>
                <w:color w:val="0000FF"/>
                <w:szCs w:val="21"/>
                <w:vertAlign w:val="superscript"/>
              </w:rPr>
              <w:t>2</w:t>
            </w:r>
            <w:r>
              <w:rPr>
                <w:rFonts w:eastAsiaTheme="minorEastAsia"/>
                <w:color w:val="0000FF"/>
                <w:szCs w:val="21"/>
              </w:rPr>
              <w:t>。建筑面积</w:t>
            </w:r>
            <w:r>
              <w:rPr>
                <w:rFonts w:eastAsiaTheme="minorEastAsia"/>
                <w:color w:val="000000"/>
                <w:szCs w:val="21"/>
              </w:rPr>
              <w:t>包含烘干车间（2层，每层</w:t>
            </w:r>
            <w:r>
              <w:rPr>
                <w:rFonts w:eastAsiaTheme="minorEastAsia"/>
                <w:color w:val="0000FF"/>
                <w:szCs w:val="21"/>
              </w:rPr>
              <w:t>110 m</w:t>
            </w:r>
            <w:r>
              <w:rPr>
                <w:rFonts w:eastAsiaTheme="minorEastAsia"/>
                <w:color w:val="0000FF"/>
                <w:szCs w:val="21"/>
                <w:vertAlign w:val="superscript"/>
              </w:rPr>
              <w:t>2</w:t>
            </w:r>
            <w:r>
              <w:rPr>
                <w:rFonts w:eastAsiaTheme="minorEastAsia"/>
                <w:color w:val="0000FF"/>
                <w:szCs w:val="21"/>
              </w:rPr>
              <w:t>）220m</w:t>
            </w:r>
            <w:r>
              <w:rPr>
                <w:rFonts w:eastAsiaTheme="minorEastAsia"/>
                <w:color w:val="0000FF"/>
                <w:szCs w:val="21"/>
                <w:vertAlign w:val="superscript"/>
              </w:rPr>
              <w:t>2</w:t>
            </w:r>
            <w:r>
              <w:rPr>
                <w:rFonts w:eastAsiaTheme="minorEastAsia"/>
                <w:color w:val="000000"/>
                <w:szCs w:val="21"/>
              </w:rPr>
              <w:t>，生产车间</w:t>
            </w:r>
            <w:r>
              <w:rPr>
                <w:rFonts w:eastAsiaTheme="minorEastAsia"/>
                <w:color w:val="0000FF"/>
                <w:szCs w:val="21"/>
              </w:rPr>
              <w:t>110m</w:t>
            </w:r>
            <w:r>
              <w:rPr>
                <w:rFonts w:eastAsiaTheme="minorEastAsia"/>
                <w:color w:val="0000FF"/>
                <w:szCs w:val="21"/>
                <w:vertAlign w:val="superscript"/>
              </w:rPr>
              <w:t>2</w:t>
            </w:r>
            <w:r>
              <w:rPr>
                <w:rFonts w:eastAsiaTheme="minorEastAsia"/>
                <w:color w:val="000000"/>
                <w:szCs w:val="21"/>
              </w:rPr>
              <w:t>，原料库</w:t>
            </w:r>
            <w:r>
              <w:rPr>
                <w:rFonts w:eastAsiaTheme="minorEastAsia"/>
                <w:color w:val="0000FF"/>
                <w:szCs w:val="21"/>
              </w:rPr>
              <w:t>250m</w:t>
            </w:r>
            <w:r>
              <w:rPr>
                <w:rFonts w:eastAsiaTheme="minorEastAsia"/>
                <w:color w:val="0000FF"/>
                <w:szCs w:val="21"/>
                <w:vertAlign w:val="superscript"/>
              </w:rPr>
              <w:t>2</w:t>
            </w:r>
            <w:r>
              <w:rPr>
                <w:rFonts w:eastAsiaTheme="minorEastAsia"/>
                <w:color w:val="0000FF"/>
                <w:szCs w:val="21"/>
              </w:rPr>
              <w:t>，</w:t>
            </w:r>
            <w:r>
              <w:rPr>
                <w:rFonts w:eastAsiaTheme="minorEastAsia"/>
                <w:color w:val="000000"/>
                <w:szCs w:val="21"/>
              </w:rPr>
              <w:t>产品库</w:t>
            </w:r>
            <w:r>
              <w:rPr>
                <w:rFonts w:eastAsiaTheme="minorEastAsia"/>
                <w:color w:val="0000FF"/>
                <w:szCs w:val="21"/>
              </w:rPr>
              <w:t>200m</w:t>
            </w:r>
            <w:r>
              <w:rPr>
                <w:rFonts w:eastAsiaTheme="minorEastAsia"/>
                <w:color w:val="0000FF"/>
                <w:szCs w:val="21"/>
                <w:vertAlign w:val="superscript"/>
              </w:rPr>
              <w:t>2</w:t>
            </w:r>
            <w:r>
              <w:rPr>
                <w:rFonts w:eastAsiaTheme="minorEastAsia"/>
                <w:color w:val="000000"/>
                <w:szCs w:val="21"/>
              </w:rPr>
              <w:t>，</w:t>
            </w:r>
            <w:r>
              <w:rPr>
                <w:rFonts w:eastAsiaTheme="minorEastAsia"/>
                <w:color w:val="0000FF"/>
                <w:szCs w:val="21"/>
              </w:rPr>
              <w:t>危废贮存点10m</w:t>
            </w:r>
            <w:r>
              <w:rPr>
                <w:rFonts w:eastAsiaTheme="minorEastAsia"/>
                <w:color w:val="0000FF"/>
                <w:szCs w:val="21"/>
                <w:vertAlign w:val="superscript"/>
              </w:rPr>
              <w:t>2</w:t>
            </w:r>
            <w:r>
              <w:rPr>
                <w:rFonts w:eastAsiaTheme="minorEastAsia"/>
                <w:color w:val="0000FF"/>
                <w:szCs w:val="21"/>
              </w:rPr>
              <w:t>，一般固废暂存间30m</w:t>
            </w:r>
            <w:r>
              <w:rPr>
                <w:rFonts w:eastAsiaTheme="minorEastAsia"/>
                <w:color w:val="0000FF"/>
                <w:szCs w:val="21"/>
                <w:vertAlign w:val="superscript"/>
              </w:rPr>
              <w:t>2</w:t>
            </w:r>
            <w:r>
              <w:rPr>
                <w:rFonts w:eastAsiaTheme="minorEastAsia"/>
                <w:color w:val="0000FF"/>
                <w:szCs w:val="21"/>
              </w:rPr>
              <w:t>。</w:t>
            </w:r>
            <w:r>
              <w:rPr>
                <w:rFonts w:eastAsiaTheme="minorEastAsia"/>
                <w:color w:val="000000" w:themeColor="text1"/>
                <w14:textFill>
                  <w14:solidFill>
                    <w14:schemeClr w14:val="tx1"/>
                  </w14:solidFill>
                </w14:textFill>
              </w:rPr>
              <w:t>项目按生产功能布局，且各功能区内设施的布置合理；各分区之间布局符合生产流程、操作要求和使用功能，在运营过程中能最大限度降低对厂区员工和周围环境的影响。总体而言，项目平面布局合理。</w:t>
            </w:r>
          </w:p>
          <w:p w14:paraId="3DD647DC">
            <w:pPr>
              <w:pStyle w:val="65"/>
              <w:ind w:firstLine="482"/>
              <w:rPr>
                <w:rFonts w:eastAsiaTheme="minorEastAsia"/>
                <w:b/>
                <w:bCs/>
                <w:color w:val="0000FF"/>
              </w:rPr>
            </w:pPr>
            <w:r>
              <w:rPr>
                <w:rFonts w:eastAsiaTheme="minorEastAsia"/>
                <w:b/>
                <w:bCs/>
                <w:color w:val="0000FF"/>
              </w:rPr>
              <w:t>10、原料及产品贮存</w:t>
            </w:r>
          </w:p>
          <w:p w14:paraId="608FAAB2">
            <w:pPr>
              <w:pStyle w:val="65"/>
              <w:ind w:firstLine="480"/>
              <w:rPr>
                <w:rFonts w:eastAsiaTheme="minorEastAsia"/>
                <w:color w:val="0000FF"/>
              </w:rPr>
            </w:pPr>
            <w:r>
              <w:rPr>
                <w:rFonts w:eastAsiaTheme="minorEastAsia"/>
                <w:color w:val="0000FF"/>
              </w:rPr>
              <w:t>（1）原料锰矿石废料最大储存量</w:t>
            </w:r>
          </w:p>
          <w:p w14:paraId="02945E76">
            <w:pPr>
              <w:pStyle w:val="65"/>
              <w:ind w:firstLine="480"/>
              <w:rPr>
                <w:rFonts w:eastAsiaTheme="minorEastAsia"/>
                <w:color w:val="0000FF"/>
              </w:rPr>
            </w:pPr>
            <w:r>
              <w:rPr>
                <w:rFonts w:eastAsiaTheme="minorEastAsia"/>
                <w:color w:val="0000FF"/>
              </w:rPr>
              <w:t>原料锰矿石废料为锰合金冶炼企业破碎筛分产生的细颗粒废料，呈散装状态，于原料库内堆存，贮存区域面积200m²。</w:t>
            </w:r>
          </w:p>
          <w:p w14:paraId="10F888A5">
            <w:pPr>
              <w:pStyle w:val="65"/>
              <w:ind w:firstLine="480"/>
              <w:rPr>
                <w:rFonts w:eastAsiaTheme="minorEastAsia"/>
                <w:color w:val="0000FF"/>
              </w:rPr>
            </w:pPr>
            <w:r>
              <w:rPr>
                <w:rFonts w:eastAsiaTheme="minorEastAsia"/>
                <w:color w:val="0000FF"/>
              </w:rPr>
              <w:t>根据《松散物料的堆密度和安息角》等技术资料，锰矿石的堆存密度一般为1.7～1.9t/m³，本项目取1.8t/m³；锰矿石废料为细颗粒散状物料，安息角一般为35°～45°，本项目取38°。堆体形状按棱台考虑，底部完全利用贮存区域，顶部因堆积角自然收缩。堆高设计为2.0m。</w:t>
            </w:r>
          </w:p>
          <w:p w14:paraId="299EE921">
            <w:pPr>
              <w:pStyle w:val="65"/>
              <w:ind w:firstLine="480"/>
              <w:rPr>
                <w:rFonts w:eastAsiaTheme="minorEastAsia"/>
                <w:color w:val="0000FF"/>
              </w:rPr>
            </w:pPr>
            <w:r>
              <w:rPr>
                <w:rFonts w:eastAsiaTheme="minorEastAsia"/>
                <w:color w:val="0000FF"/>
              </w:rPr>
              <w:t>顶部面积根据底部几何形状结合堆高和安息角计算：</w:t>
            </w:r>
          </w:p>
          <w:p w14:paraId="50625088">
            <w:pPr>
              <w:pStyle w:val="65"/>
              <w:ind w:firstLine="480"/>
              <w:rPr>
                <w:rFonts w:eastAsiaTheme="minorEastAsia"/>
                <w:color w:val="0000FF"/>
              </w:rPr>
            </w:pPr>
            <w:r>
              <w:rPr>
                <w:rFonts w:eastAsiaTheme="minorEastAsia"/>
                <w:color w:val="0000FF"/>
              </w:rPr>
              <w:t>底边长=√200=14.14m</w:t>
            </w:r>
          </w:p>
          <w:p w14:paraId="66B85E6D">
            <w:pPr>
              <w:pStyle w:val="65"/>
              <w:ind w:firstLine="480"/>
              <w:rPr>
                <w:rFonts w:eastAsiaTheme="minorEastAsia"/>
                <w:color w:val="0000FF"/>
              </w:rPr>
            </w:pPr>
            <w:r>
              <w:rPr>
                <w:rFonts w:eastAsiaTheme="minorEastAsia"/>
                <w:color w:val="0000FF"/>
              </w:rPr>
              <w:t>水平退缩量=H/tan38°=2.0/0.7813=2.56m</w:t>
            </w:r>
          </w:p>
          <w:p w14:paraId="4A0B6073">
            <w:pPr>
              <w:pStyle w:val="65"/>
              <w:ind w:firstLine="480"/>
              <w:rPr>
                <w:rFonts w:eastAsiaTheme="minorEastAsia"/>
                <w:color w:val="0000FF"/>
              </w:rPr>
            </w:pPr>
            <w:r>
              <w:rPr>
                <w:rFonts w:eastAsiaTheme="minorEastAsia"/>
                <w:color w:val="0000FF"/>
              </w:rPr>
              <w:t>顶边长=14.14-2×2.56=9.02m</w:t>
            </w:r>
          </w:p>
          <w:p w14:paraId="3180085A">
            <w:pPr>
              <w:pStyle w:val="65"/>
              <w:ind w:firstLine="480"/>
              <w:rPr>
                <w:rFonts w:eastAsiaTheme="minorEastAsia"/>
                <w:color w:val="0000FF"/>
              </w:rPr>
            </w:pPr>
            <w:r>
              <w:rPr>
                <w:rFonts w:eastAsiaTheme="minorEastAsia"/>
                <w:color w:val="0000FF"/>
              </w:rPr>
              <w:t>顶部面积St=9.02²=81.4m²</w:t>
            </w:r>
          </w:p>
          <w:p w14:paraId="17CD1FBE">
            <w:pPr>
              <w:pStyle w:val="65"/>
              <w:ind w:firstLine="480"/>
              <w:rPr>
                <w:rFonts w:eastAsiaTheme="minorEastAsia"/>
                <w:color w:val="0000FF"/>
              </w:rPr>
            </w:pPr>
            <w:r>
              <w:rPr>
                <w:rFonts w:eastAsiaTheme="minorEastAsia"/>
                <w:color w:val="0000FF"/>
              </w:rPr>
              <w:t>采用棱台体积公式计算有效堆存体积：</w:t>
            </w:r>
          </w:p>
          <w:p w14:paraId="33477498">
            <w:pPr>
              <w:pStyle w:val="65"/>
              <w:ind w:firstLine="480"/>
              <w:rPr>
                <w:rFonts w:eastAsiaTheme="minorEastAsia"/>
                <w:color w:val="0000FF"/>
              </w:rPr>
            </w:pPr>
            <w:r>
              <w:rPr>
                <w:rFonts w:eastAsiaTheme="minorEastAsia"/>
                <w:color w:val="0000FF"/>
              </w:rPr>
              <w:t>V=</w:t>
            </w:r>
            <w:r>
              <w:rPr>
                <w:rFonts w:hint="eastAsia" w:eastAsiaTheme="minorEastAsia"/>
                <w:color w:val="0000FF"/>
              </w:rPr>
              <w:t>（</w:t>
            </w:r>
            <w:r>
              <w:rPr>
                <w:rFonts w:eastAsiaTheme="minorEastAsia"/>
                <w:color w:val="0000FF"/>
              </w:rPr>
              <w:t>H/3</w:t>
            </w:r>
            <w:r>
              <w:rPr>
                <w:rFonts w:hint="eastAsia" w:eastAsiaTheme="minorEastAsia"/>
                <w:color w:val="0000FF"/>
              </w:rPr>
              <w:t>）</w:t>
            </w:r>
            <w:r>
              <w:rPr>
                <w:rFonts w:eastAsiaTheme="minorEastAsia"/>
                <w:color w:val="0000FF"/>
              </w:rPr>
              <w:t>×</w:t>
            </w:r>
            <w:r>
              <w:rPr>
                <w:rFonts w:hint="eastAsia" w:eastAsiaTheme="minorEastAsia"/>
                <w:color w:val="0000FF"/>
              </w:rPr>
              <w:t>（</w:t>
            </w:r>
            <w:r>
              <w:rPr>
                <w:rFonts w:eastAsiaTheme="minorEastAsia"/>
                <w:color w:val="0000FF"/>
              </w:rPr>
              <w:t>Sb+St+√</w:t>
            </w:r>
            <w:r>
              <w:rPr>
                <w:rFonts w:hint="eastAsia" w:eastAsiaTheme="minorEastAsia"/>
                <w:color w:val="0000FF"/>
              </w:rPr>
              <w:t>（</w:t>
            </w:r>
            <w:r>
              <w:rPr>
                <w:rFonts w:eastAsiaTheme="minorEastAsia"/>
                <w:color w:val="0000FF"/>
              </w:rPr>
              <w:t>Sb×St</w:t>
            </w:r>
            <w:r>
              <w:rPr>
                <w:rFonts w:hint="eastAsia" w:eastAsiaTheme="minorEastAsia"/>
                <w:color w:val="0000FF"/>
              </w:rPr>
              <w:t>））</w:t>
            </w:r>
          </w:p>
          <w:p w14:paraId="5750CA60">
            <w:pPr>
              <w:pStyle w:val="65"/>
              <w:ind w:firstLine="480"/>
              <w:rPr>
                <w:rFonts w:eastAsiaTheme="minorEastAsia"/>
                <w:color w:val="0000FF"/>
              </w:rPr>
            </w:pPr>
            <w:r>
              <w:rPr>
                <w:rFonts w:eastAsiaTheme="minorEastAsia"/>
                <w:color w:val="0000FF"/>
              </w:rPr>
              <w:t>式中：V——有效堆存体积（m³）；H——堆高（m）；Sb——底部面积（m²）；St——顶部面积（m²）。</w:t>
            </w:r>
          </w:p>
          <w:p w14:paraId="5170B8F0">
            <w:pPr>
              <w:pStyle w:val="65"/>
              <w:ind w:firstLine="480"/>
              <w:rPr>
                <w:rFonts w:eastAsiaTheme="minorEastAsia"/>
                <w:color w:val="0000FF"/>
              </w:rPr>
            </w:pPr>
            <w:r>
              <w:rPr>
                <w:rFonts w:eastAsiaTheme="minorEastAsia"/>
                <w:color w:val="0000FF"/>
              </w:rPr>
              <w:t>V=</w:t>
            </w:r>
            <w:r>
              <w:rPr>
                <w:rFonts w:hint="eastAsia" w:eastAsiaTheme="minorEastAsia"/>
                <w:color w:val="0000FF"/>
              </w:rPr>
              <w:t>（</w:t>
            </w:r>
            <w:r>
              <w:rPr>
                <w:rFonts w:eastAsiaTheme="minorEastAsia"/>
                <w:color w:val="0000FF"/>
              </w:rPr>
              <w:t>2.0/3</w:t>
            </w:r>
            <w:r>
              <w:rPr>
                <w:rFonts w:hint="eastAsia" w:eastAsiaTheme="minorEastAsia"/>
                <w:color w:val="0000FF"/>
              </w:rPr>
              <w:t>）</w:t>
            </w:r>
            <w:r>
              <w:rPr>
                <w:rFonts w:eastAsiaTheme="minorEastAsia"/>
                <w:color w:val="0000FF"/>
              </w:rPr>
              <w:t>×</w:t>
            </w:r>
            <w:r>
              <w:rPr>
                <w:rFonts w:hint="eastAsia" w:eastAsiaTheme="minorEastAsia"/>
                <w:color w:val="0000FF"/>
              </w:rPr>
              <w:t>（</w:t>
            </w:r>
            <w:r>
              <w:rPr>
                <w:rFonts w:eastAsiaTheme="minorEastAsia"/>
                <w:color w:val="0000FF"/>
              </w:rPr>
              <w:t>200+81.4+√</w:t>
            </w:r>
            <w:r>
              <w:rPr>
                <w:rFonts w:hint="eastAsia" w:eastAsiaTheme="minorEastAsia"/>
                <w:color w:val="0000FF"/>
              </w:rPr>
              <w:t>（</w:t>
            </w:r>
            <w:r>
              <w:rPr>
                <w:rFonts w:eastAsiaTheme="minorEastAsia"/>
                <w:color w:val="0000FF"/>
              </w:rPr>
              <w:t>200×81.4</w:t>
            </w:r>
            <w:r>
              <w:rPr>
                <w:rFonts w:hint="eastAsia" w:eastAsiaTheme="minorEastAsia"/>
                <w:color w:val="0000FF"/>
              </w:rPr>
              <w:t>））</w:t>
            </w:r>
            <w:r>
              <w:rPr>
                <w:rFonts w:eastAsiaTheme="minorEastAsia"/>
                <w:color w:val="0000FF"/>
              </w:rPr>
              <w:t>=272.7m³</w:t>
            </w:r>
          </w:p>
          <w:p w14:paraId="6C73B6E3">
            <w:pPr>
              <w:pStyle w:val="65"/>
              <w:ind w:firstLine="480"/>
              <w:rPr>
                <w:rFonts w:eastAsiaTheme="minorEastAsia"/>
                <w:color w:val="0000FF"/>
              </w:rPr>
            </w:pPr>
            <w:r>
              <w:rPr>
                <w:rFonts w:eastAsiaTheme="minorEastAsia"/>
                <w:color w:val="0000FF"/>
              </w:rPr>
              <w:t>物料堆存密度为1.8t/m³，计算理论最大堆存量：272.7×1.8≈491t。因此，原料锰矿石废料最大储存量约为491t。</w:t>
            </w:r>
          </w:p>
          <w:p w14:paraId="2E3C0B4A">
            <w:pPr>
              <w:pStyle w:val="65"/>
              <w:ind w:firstLine="480"/>
              <w:rPr>
                <w:rFonts w:eastAsiaTheme="minorEastAsia"/>
                <w:color w:val="0000FF"/>
              </w:rPr>
            </w:pPr>
            <w:r>
              <w:rPr>
                <w:rFonts w:eastAsiaTheme="minorEastAsia"/>
                <w:color w:val="0000FF"/>
              </w:rPr>
              <w:t>（2）原料膨润土最大储存量</w:t>
            </w:r>
          </w:p>
          <w:p w14:paraId="5089F438">
            <w:pPr>
              <w:pStyle w:val="65"/>
              <w:ind w:firstLine="480"/>
              <w:rPr>
                <w:rFonts w:eastAsiaTheme="minorEastAsia"/>
                <w:color w:val="0000FF"/>
              </w:rPr>
            </w:pPr>
            <w:r>
              <w:rPr>
                <w:rFonts w:eastAsiaTheme="minorEastAsia"/>
                <w:color w:val="0000FF"/>
              </w:rPr>
              <w:t>膨润土为袋装物料，于原料库内划定专门区域堆存，贮存区域面积50m²。袋装膨润土堆积密度一般为0.6～0.8t/m³，本项目膨润土取0.8t/m³。膨润土采用吨袋包装，堆高按每层1.0m、堆存2层计算，总堆高为2.0m。</w:t>
            </w:r>
          </w:p>
          <w:p w14:paraId="576AD61E">
            <w:pPr>
              <w:pStyle w:val="65"/>
              <w:ind w:firstLine="480"/>
              <w:rPr>
                <w:rFonts w:eastAsiaTheme="minorEastAsia"/>
                <w:color w:val="0000FF"/>
              </w:rPr>
            </w:pPr>
            <w:r>
              <w:rPr>
                <w:rFonts w:eastAsiaTheme="minorEastAsia"/>
                <w:color w:val="0000FF"/>
              </w:rPr>
              <w:t>袋装物料按矩形堆垛满铺考虑，有效堆存体积计算如下：</w:t>
            </w:r>
          </w:p>
          <w:p w14:paraId="38A52B91">
            <w:pPr>
              <w:pStyle w:val="65"/>
              <w:ind w:firstLine="480"/>
              <w:rPr>
                <w:rFonts w:eastAsiaTheme="minorEastAsia"/>
                <w:color w:val="0000FF"/>
              </w:rPr>
            </w:pPr>
            <w:r>
              <w:rPr>
                <w:rFonts w:eastAsiaTheme="minorEastAsia"/>
                <w:color w:val="0000FF"/>
              </w:rPr>
              <w:t>V=贮存面积×堆高=50×2.0=100.0m³</w:t>
            </w:r>
          </w:p>
          <w:p w14:paraId="33853E61">
            <w:pPr>
              <w:pStyle w:val="65"/>
              <w:ind w:firstLine="480"/>
              <w:rPr>
                <w:rFonts w:eastAsiaTheme="minorEastAsia"/>
                <w:color w:val="0000FF"/>
              </w:rPr>
            </w:pPr>
            <w:r>
              <w:rPr>
                <w:rFonts w:eastAsiaTheme="minorEastAsia"/>
                <w:color w:val="0000FF"/>
              </w:rPr>
              <w:t>物料堆存密度为0.8t/m³，计算理论最大堆存量：100.0×0.8=80t。因此，原料膨润土最大储存量为80t。</w:t>
            </w:r>
          </w:p>
          <w:p w14:paraId="19B6EDE0">
            <w:pPr>
              <w:pStyle w:val="65"/>
              <w:ind w:firstLine="480"/>
              <w:rPr>
                <w:rFonts w:eastAsiaTheme="minorEastAsia"/>
                <w:color w:val="0000FF"/>
              </w:rPr>
            </w:pPr>
            <w:r>
              <w:rPr>
                <w:rFonts w:eastAsiaTheme="minorEastAsia"/>
                <w:color w:val="0000FF"/>
              </w:rPr>
              <w:t>（3）成品热造块最大储存量</w:t>
            </w:r>
          </w:p>
          <w:p w14:paraId="19D06DAA">
            <w:pPr>
              <w:pStyle w:val="65"/>
              <w:ind w:firstLine="480"/>
              <w:rPr>
                <w:rFonts w:eastAsiaTheme="minorEastAsia"/>
                <w:color w:val="0000FF"/>
              </w:rPr>
            </w:pPr>
            <w:r>
              <w:rPr>
                <w:rFonts w:eastAsiaTheme="minorEastAsia"/>
                <w:color w:val="0000FF"/>
              </w:rPr>
              <w:t>成品热造块为锰矿石废料经破碎、混料、造球、烘干加工后的球块状产品，于成品库内堆存，贮存区域面积200m²。</w:t>
            </w:r>
          </w:p>
          <w:p w14:paraId="6C0BCA94">
            <w:pPr>
              <w:pStyle w:val="65"/>
              <w:ind w:firstLine="480"/>
              <w:rPr>
                <w:rFonts w:eastAsiaTheme="minorEastAsia"/>
                <w:color w:val="0000FF"/>
              </w:rPr>
            </w:pPr>
            <w:r>
              <w:rPr>
                <w:rFonts w:eastAsiaTheme="minorEastAsia"/>
                <w:color w:val="0000FF"/>
              </w:rPr>
              <w:t>根据《松散物料的堆密度和安息角》等技术资料，块状锰物料的堆存密度一般为2.0～2.4t/m³，本项目取2.2t/m³；块状物料的安息角一般为30°～35°，本项目取32°。堆体形状按棱台考虑，底部完全利用贮存区域，顶部因堆积角自然收缩。堆高设计为2.0m。</w:t>
            </w:r>
          </w:p>
          <w:p w14:paraId="1B6775F8">
            <w:pPr>
              <w:pStyle w:val="65"/>
              <w:ind w:firstLine="480"/>
              <w:rPr>
                <w:rFonts w:eastAsiaTheme="minorEastAsia"/>
                <w:color w:val="0000FF"/>
              </w:rPr>
            </w:pPr>
            <w:r>
              <w:rPr>
                <w:rFonts w:eastAsiaTheme="minorEastAsia"/>
                <w:color w:val="0000FF"/>
              </w:rPr>
              <w:t>顶部面积根据底部几何形状结合堆高和安息角计算：</w:t>
            </w:r>
          </w:p>
          <w:p w14:paraId="6B257BA4">
            <w:pPr>
              <w:pStyle w:val="65"/>
              <w:ind w:firstLine="480"/>
              <w:rPr>
                <w:rFonts w:eastAsiaTheme="minorEastAsia"/>
                <w:color w:val="0000FF"/>
              </w:rPr>
            </w:pPr>
            <w:r>
              <w:rPr>
                <w:rFonts w:eastAsiaTheme="minorEastAsia"/>
                <w:color w:val="0000FF"/>
              </w:rPr>
              <w:t>底边长=√200=14.14m</w:t>
            </w:r>
          </w:p>
          <w:p w14:paraId="18052689">
            <w:pPr>
              <w:pStyle w:val="65"/>
              <w:ind w:firstLine="480"/>
              <w:rPr>
                <w:rFonts w:eastAsiaTheme="minorEastAsia"/>
                <w:color w:val="0000FF"/>
              </w:rPr>
            </w:pPr>
            <w:r>
              <w:rPr>
                <w:rFonts w:eastAsiaTheme="minorEastAsia"/>
                <w:color w:val="0000FF"/>
              </w:rPr>
              <w:t>水平退缩量=H/tan32°=2.0/0.6249=3.20m</w:t>
            </w:r>
          </w:p>
          <w:p w14:paraId="18A4153D">
            <w:pPr>
              <w:pStyle w:val="65"/>
              <w:ind w:firstLine="480"/>
              <w:rPr>
                <w:rFonts w:eastAsiaTheme="minorEastAsia"/>
                <w:color w:val="0000FF"/>
              </w:rPr>
            </w:pPr>
            <w:r>
              <w:rPr>
                <w:rFonts w:eastAsiaTheme="minorEastAsia"/>
                <w:color w:val="0000FF"/>
              </w:rPr>
              <w:t>顶边长=14.14-2×3.20=7.74m</w:t>
            </w:r>
          </w:p>
          <w:p w14:paraId="69CF72DD">
            <w:pPr>
              <w:pStyle w:val="65"/>
              <w:ind w:firstLine="480"/>
              <w:rPr>
                <w:rFonts w:eastAsiaTheme="minorEastAsia"/>
                <w:color w:val="0000FF"/>
              </w:rPr>
            </w:pPr>
            <w:r>
              <w:rPr>
                <w:rFonts w:eastAsiaTheme="minorEastAsia"/>
                <w:color w:val="0000FF"/>
              </w:rPr>
              <w:t>顶部面积St=7.74²=59.9m²</w:t>
            </w:r>
          </w:p>
          <w:p w14:paraId="567680D8">
            <w:pPr>
              <w:pStyle w:val="65"/>
              <w:ind w:firstLine="480"/>
              <w:rPr>
                <w:rFonts w:eastAsiaTheme="minorEastAsia"/>
                <w:color w:val="0000FF"/>
              </w:rPr>
            </w:pPr>
            <w:r>
              <w:rPr>
                <w:rFonts w:eastAsiaTheme="minorEastAsia"/>
                <w:color w:val="0000FF"/>
              </w:rPr>
              <w:t>采用棱台体积公式计算有效堆存体积：</w:t>
            </w:r>
          </w:p>
          <w:p w14:paraId="1B39C247">
            <w:pPr>
              <w:pStyle w:val="65"/>
              <w:ind w:firstLine="480"/>
              <w:rPr>
                <w:rFonts w:eastAsiaTheme="minorEastAsia"/>
                <w:color w:val="0000FF"/>
              </w:rPr>
            </w:pPr>
            <w:r>
              <w:rPr>
                <w:rFonts w:eastAsiaTheme="minorEastAsia"/>
                <w:color w:val="0000FF"/>
              </w:rPr>
              <w:t>V=</w:t>
            </w:r>
            <w:r>
              <w:rPr>
                <w:rFonts w:hint="eastAsia" w:eastAsiaTheme="minorEastAsia"/>
                <w:color w:val="0000FF"/>
              </w:rPr>
              <w:t>（</w:t>
            </w:r>
            <w:r>
              <w:rPr>
                <w:rFonts w:eastAsiaTheme="minorEastAsia"/>
                <w:color w:val="0000FF"/>
              </w:rPr>
              <w:t>H/3</w:t>
            </w:r>
            <w:r>
              <w:rPr>
                <w:rFonts w:hint="eastAsia" w:eastAsiaTheme="minorEastAsia"/>
                <w:color w:val="0000FF"/>
              </w:rPr>
              <w:t>）</w:t>
            </w:r>
            <w:r>
              <w:rPr>
                <w:rFonts w:eastAsiaTheme="minorEastAsia"/>
                <w:color w:val="0000FF"/>
              </w:rPr>
              <w:t>×</w:t>
            </w:r>
            <w:r>
              <w:rPr>
                <w:rFonts w:hint="eastAsia" w:eastAsiaTheme="minorEastAsia"/>
                <w:color w:val="0000FF"/>
              </w:rPr>
              <w:t>（</w:t>
            </w:r>
            <w:r>
              <w:rPr>
                <w:rFonts w:eastAsiaTheme="minorEastAsia"/>
                <w:color w:val="0000FF"/>
              </w:rPr>
              <w:t>Sb+St+√</w:t>
            </w:r>
            <w:r>
              <w:rPr>
                <w:rFonts w:hint="eastAsia" w:eastAsiaTheme="minorEastAsia"/>
                <w:color w:val="0000FF"/>
              </w:rPr>
              <w:t>（</w:t>
            </w:r>
            <w:r>
              <w:rPr>
                <w:rFonts w:eastAsiaTheme="minorEastAsia"/>
                <w:color w:val="0000FF"/>
              </w:rPr>
              <w:t>Sb×St</w:t>
            </w:r>
            <w:r>
              <w:rPr>
                <w:rFonts w:hint="eastAsia" w:eastAsiaTheme="minorEastAsia"/>
                <w:color w:val="0000FF"/>
              </w:rPr>
              <w:t>））</w:t>
            </w:r>
          </w:p>
          <w:p w14:paraId="11DECF2D">
            <w:pPr>
              <w:pStyle w:val="65"/>
              <w:ind w:firstLine="480"/>
              <w:rPr>
                <w:rFonts w:eastAsiaTheme="minorEastAsia"/>
                <w:color w:val="0000FF"/>
              </w:rPr>
            </w:pPr>
            <w:r>
              <w:rPr>
                <w:rFonts w:eastAsiaTheme="minorEastAsia"/>
                <w:color w:val="0000FF"/>
              </w:rPr>
              <w:t>V=</w:t>
            </w:r>
            <w:r>
              <w:rPr>
                <w:rFonts w:hint="eastAsia" w:eastAsiaTheme="minorEastAsia"/>
                <w:color w:val="0000FF"/>
              </w:rPr>
              <w:t>（</w:t>
            </w:r>
            <w:r>
              <w:rPr>
                <w:rFonts w:eastAsiaTheme="minorEastAsia"/>
                <w:color w:val="0000FF"/>
              </w:rPr>
              <w:t>2.0/3</w:t>
            </w:r>
            <w:r>
              <w:rPr>
                <w:rFonts w:hint="eastAsia" w:eastAsiaTheme="minorEastAsia"/>
                <w:color w:val="0000FF"/>
              </w:rPr>
              <w:t>）</w:t>
            </w:r>
            <w:r>
              <w:rPr>
                <w:rFonts w:eastAsiaTheme="minorEastAsia"/>
                <w:color w:val="0000FF"/>
              </w:rPr>
              <w:t>×</w:t>
            </w:r>
            <w:r>
              <w:rPr>
                <w:rFonts w:hint="eastAsia" w:eastAsiaTheme="minorEastAsia"/>
                <w:color w:val="0000FF"/>
              </w:rPr>
              <w:t>（</w:t>
            </w:r>
            <w:r>
              <w:rPr>
                <w:rFonts w:eastAsiaTheme="minorEastAsia"/>
                <w:color w:val="0000FF"/>
              </w:rPr>
              <w:t>200+59.9+√</w:t>
            </w:r>
            <w:r>
              <w:rPr>
                <w:rFonts w:hint="eastAsia" w:eastAsiaTheme="minorEastAsia"/>
                <w:color w:val="0000FF"/>
              </w:rPr>
              <w:t>（</w:t>
            </w:r>
            <w:r>
              <w:rPr>
                <w:rFonts w:eastAsiaTheme="minorEastAsia"/>
                <w:color w:val="0000FF"/>
              </w:rPr>
              <w:t>200×59.9</w:t>
            </w:r>
            <w:r>
              <w:rPr>
                <w:rFonts w:hint="eastAsia" w:eastAsiaTheme="minorEastAsia"/>
                <w:color w:val="0000FF"/>
              </w:rPr>
              <w:t>））</w:t>
            </w:r>
            <w:r>
              <w:rPr>
                <w:rFonts w:eastAsiaTheme="minorEastAsia"/>
                <w:color w:val="0000FF"/>
              </w:rPr>
              <w:t>=246.3m³</w:t>
            </w:r>
          </w:p>
          <w:p w14:paraId="2BBE995C">
            <w:pPr>
              <w:pStyle w:val="65"/>
              <w:ind w:firstLine="480"/>
              <w:rPr>
                <w:rFonts w:eastAsiaTheme="minorEastAsia"/>
                <w:color w:val="0000FF"/>
              </w:rPr>
            </w:pPr>
            <w:r>
              <w:rPr>
                <w:rFonts w:eastAsiaTheme="minorEastAsia"/>
                <w:color w:val="0000FF"/>
              </w:rPr>
              <w:t>物料堆存密度为2.2t/m³，计算理论最大堆存量：246.3×2.2≈542t。因此，成品热造块最大储存量约为542t。</w:t>
            </w:r>
          </w:p>
          <w:p w14:paraId="4A0E381C">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11、水平衡</w:t>
            </w:r>
          </w:p>
          <w:p w14:paraId="1E8B7446">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生活用水</w:t>
            </w:r>
          </w:p>
          <w:p w14:paraId="66F85CB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本项目员工7人，根据《辽宁省行业用水定额》（DB21/T1237-2026），生活用水量按45L/人·d计。年工作时间180天，则生活用水量为56.7m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/a。污水系数按用水量的80%计算生活污水排放量约为45.36m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/a。生活污水排入化粪池，定期清掏堆肥，不外排。</w:t>
            </w:r>
          </w:p>
          <w:p w14:paraId="61090C8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原料库、成品库降尘用水</w:t>
            </w:r>
          </w:p>
          <w:p w14:paraId="333183A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原料库、成品库降尘用水按照0.001m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计算，洒水次数按每天2次，本项目原料库总面积为250m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，成品库面积为200m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，则原料库降尘用水为0.9m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/d（162m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/a），该部分用水全部蒸发损耗。</w:t>
            </w:r>
          </w:p>
          <w:p w14:paraId="0D94B939">
            <w:pPr>
              <w:pStyle w:val="51"/>
              <w:spacing w:before="156"/>
              <w:rPr>
                <w:rFonts w:cs="Times New Roman"/>
                <w:color w:val="000000" w:themeColor="text1"/>
                <w14:textFill>
                  <w14:solidFill>
                    <w14:schemeClr w14:val="tx1"/>
                  </w14:solidFill>
                </w14:textFill>
              </w:rPr>
            </w:pPr>
            <w:r>
              <w:rPr>
                <w:rFonts w:cs="Times New Roman"/>
              </w:rPr>
              <w:drawing>
                <wp:inline distT="0" distB="0" distL="0" distR="0">
                  <wp:extent cx="5133975" cy="4210050"/>
                  <wp:effectExtent l="0" t="0" r="9525" b="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9"/>
                          <a:stretch>
                            <a:fillRect/>
                          </a:stretch>
                        </pic:blipFill>
                        <pic:spPr>
                          <a:xfrm>
                            <a:off x="0" y="0"/>
                            <a:ext cx="5133975" cy="4210050"/>
                          </a:xfrm>
                          <a:prstGeom prst="rect">
                            <a:avLst/>
                          </a:prstGeom>
                          <a:noFill/>
                          <a:ln w="9525">
                            <a:noFill/>
                          </a:ln>
                        </pic:spPr>
                      </pic:pic>
                    </a:graphicData>
                  </a:graphic>
                </wp:inline>
              </w:drawing>
            </w:r>
          </w:p>
          <w:p w14:paraId="1D92767B">
            <w:pPr>
              <w:pStyle w:val="50"/>
              <w:rPr>
                <w:color w:val="0000FF"/>
              </w:rPr>
            </w:pPr>
            <w:r>
              <w:rPr>
                <w:color w:val="0000FF"/>
              </w:rPr>
              <w:t>图2-4 本项目水平衡图（单位：t/a）</w:t>
            </w:r>
          </w:p>
          <w:p w14:paraId="16D81E0F">
            <w:pPr>
              <w:pStyle w:val="136"/>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混料工艺用水</w:t>
            </w:r>
          </w:p>
          <w:p w14:paraId="7C05E2F6">
            <w:pPr>
              <w:pStyle w:val="136"/>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本项目为使造粒工艺稳定产出块状物料，在混料环节加水保证物料的含水率，用水量约为2t/100t原料，每年混合原料量5万t，即混料用水量为1000t/a。</w:t>
            </w:r>
          </w:p>
          <w:p w14:paraId="08E0FC72">
            <w:pPr>
              <w:pStyle w:val="136"/>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脱硫补充用水</w:t>
            </w:r>
          </w:p>
          <w:p w14:paraId="3A41454E">
            <w:pPr>
              <w:pStyle w:val="136"/>
              <w:ind w:firstLine="480"/>
              <w:rPr>
                <w:rFonts w:eastAsiaTheme="minorEastAsia"/>
                <w:color w:val="0000FF"/>
              </w:rPr>
            </w:pPr>
            <w:r>
              <w:rPr>
                <w:rFonts w:eastAsiaTheme="minorEastAsia"/>
                <w:color w:val="0000FF"/>
              </w:rPr>
              <w:t>本项目通过控制烘干温度，控制产生的二氧化硫浓度，根据污染源分析，产生浓度为</w:t>
            </w:r>
            <w:r>
              <w:rPr>
                <w:rFonts w:eastAsiaTheme="minorEastAsia"/>
                <w:color w:val="0000FF"/>
                <w:kern w:val="2"/>
              </w:rPr>
              <w:t>650.2375</w:t>
            </w:r>
            <w:r>
              <w:rPr>
                <w:rFonts w:eastAsiaTheme="minorEastAsia"/>
                <w:color w:val="0000FF"/>
              </w:rPr>
              <w:t>mg/m</w:t>
            </w:r>
            <w:r>
              <w:rPr>
                <w:rFonts w:eastAsiaTheme="minorEastAsia"/>
                <w:color w:val="0000FF"/>
                <w:vertAlign w:val="superscript"/>
              </w:rPr>
              <w:t>3</w:t>
            </w:r>
            <w:r>
              <w:rPr>
                <w:rFonts w:eastAsiaTheme="minorEastAsia"/>
                <w:color w:val="0000FF"/>
              </w:rPr>
              <w:t>，本项目采用湿法脱硫（石灰石-石膏法）进一步减少污染物的排放。产生脱硫石膏干重5.9t，湿重（含结晶水及游离水）8.29t，其中含结晶水1.56t、游离水</w:t>
            </w:r>
            <w:r>
              <w:rPr>
                <w:rFonts w:eastAsiaTheme="minorEastAsia"/>
                <w:color w:val="0000FF"/>
                <w:shd w:val="clear" w:color="auto" w:fill="FFFFFF"/>
              </w:rPr>
              <w:t>约0.83t，合计含水2.39t。</w:t>
            </w:r>
          </w:p>
          <w:p w14:paraId="750C9B66">
            <w:pPr>
              <w:pStyle w:val="136"/>
              <w:ind w:firstLine="480"/>
              <w:jc w:val="both"/>
              <w:rPr>
                <w:rFonts w:eastAsiaTheme="minorEastAsia"/>
                <w:color w:val="0000FF"/>
              </w:rPr>
            </w:pPr>
            <w:r>
              <w:rPr>
                <w:rFonts w:eastAsiaTheme="minorEastAsia"/>
                <w:color w:val="0000FF"/>
              </w:rPr>
              <w:t>a.蒸发损失</w:t>
            </w:r>
          </w:p>
          <w:p w14:paraId="7FB27EA1">
            <w:pPr>
              <w:pStyle w:val="136"/>
              <w:ind w:firstLine="480"/>
              <w:jc w:val="both"/>
              <w:rPr>
                <w:rFonts w:eastAsiaTheme="minorEastAsia"/>
                <w:color w:val="0000FF"/>
              </w:rPr>
            </w:pPr>
            <w:r>
              <w:rPr>
                <w:rFonts w:eastAsiaTheme="minorEastAsia"/>
                <w:color w:val="0000FF"/>
              </w:rPr>
              <w:t>废气处理量为5000m</w:t>
            </w:r>
            <w:r>
              <w:rPr>
                <w:rFonts w:eastAsiaTheme="minorEastAsia"/>
                <w:color w:val="0000FF"/>
                <w:vertAlign w:val="superscript"/>
              </w:rPr>
              <w:t>3</w:t>
            </w:r>
            <w:r>
              <w:rPr>
                <w:rFonts w:eastAsiaTheme="minorEastAsia"/>
                <w:color w:val="0000FF"/>
              </w:rPr>
              <w:t>/h，喷淋塔气液比为2 L/m</w:t>
            </w:r>
            <w:r>
              <w:rPr>
                <w:rFonts w:eastAsiaTheme="minorEastAsia"/>
                <w:color w:val="0000FF"/>
                <w:vertAlign w:val="superscript"/>
              </w:rPr>
              <w:t>3</w:t>
            </w:r>
            <w:r>
              <w:rPr>
                <w:rFonts w:eastAsiaTheme="minorEastAsia"/>
                <w:color w:val="0000FF"/>
              </w:rPr>
              <w:t>，计算得出循环水量为10m</w:t>
            </w:r>
            <w:r>
              <w:rPr>
                <w:rFonts w:eastAsiaTheme="minorEastAsia"/>
                <w:color w:val="0000FF"/>
                <w:vertAlign w:val="superscript"/>
              </w:rPr>
              <w:t>3</w:t>
            </w:r>
            <w:r>
              <w:rPr>
                <w:rFonts w:eastAsiaTheme="minorEastAsia"/>
                <w:color w:val="0000FF"/>
              </w:rPr>
              <w:t>/h（28800t/a），考虑蒸发等损失（约占循环量的10%），补充水量为1m³/h，本项目年运行2880h，则湿法脱硫用新鲜水量为2880m</w:t>
            </w:r>
            <w:r>
              <w:rPr>
                <w:rFonts w:eastAsiaTheme="minorEastAsia"/>
                <w:color w:val="0000FF"/>
                <w:vertAlign w:val="superscript"/>
              </w:rPr>
              <w:t>3</w:t>
            </w:r>
            <w:r>
              <w:rPr>
                <w:rFonts w:eastAsiaTheme="minorEastAsia"/>
                <w:color w:val="0000FF"/>
              </w:rPr>
              <w:t>/a，脱硫环节水回用率为90%，脱硫水喷淋后进入沉淀池内，沉淀后上清液循环回脱硫喷淋塔。</w:t>
            </w:r>
          </w:p>
          <w:p w14:paraId="7DB0D9F3">
            <w:pPr>
              <w:pStyle w:val="65"/>
              <w:ind w:firstLine="480"/>
              <w:rPr>
                <w:rFonts w:eastAsiaTheme="minorEastAsia"/>
                <w:color w:val="0000FF"/>
              </w:rPr>
            </w:pPr>
            <w:r>
              <w:rPr>
                <w:rFonts w:eastAsiaTheme="minorEastAsia"/>
                <w:color w:val="0000FF"/>
              </w:rPr>
              <w:t>b.脱硫石膏带出水</w:t>
            </w:r>
          </w:p>
          <w:p w14:paraId="04A63C09">
            <w:pPr>
              <w:pStyle w:val="65"/>
              <w:ind w:firstLine="482"/>
              <w:rPr>
                <w:rFonts w:eastAsiaTheme="minorEastAsia"/>
                <w:b/>
                <w:bCs/>
                <w:color w:val="0000FF"/>
              </w:rPr>
            </w:pPr>
            <w:r>
              <w:rPr>
                <w:rFonts w:eastAsiaTheme="minorEastAsia"/>
                <w:b/>
                <w:bCs/>
                <w:color w:val="0000FF"/>
              </w:rPr>
              <w:t>结晶水：</w:t>
            </w:r>
          </w:p>
          <w:p w14:paraId="7859E960">
            <w:pPr>
              <w:pStyle w:val="65"/>
              <w:ind w:firstLine="480"/>
              <w:rPr>
                <w:rFonts w:eastAsiaTheme="minorEastAsia"/>
                <w:color w:val="0000FF"/>
              </w:rPr>
            </w:pPr>
            <w:r>
              <w:rPr>
                <w:rFonts w:eastAsiaTheme="minorEastAsia"/>
                <w:color w:val="0000FF"/>
              </w:rPr>
              <w:t>因脱硫石膏的主要成分为CaSO₄</w:t>
            </w:r>
            <w:r>
              <w:rPr>
                <w:color w:val="0000FF"/>
              </w:rPr>
              <w:t>·</w:t>
            </w:r>
            <w:r>
              <w:rPr>
                <w:rFonts w:eastAsiaTheme="minorEastAsia"/>
                <w:color w:val="0000FF"/>
              </w:rPr>
              <w:t>2H₂O，其中CaSO₄质量约为5.9t，各元素相对原子质量取Ca=40，S=32，O=16，H=1，根据其化学式质量分数计算其结晶水质量。</w:t>
            </w:r>
          </w:p>
          <w:p w14:paraId="2C5B0C5A">
            <w:pPr>
              <w:pStyle w:val="65"/>
              <w:ind w:firstLine="480"/>
              <w:rPr>
                <w:rFonts w:eastAsiaTheme="minorEastAsia"/>
                <w:color w:val="0000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rFonts w:hint="eastAsia" w:eastAsiaTheme="minorEastAsia"/>
                <w:color w:val="0000FF"/>
                <w:shd w:val="clear" w:color="auto" w:fill="FFFFFF"/>
              </w:rPr>
              <w:t>）</w:t>
            </w:r>
            <w:r>
              <w:rPr>
                <w:rFonts w:eastAsiaTheme="minorEastAsia"/>
                <w:color w:val="0000FF"/>
                <w:shd w:val="clear" w:color="auto" w:fill="FFFFFF"/>
              </w:rPr>
              <w:t>=40+32+16</w:t>
            </w:r>
            <w:r>
              <w:rPr>
                <w:color w:val="0000FF"/>
                <w:shd w:val="clear" w:color="auto" w:fill="FFFFFF"/>
              </w:rPr>
              <w:t>×</w:t>
            </w:r>
            <w:r>
              <w:rPr>
                <w:rFonts w:eastAsiaTheme="minorEastAsia"/>
                <w:color w:val="0000FF"/>
                <w:shd w:val="clear" w:color="auto" w:fill="FFFFFF"/>
              </w:rPr>
              <w:t>4=</w:t>
            </w:r>
            <w:r>
              <w:rPr>
                <w:rStyle w:val="38"/>
                <w:rFonts w:eastAsiaTheme="minorEastAsia"/>
                <w:b w:val="0"/>
                <w:bCs w:val="0"/>
                <w:color w:val="0000FF"/>
                <w:shd w:val="clear" w:color="auto" w:fill="FFFFFF"/>
              </w:rPr>
              <w:t>136</w:t>
            </w:r>
          </w:p>
          <w:p w14:paraId="3BF59191">
            <w:pPr>
              <w:pStyle w:val="65"/>
              <w:ind w:firstLine="480"/>
              <w:rPr>
                <w:rFonts w:eastAsiaTheme="minorEastAsia"/>
                <w:color w:val="0000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color w:val="0000FF"/>
                <w:shd w:val="clear" w:color="auto" w:fill="FFFFFF"/>
              </w:rPr>
              <w:t>·</w:t>
            </w:r>
            <w:r>
              <w:rPr>
                <w:rFonts w:eastAsiaTheme="minorEastAsia"/>
                <w:color w:val="0000FF"/>
                <w:shd w:val="clear" w:color="auto" w:fill="FFFFFF"/>
              </w:rPr>
              <w:t>2H₂O</w:t>
            </w:r>
            <w:r>
              <w:rPr>
                <w:rFonts w:hint="eastAsia" w:eastAsiaTheme="minorEastAsia"/>
                <w:color w:val="0000FF"/>
                <w:shd w:val="clear" w:color="auto" w:fill="FFFFFF"/>
              </w:rPr>
              <w:t>）</w:t>
            </w:r>
            <w:r>
              <w:rPr>
                <w:rFonts w:eastAsiaTheme="minorEastAsia"/>
                <w:color w:val="0000FF"/>
                <w:shd w:val="clear" w:color="auto" w:fill="FFFFFF"/>
              </w:rPr>
              <w:t>=136+2</w:t>
            </w:r>
            <w:r>
              <w:rPr>
                <w:color w:val="0000FF"/>
                <w:shd w:val="clear" w:color="auto" w:fill="FFFFFF"/>
              </w:rPr>
              <w:t>×</w:t>
            </w:r>
            <w:r>
              <w:rPr>
                <w:rFonts w:hint="eastAsia" w:eastAsiaTheme="minorEastAsia"/>
                <w:color w:val="0000FF"/>
                <w:shd w:val="clear" w:color="auto" w:fill="FFFFFF"/>
              </w:rPr>
              <w:t>（</w:t>
            </w:r>
            <w:r>
              <w:rPr>
                <w:rFonts w:eastAsiaTheme="minorEastAsia"/>
                <w:color w:val="0000FF"/>
                <w:shd w:val="clear" w:color="auto" w:fill="FFFFFF"/>
              </w:rPr>
              <w:t>1</w:t>
            </w:r>
            <w:r>
              <w:rPr>
                <w:color w:val="0000FF"/>
                <w:shd w:val="clear" w:color="auto" w:fill="FFFFFF"/>
              </w:rPr>
              <w:t>×</w:t>
            </w:r>
            <w:r>
              <w:rPr>
                <w:rFonts w:eastAsiaTheme="minorEastAsia"/>
                <w:color w:val="0000FF"/>
                <w:shd w:val="clear" w:color="auto" w:fill="FFFFFF"/>
              </w:rPr>
              <w:t>2+16</w:t>
            </w:r>
            <w:r>
              <w:rPr>
                <w:rFonts w:hint="eastAsia" w:eastAsiaTheme="minorEastAsia"/>
                <w:color w:val="0000FF"/>
                <w:shd w:val="clear" w:color="auto" w:fill="FFFFFF"/>
              </w:rPr>
              <w:t>）</w:t>
            </w:r>
            <w:r>
              <w:rPr>
                <w:rFonts w:eastAsiaTheme="minorEastAsia"/>
                <w:color w:val="0000FF"/>
                <w:shd w:val="clear" w:color="auto" w:fill="FFFFFF"/>
              </w:rPr>
              <w:t>=</w:t>
            </w:r>
            <w:r>
              <w:rPr>
                <w:rStyle w:val="38"/>
                <w:rFonts w:eastAsiaTheme="minorEastAsia"/>
                <w:b w:val="0"/>
                <w:bCs w:val="0"/>
                <w:color w:val="0000FF"/>
                <w:shd w:val="clear" w:color="auto" w:fill="FFFFFF"/>
              </w:rPr>
              <w:t>172</w:t>
            </w:r>
          </w:p>
          <w:p w14:paraId="56DE3C58">
            <w:pPr>
              <w:pStyle w:val="65"/>
              <w:ind w:firstLine="480"/>
              <w:rPr>
                <w:rFonts w:eastAsiaTheme="minorEastAsia"/>
                <w:color w:val="0000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2H₂O</w:t>
            </w:r>
            <w:r>
              <w:rPr>
                <w:rFonts w:hint="eastAsia" w:eastAsiaTheme="minorEastAsia"/>
                <w:color w:val="0000FF"/>
                <w:shd w:val="clear" w:color="auto" w:fill="FFFFFF"/>
              </w:rPr>
              <w:t>）</w:t>
            </w:r>
            <w:r>
              <w:rPr>
                <w:rFonts w:eastAsiaTheme="minorEastAsia"/>
                <w:color w:val="0000FF"/>
                <w:shd w:val="clear" w:color="auto" w:fill="FFFFFF"/>
              </w:rPr>
              <w:t>=2</w:t>
            </w:r>
            <w:r>
              <w:rPr>
                <w:color w:val="0000FF"/>
                <w:shd w:val="clear" w:color="auto" w:fill="FFFFFF"/>
              </w:rPr>
              <w:t>×</w:t>
            </w:r>
            <w:r>
              <w:rPr>
                <w:rFonts w:hint="eastAsia" w:eastAsiaTheme="minorEastAsia"/>
                <w:color w:val="0000FF"/>
                <w:shd w:val="clear" w:color="auto" w:fill="FFFFFF"/>
              </w:rPr>
              <w:t>（</w:t>
            </w:r>
            <w:r>
              <w:rPr>
                <w:rFonts w:eastAsiaTheme="minorEastAsia"/>
                <w:color w:val="0000FF"/>
                <w:shd w:val="clear" w:color="auto" w:fill="FFFFFF"/>
              </w:rPr>
              <w:t>1</w:t>
            </w:r>
            <w:r>
              <w:rPr>
                <w:color w:val="0000FF"/>
                <w:shd w:val="clear" w:color="auto" w:fill="FFFFFF"/>
              </w:rPr>
              <w:t>×</w:t>
            </w:r>
            <w:r>
              <w:rPr>
                <w:rFonts w:eastAsiaTheme="minorEastAsia"/>
                <w:color w:val="0000FF"/>
                <w:shd w:val="clear" w:color="auto" w:fill="FFFFFF"/>
              </w:rPr>
              <w:t>2+16</w:t>
            </w:r>
            <w:r>
              <w:rPr>
                <w:rFonts w:hint="eastAsia" w:eastAsiaTheme="minorEastAsia"/>
                <w:color w:val="0000FF"/>
                <w:shd w:val="clear" w:color="auto" w:fill="FFFFFF"/>
              </w:rPr>
              <w:t>）</w:t>
            </w:r>
            <w:r>
              <w:rPr>
                <w:rFonts w:eastAsiaTheme="minorEastAsia"/>
                <w:color w:val="0000FF"/>
                <w:shd w:val="clear" w:color="auto" w:fill="FFFFFF"/>
              </w:rPr>
              <w:t>=</w:t>
            </w:r>
            <w:r>
              <w:rPr>
                <w:rStyle w:val="38"/>
                <w:rFonts w:eastAsiaTheme="minorEastAsia"/>
                <w:b w:val="0"/>
                <w:bCs w:val="0"/>
                <w:color w:val="0000FF"/>
                <w:shd w:val="clear" w:color="auto" w:fill="FFFFFF"/>
              </w:rPr>
              <w:t>36</w:t>
            </w:r>
          </w:p>
          <w:p w14:paraId="26BDDF8D">
            <w:pPr>
              <w:pStyle w:val="65"/>
              <w:ind w:firstLine="480"/>
              <w:rPr>
                <w:rFonts w:eastAsiaTheme="minorEastAsia"/>
                <w:color w:val="0000FF"/>
              </w:rPr>
            </w:pPr>
            <w:r>
              <w:rPr>
                <w:rFonts w:eastAsiaTheme="minorEastAsia"/>
                <w:color w:val="0000FF"/>
              </w:rPr>
              <w:t>因此：</w:t>
            </w:r>
          </w:p>
          <w:p w14:paraId="5D35E70F">
            <w:pPr>
              <w:pStyle w:val="65"/>
              <w:ind w:firstLine="480"/>
              <w:rPr>
                <w:rFonts w:eastAsiaTheme="minorEastAsia"/>
                <w:color w:val="0000FF"/>
              </w:rPr>
            </w:pPr>
            <w:r>
              <w:rPr>
                <w:rFonts w:eastAsiaTheme="minorEastAsia"/>
                <w:color w:val="0000FF"/>
                <w:shd w:val="clear" w:color="auto" w:fill="FFFFFF"/>
              </w:rPr>
              <w:t>K=172÷136≈1.2647</w:t>
            </w:r>
          </w:p>
          <w:p w14:paraId="77EE052F">
            <w:pPr>
              <w:pStyle w:val="65"/>
              <w:ind w:firstLine="480"/>
              <w:rPr>
                <w:rStyle w:val="38"/>
                <w:rFonts w:eastAsiaTheme="minorEastAsia"/>
                <w:color w:val="0000FF"/>
                <w:shd w:val="clear" w:color="auto" w:fill="FFFF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color w:val="0000FF"/>
                <w:shd w:val="clear" w:color="auto" w:fill="FFFFFF"/>
              </w:rPr>
              <w:t>·</w:t>
            </w:r>
            <w:r>
              <w:rPr>
                <w:rFonts w:eastAsiaTheme="minorEastAsia"/>
                <w:color w:val="0000FF"/>
                <w:shd w:val="clear" w:color="auto" w:fill="FFFFFF"/>
              </w:rPr>
              <w:t>2H₂O</w:t>
            </w:r>
            <w:r>
              <w:rPr>
                <w:rFonts w:hint="eastAsia" w:eastAsiaTheme="minorEastAsia"/>
                <w:color w:val="0000FF"/>
                <w:shd w:val="clear" w:color="auto" w:fill="FFFFFF"/>
              </w:rPr>
              <w:t>）</w:t>
            </w: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rFonts w:hint="eastAsia" w:eastAsiaTheme="minorEastAsia"/>
                <w:color w:val="0000FF"/>
                <w:shd w:val="clear" w:color="auto" w:fill="FFFFFF"/>
              </w:rPr>
              <w:t>）</w:t>
            </w:r>
            <w:r>
              <w:rPr>
                <w:color w:val="0000FF"/>
                <w:shd w:val="clear" w:color="auto" w:fill="FFFFFF"/>
              </w:rPr>
              <w:t>×</w:t>
            </w:r>
            <w:r>
              <w:rPr>
                <w:rFonts w:eastAsiaTheme="minorEastAsia"/>
                <w:color w:val="0000FF"/>
                <w:shd w:val="clear" w:color="auto" w:fill="FFFFFF"/>
              </w:rPr>
              <w:t>K=5.9</w:t>
            </w:r>
            <w:r>
              <w:rPr>
                <w:color w:val="0000FF"/>
                <w:shd w:val="clear" w:color="auto" w:fill="FFFFFF"/>
              </w:rPr>
              <w:t>×</w:t>
            </w:r>
            <w:r>
              <w:rPr>
                <w:rFonts w:eastAsiaTheme="minorEastAsia"/>
                <w:color w:val="0000FF"/>
                <w:shd w:val="clear" w:color="auto" w:fill="FFFFFF"/>
              </w:rPr>
              <w:t>1.2647</w:t>
            </w:r>
            <w:r>
              <w:rPr>
                <w:color w:val="0000FF"/>
                <w:shd w:val="clear" w:color="auto" w:fill="FFFFFF"/>
              </w:rPr>
              <w:t>≈</w:t>
            </w:r>
            <w:r>
              <w:rPr>
                <w:rStyle w:val="38"/>
                <w:rFonts w:eastAsiaTheme="minorEastAsia"/>
                <w:b w:val="0"/>
                <w:bCs w:val="0"/>
                <w:color w:val="0000FF"/>
                <w:shd w:val="clear" w:color="auto" w:fill="FFFFFF"/>
              </w:rPr>
              <w:t>7.46t</w:t>
            </w:r>
          </w:p>
          <w:p w14:paraId="0149DB02">
            <w:pPr>
              <w:pStyle w:val="65"/>
              <w:ind w:firstLine="480"/>
              <w:rPr>
                <w:rStyle w:val="38"/>
                <w:rFonts w:eastAsiaTheme="minorEastAsia"/>
                <w:color w:val="0000FF"/>
                <w:shd w:val="clear" w:color="auto" w:fill="FFFF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H₂O</w:t>
            </w:r>
            <w:r>
              <w:rPr>
                <w:rFonts w:hint="eastAsia" w:eastAsiaTheme="minorEastAsia"/>
                <w:color w:val="0000FF"/>
                <w:shd w:val="clear" w:color="auto" w:fill="FFFFFF"/>
              </w:rPr>
              <w:t>）</w:t>
            </w: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color w:val="0000FF"/>
                <w:shd w:val="clear" w:color="auto" w:fill="FFFFFF"/>
              </w:rPr>
              <w:t>·</w:t>
            </w:r>
            <w:r>
              <w:rPr>
                <w:rFonts w:eastAsiaTheme="minorEastAsia"/>
                <w:color w:val="0000FF"/>
                <w:shd w:val="clear" w:color="auto" w:fill="FFFFFF"/>
              </w:rPr>
              <w:t>2H₂O</w:t>
            </w:r>
            <w:r>
              <w:rPr>
                <w:rFonts w:hint="eastAsia" w:eastAsiaTheme="minorEastAsia"/>
                <w:color w:val="0000FF"/>
                <w:shd w:val="clear" w:color="auto" w:fill="FFFFFF"/>
              </w:rPr>
              <w:t>）</w:t>
            </w:r>
            <w:r>
              <w:rPr>
                <w:rFonts w:eastAsia="微软雅黑"/>
                <w:color w:val="0000FF"/>
                <w:shd w:val="clear" w:color="auto" w:fill="FFFFFF"/>
              </w:rPr>
              <w:t>−</w:t>
            </w: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CaSO₄</w:t>
            </w:r>
            <w:r>
              <w:rPr>
                <w:rFonts w:hint="eastAsia" w:eastAsiaTheme="minorEastAsia"/>
                <w:color w:val="0000FF"/>
                <w:shd w:val="clear" w:color="auto" w:fill="FFFFFF"/>
              </w:rPr>
              <w:t>）</w:t>
            </w:r>
            <w:r>
              <w:rPr>
                <w:rFonts w:eastAsiaTheme="minorEastAsia"/>
                <w:color w:val="0000FF"/>
                <w:shd w:val="clear" w:color="auto" w:fill="FFFFFF"/>
              </w:rPr>
              <w:t>=7.46</w:t>
            </w:r>
            <w:r>
              <w:rPr>
                <w:rFonts w:eastAsia="微软雅黑"/>
                <w:color w:val="0000FF"/>
                <w:shd w:val="clear" w:color="auto" w:fill="FFFFFF"/>
              </w:rPr>
              <w:t>−</w:t>
            </w:r>
            <w:r>
              <w:rPr>
                <w:rFonts w:eastAsiaTheme="minorEastAsia"/>
                <w:color w:val="0000FF"/>
                <w:shd w:val="clear" w:color="auto" w:fill="FFFFFF"/>
              </w:rPr>
              <w:t>5.9=</w:t>
            </w:r>
            <w:r>
              <w:rPr>
                <w:rStyle w:val="38"/>
                <w:rFonts w:eastAsiaTheme="minorEastAsia"/>
                <w:b w:val="0"/>
                <w:bCs w:val="0"/>
                <w:color w:val="0000FF"/>
                <w:shd w:val="clear" w:color="auto" w:fill="FFFFFF"/>
              </w:rPr>
              <w:t>1.56t</w:t>
            </w:r>
          </w:p>
          <w:p w14:paraId="096383D1">
            <w:pPr>
              <w:pStyle w:val="65"/>
              <w:ind w:firstLine="482"/>
              <w:rPr>
                <w:rFonts w:eastAsiaTheme="minorEastAsia"/>
                <w:b/>
                <w:bCs/>
                <w:color w:val="0000FF"/>
                <w:shd w:val="clear" w:color="auto" w:fill="FFFFFF"/>
              </w:rPr>
            </w:pPr>
            <w:r>
              <w:rPr>
                <w:rFonts w:eastAsiaTheme="minorEastAsia"/>
                <w:b/>
                <w:bCs/>
                <w:color w:val="0000FF"/>
                <w:shd w:val="clear" w:color="auto" w:fill="FFFFFF"/>
              </w:rPr>
              <w:t>游离水：</w:t>
            </w:r>
          </w:p>
          <w:p w14:paraId="49C4A339">
            <w:pPr>
              <w:pStyle w:val="65"/>
              <w:ind w:firstLine="480"/>
              <w:rPr>
                <w:rFonts w:eastAsiaTheme="minorEastAsia"/>
                <w:color w:val="0000FF"/>
                <w:kern w:val="0"/>
              </w:rPr>
            </w:pPr>
            <w:r>
              <w:rPr>
                <w:rFonts w:eastAsiaTheme="minorEastAsia"/>
                <w:color w:val="0000FF"/>
                <w:kern w:val="0"/>
              </w:rPr>
              <w:t>石膏CaSO₄</w:t>
            </w:r>
            <w:r>
              <w:rPr>
                <w:color w:val="0000FF"/>
                <w:kern w:val="0"/>
              </w:rPr>
              <w:t>·</w:t>
            </w:r>
            <w:r>
              <w:rPr>
                <w:rFonts w:eastAsiaTheme="minorEastAsia"/>
                <w:color w:val="0000FF"/>
                <w:kern w:val="0"/>
              </w:rPr>
              <w:t>2H₂O干重质量：m</w:t>
            </w:r>
            <w:r>
              <w:rPr>
                <w:rFonts w:hint="eastAsia" w:eastAsiaTheme="minorEastAsia"/>
                <w:color w:val="0000FF"/>
                <w:kern w:val="0"/>
              </w:rPr>
              <w:t>（</w:t>
            </w:r>
            <w:r>
              <w:rPr>
                <w:rFonts w:eastAsiaTheme="minorEastAsia"/>
                <w:color w:val="0000FF"/>
                <w:shd w:val="clear" w:color="auto" w:fill="FFFFFF"/>
              </w:rPr>
              <w:t>固</w:t>
            </w:r>
            <w:r>
              <w:rPr>
                <w:rFonts w:hint="eastAsia" w:eastAsiaTheme="minorEastAsia"/>
                <w:color w:val="0000FF"/>
                <w:kern w:val="0"/>
              </w:rPr>
              <w:t>）</w:t>
            </w:r>
            <w:r>
              <w:rPr>
                <w:rFonts w:eastAsiaTheme="minorEastAsia"/>
                <w:color w:val="0000FF"/>
                <w:kern w:val="0"/>
              </w:rPr>
              <w:t>=</w:t>
            </w:r>
            <w:r>
              <w:rPr>
                <w:rFonts w:eastAsiaTheme="minorEastAsia"/>
                <w:color w:val="0000FF"/>
                <w:shd w:val="clear" w:color="auto" w:fill="FFFFFF"/>
              </w:rPr>
              <w:t xml:space="preserve"> m</w:t>
            </w:r>
            <w:r>
              <w:rPr>
                <w:rFonts w:hint="eastAsia" w:eastAsiaTheme="minorEastAsia"/>
                <w:color w:val="0000FF"/>
                <w:shd w:val="clear" w:color="auto" w:fill="FFFFFF"/>
              </w:rPr>
              <w:t>（</w:t>
            </w:r>
            <w:r>
              <w:rPr>
                <w:rFonts w:eastAsiaTheme="minorEastAsia"/>
                <w:color w:val="0000FF"/>
                <w:shd w:val="clear" w:color="auto" w:fill="FFFFFF"/>
              </w:rPr>
              <w:t>CaSO₄</w:t>
            </w:r>
            <w:r>
              <w:rPr>
                <w:color w:val="0000FF"/>
                <w:shd w:val="clear" w:color="auto" w:fill="FFFFFF"/>
              </w:rPr>
              <w:t>·</w:t>
            </w:r>
            <w:r>
              <w:rPr>
                <w:rFonts w:eastAsiaTheme="minorEastAsia"/>
                <w:color w:val="0000FF"/>
                <w:shd w:val="clear" w:color="auto" w:fill="FFFFFF"/>
              </w:rPr>
              <w:t>2H₂O</w:t>
            </w:r>
            <w:r>
              <w:rPr>
                <w:rFonts w:hint="eastAsia" w:eastAsiaTheme="minorEastAsia"/>
                <w:color w:val="0000FF"/>
                <w:shd w:val="clear" w:color="auto" w:fill="FFFFFF"/>
              </w:rPr>
              <w:t>）</w:t>
            </w:r>
            <w:r>
              <w:rPr>
                <w:rFonts w:eastAsiaTheme="minorEastAsia"/>
                <w:color w:val="0000FF"/>
                <w:shd w:val="clear" w:color="auto" w:fill="FFFFFF"/>
              </w:rPr>
              <w:t>=</w:t>
            </w:r>
            <w:r>
              <w:rPr>
                <w:rFonts w:eastAsiaTheme="minorEastAsia"/>
                <w:color w:val="0000FF"/>
                <w:kern w:val="0"/>
              </w:rPr>
              <w:t>7.46t（其中结晶水1.56t）</w:t>
            </w:r>
          </w:p>
          <w:p w14:paraId="17B68CD3">
            <w:pPr>
              <w:pStyle w:val="65"/>
              <w:ind w:firstLine="480"/>
              <w:rPr>
                <w:rFonts w:eastAsiaTheme="minorEastAsia"/>
                <w:color w:val="0000FF"/>
                <w:kern w:val="0"/>
              </w:rPr>
            </w:pPr>
            <w:r>
              <w:rPr>
                <w:rFonts w:eastAsiaTheme="minorEastAsia"/>
                <w:color w:val="0000FF"/>
                <w:kern w:val="0"/>
              </w:rPr>
              <w:t>湿石膏表面含水率（湿基）约10%（脱硫设备内含简单的机械脱水），即ω=10%。</w:t>
            </w:r>
          </w:p>
          <w:p w14:paraId="514544FB">
            <w:pPr>
              <w:pStyle w:val="65"/>
              <w:ind w:firstLine="480"/>
              <w:rPr>
                <w:rFonts w:eastAsiaTheme="minorEastAsia"/>
                <w:color w:val="0000FF"/>
                <w:shd w:val="clear" w:color="auto" w:fill="FFFFFF"/>
              </w:rPr>
            </w:pP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水</w:t>
            </w:r>
            <w:r>
              <w:rPr>
                <w:rFonts w:hint="eastAsia" w:eastAsiaTheme="minorEastAsia"/>
                <w:color w:val="0000FF"/>
                <w:shd w:val="clear" w:color="auto" w:fill="FFFFFF"/>
              </w:rPr>
              <w:t>）</w:t>
            </w: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固</w:t>
            </w:r>
            <w:r>
              <w:rPr>
                <w:rFonts w:hint="eastAsia" w:eastAsiaTheme="minorEastAsia"/>
                <w:color w:val="0000FF"/>
                <w:shd w:val="clear" w:color="auto" w:fill="FFFFFF"/>
              </w:rPr>
              <w:t>）</w:t>
            </w:r>
            <w:r>
              <w:rPr>
                <w:rFonts w:eastAsiaTheme="minorEastAsia"/>
                <w:color w:val="0000FF"/>
                <w:shd w:val="clear" w:color="auto" w:fill="FFFFFF"/>
              </w:rPr>
              <w:t>×ω÷</w:t>
            </w:r>
            <w:r>
              <w:rPr>
                <w:rFonts w:hint="eastAsia" w:eastAsiaTheme="minorEastAsia"/>
                <w:color w:val="0000FF"/>
                <w:shd w:val="clear" w:color="auto" w:fill="FFFFFF"/>
              </w:rPr>
              <w:t>（</w:t>
            </w:r>
            <w:r>
              <w:rPr>
                <w:rFonts w:eastAsiaTheme="minorEastAsia"/>
                <w:color w:val="0000FF"/>
                <w:shd w:val="clear" w:color="auto" w:fill="FFFFFF"/>
              </w:rPr>
              <w:t>1</w:t>
            </w:r>
            <w:r>
              <w:rPr>
                <w:rFonts w:eastAsia="微软雅黑"/>
                <w:color w:val="0000FF"/>
                <w:shd w:val="clear" w:color="auto" w:fill="FFFFFF"/>
              </w:rPr>
              <w:t>−</w:t>
            </w:r>
            <w:r>
              <w:rPr>
                <w:color w:val="0000FF"/>
                <w:shd w:val="clear" w:color="auto" w:fill="FFFFFF"/>
              </w:rPr>
              <w:t>ω</w:t>
            </w:r>
            <w:r>
              <w:rPr>
                <w:rFonts w:hint="eastAsia" w:eastAsiaTheme="minorEastAsia"/>
                <w:color w:val="0000FF"/>
                <w:shd w:val="clear" w:color="auto" w:fill="FFFFFF"/>
              </w:rPr>
              <w:t>）</w:t>
            </w:r>
            <w:r>
              <w:rPr>
                <w:rFonts w:eastAsiaTheme="minorEastAsia"/>
                <w:color w:val="0000FF"/>
                <w:shd w:val="clear" w:color="auto" w:fill="FFFFFF"/>
              </w:rPr>
              <w:t>=7.46</w:t>
            </w:r>
            <w:r>
              <w:rPr>
                <w:color w:val="0000FF"/>
                <w:shd w:val="clear" w:color="auto" w:fill="FFFFFF"/>
              </w:rPr>
              <w:t>×</w:t>
            </w:r>
            <w:r>
              <w:rPr>
                <w:rFonts w:eastAsiaTheme="minorEastAsia"/>
                <w:color w:val="0000FF"/>
                <w:shd w:val="clear" w:color="auto" w:fill="FFFFFF"/>
              </w:rPr>
              <w:t>10%</w:t>
            </w:r>
            <w:r>
              <w:rPr>
                <w:color w:val="0000FF"/>
                <w:shd w:val="clear" w:color="auto" w:fill="FFFFFF"/>
              </w:rPr>
              <w:t>÷</w:t>
            </w:r>
            <w:r>
              <w:rPr>
                <w:rFonts w:hint="eastAsia" w:eastAsiaTheme="minorEastAsia"/>
                <w:color w:val="0000FF"/>
                <w:shd w:val="clear" w:color="auto" w:fill="FFFFFF"/>
              </w:rPr>
              <w:t>（</w:t>
            </w:r>
            <w:r>
              <w:rPr>
                <w:rFonts w:eastAsiaTheme="minorEastAsia"/>
                <w:color w:val="0000FF"/>
                <w:shd w:val="clear" w:color="auto" w:fill="FFFFFF"/>
              </w:rPr>
              <w:t>1</w:t>
            </w:r>
            <w:r>
              <w:rPr>
                <w:rFonts w:eastAsia="微软雅黑"/>
                <w:color w:val="0000FF"/>
                <w:shd w:val="clear" w:color="auto" w:fill="FFFFFF"/>
              </w:rPr>
              <w:t>−</w:t>
            </w:r>
            <w:r>
              <w:rPr>
                <w:rFonts w:eastAsiaTheme="minorEastAsia"/>
                <w:color w:val="0000FF"/>
                <w:shd w:val="clear" w:color="auto" w:fill="FFFFFF"/>
              </w:rPr>
              <w:t>10%</w:t>
            </w:r>
            <w:r>
              <w:rPr>
                <w:rFonts w:hint="eastAsia" w:eastAsiaTheme="minorEastAsia"/>
                <w:color w:val="0000FF"/>
                <w:shd w:val="clear" w:color="auto" w:fill="FFFFFF"/>
              </w:rPr>
              <w:t>）</w:t>
            </w:r>
            <w:r>
              <w:rPr>
                <w:color w:val="0000FF"/>
                <w:shd w:val="clear" w:color="auto" w:fill="FFFFFF"/>
              </w:rPr>
              <w:t>≈</w:t>
            </w:r>
            <w:r>
              <w:rPr>
                <w:rStyle w:val="38"/>
                <w:rFonts w:eastAsiaTheme="minorEastAsia"/>
                <w:b w:val="0"/>
                <w:bCs w:val="0"/>
                <w:color w:val="0000FF"/>
                <w:shd w:val="clear" w:color="auto" w:fill="FFFFFF"/>
              </w:rPr>
              <w:t>0.83t</w:t>
            </w:r>
          </w:p>
          <w:p w14:paraId="69743237">
            <w:pPr>
              <w:pStyle w:val="65"/>
              <w:ind w:firstLine="480"/>
              <w:rPr>
                <w:rFonts w:eastAsiaTheme="minorEastAsia"/>
                <w:color w:val="0000FF"/>
                <w:shd w:val="clear" w:color="auto" w:fill="FFFFFF"/>
              </w:rPr>
            </w:pPr>
            <w:r>
              <w:rPr>
                <w:rFonts w:eastAsiaTheme="minorEastAsia"/>
                <w:color w:val="0000FF"/>
                <w:shd w:val="clear" w:color="auto" w:fill="FFFFFF"/>
              </w:rPr>
              <w:t>湿石膏总质量=m</w:t>
            </w:r>
            <w:r>
              <w:rPr>
                <w:rFonts w:hint="eastAsia" w:eastAsiaTheme="minorEastAsia"/>
                <w:color w:val="0000FF"/>
                <w:shd w:val="clear" w:color="auto" w:fill="FFFFFF"/>
              </w:rPr>
              <w:t>（</w:t>
            </w:r>
            <w:r>
              <w:rPr>
                <w:rFonts w:eastAsiaTheme="minorEastAsia"/>
                <w:color w:val="0000FF"/>
                <w:shd w:val="clear" w:color="auto" w:fill="FFFFFF"/>
              </w:rPr>
              <w:t>固</w:t>
            </w:r>
            <w:r>
              <w:rPr>
                <w:rFonts w:hint="eastAsia" w:eastAsiaTheme="minorEastAsia"/>
                <w:color w:val="0000FF"/>
                <w:shd w:val="clear" w:color="auto" w:fill="FFFFFF"/>
              </w:rPr>
              <w:t>）</w:t>
            </w:r>
            <w:r>
              <w:rPr>
                <w:rFonts w:eastAsiaTheme="minorEastAsia"/>
                <w:color w:val="0000FF"/>
                <w:shd w:val="clear" w:color="auto" w:fill="FFFFFF"/>
              </w:rPr>
              <w:t>+m</w:t>
            </w:r>
            <w:r>
              <w:rPr>
                <w:rFonts w:hint="eastAsia" w:eastAsiaTheme="minorEastAsia"/>
                <w:color w:val="0000FF"/>
                <w:shd w:val="clear" w:color="auto" w:fill="FFFFFF"/>
              </w:rPr>
              <w:t>（</w:t>
            </w:r>
            <w:r>
              <w:rPr>
                <w:rFonts w:eastAsiaTheme="minorEastAsia"/>
                <w:color w:val="0000FF"/>
                <w:shd w:val="clear" w:color="auto" w:fill="FFFFFF"/>
              </w:rPr>
              <w:t>水</w:t>
            </w:r>
            <w:r>
              <w:rPr>
                <w:rFonts w:hint="eastAsia" w:eastAsiaTheme="minorEastAsia"/>
                <w:color w:val="0000FF"/>
                <w:shd w:val="clear" w:color="auto" w:fill="FFFFFF"/>
              </w:rPr>
              <w:t>）</w:t>
            </w:r>
            <w:r>
              <w:rPr>
                <w:rFonts w:eastAsiaTheme="minorEastAsia"/>
                <w:color w:val="0000FF"/>
                <w:shd w:val="clear" w:color="auto" w:fill="FFFFFF"/>
              </w:rPr>
              <w:t>=7.46+0.83=</w:t>
            </w:r>
            <w:r>
              <w:rPr>
                <w:rStyle w:val="38"/>
                <w:rFonts w:eastAsiaTheme="minorEastAsia"/>
                <w:b w:val="0"/>
                <w:bCs w:val="0"/>
                <w:color w:val="0000FF"/>
                <w:shd w:val="clear" w:color="auto" w:fill="FFFFFF"/>
              </w:rPr>
              <w:t>8.29t</w:t>
            </w:r>
          </w:p>
          <w:p w14:paraId="29B74A70">
            <w:pPr>
              <w:pStyle w:val="65"/>
              <w:ind w:firstLine="482"/>
              <w:rPr>
                <w:rFonts w:eastAsiaTheme="minorEastAsia"/>
                <w:b/>
                <w:bCs/>
                <w:color w:val="0000FF"/>
                <w:shd w:val="clear" w:color="auto" w:fill="FFFFFF"/>
              </w:rPr>
            </w:pPr>
            <w:r>
              <w:rPr>
                <w:rFonts w:eastAsiaTheme="minorEastAsia"/>
                <w:b/>
                <w:bCs/>
                <w:color w:val="0000FF"/>
                <w:shd w:val="clear" w:color="auto" w:fill="FFFFFF"/>
              </w:rPr>
              <w:t>结论：</w:t>
            </w:r>
          </w:p>
          <w:p w14:paraId="77AF7816">
            <w:pPr>
              <w:pStyle w:val="65"/>
              <w:ind w:firstLine="480"/>
              <w:rPr>
                <w:rFonts w:eastAsiaTheme="minorEastAsia"/>
                <w:color w:val="0000FF"/>
                <w:shd w:val="clear" w:color="auto" w:fill="FFFFFF"/>
              </w:rPr>
            </w:pPr>
            <w:r>
              <w:rPr>
                <w:rFonts w:eastAsiaTheme="minorEastAsia"/>
                <w:color w:val="0000FF"/>
                <w:shd w:val="clear" w:color="auto" w:fill="FFFFFF"/>
              </w:rPr>
              <w:t>本项目脱硫石膏中的水分由结晶水和游离水（附着水）两部分构成。其中，结晶水以化学结合形式存在于二水硫酸钙（CaSO₄</w:t>
            </w:r>
            <w:r>
              <w:rPr>
                <w:color w:val="0000FF"/>
                <w:shd w:val="clear" w:color="auto" w:fill="FFFFFF"/>
              </w:rPr>
              <w:t>·</w:t>
            </w:r>
            <w:r>
              <w:rPr>
                <w:rFonts w:eastAsiaTheme="minorEastAsia"/>
                <w:color w:val="0000FF"/>
                <w:shd w:val="clear" w:color="auto" w:fill="FFFFFF"/>
              </w:rPr>
              <w:t>2H₂O）晶格内，属于固体物质的组成部分：按无水硫酸钙5.9t计，水化生成二水石膏约7.46t，含结晶水约1.56t，结晶水质量分数约20.93%。游离水则以物理吸附形式附着于石膏颗粒表面及孔隙中，经真空皮带脱水机脱水后，湿石膏表面含水率约10%（湿基），按此计算湿石膏中的游离水约0.83t，湿石膏总量约8.29t，随石膏固废一同收集转运。结晶水随石膏本体一并进入综合利用或填埋处置环节，不单独逸散；游离水在堆存及转运过程中部分自然蒸发散失，部分经堆场渗滤液收集系统汇入废水处理设施处理后回用，不外排。因此，本项目脱硫石膏带出的总水量为结晶水1.56t与游离水0.83t之和，约2.39t。</w:t>
            </w:r>
          </w:p>
          <w:p w14:paraId="219ED62F">
            <w:pPr>
              <w:pStyle w:val="92"/>
              <w:rPr>
                <w:rFonts w:eastAsiaTheme="minorEastAsia"/>
                <w:color w:val="0000FF"/>
              </w:rPr>
            </w:pPr>
            <w:r>
              <w:rPr>
                <w:rFonts w:eastAsiaTheme="minorEastAsia"/>
                <w:color w:val="0000FF"/>
              </w:rPr>
              <w:t>表2-20 脱硫石膏各成分质量统计表</w:t>
            </w:r>
          </w:p>
          <w:tbl>
            <w:tblPr>
              <w:tblStyle w:val="35"/>
              <w:tblW w:w="495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343"/>
              <w:gridCol w:w="4343"/>
            </w:tblGrid>
            <w:tr w14:paraId="25062AA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PrEx>
              <w:trPr>
                <w:cantSplit/>
                <w:trHeight w:val="266" w:hRule="atLeast"/>
                <w:jc w:val="center"/>
              </w:trPr>
              <w:tc>
                <w:tcPr>
                  <w:tcW w:w="2835" w:type="dxa"/>
                  <w:shd w:val="clear" w:color="auto" w:fill="FFFFFF"/>
                  <w:tcMar>
                    <w:top w:w="150" w:type="dxa"/>
                    <w:left w:w="0" w:type="dxa"/>
                    <w:bottom w:w="150" w:type="dxa"/>
                    <w:right w:w="240" w:type="dxa"/>
                  </w:tcMar>
                  <w:vAlign w:val="center"/>
                </w:tcPr>
                <w:p w14:paraId="658B9C05">
                  <w:pPr>
                    <w:jc w:val="center"/>
                    <w:rPr>
                      <w:rFonts w:eastAsiaTheme="minorEastAsia"/>
                      <w:color w:val="0000FF"/>
                    </w:rPr>
                  </w:pPr>
                  <w:bookmarkStart w:id="7" w:name="_Hlk238216410"/>
                  <w:r>
                    <w:rPr>
                      <w:rFonts w:eastAsiaTheme="minorEastAsia"/>
                      <w:color w:val="0000FF"/>
                    </w:rPr>
                    <w:t>项目</w:t>
                  </w:r>
                </w:p>
              </w:tc>
              <w:tc>
                <w:tcPr>
                  <w:tcW w:w="2835" w:type="dxa"/>
                  <w:shd w:val="clear" w:color="auto" w:fill="FFFFFF"/>
                  <w:tcMar>
                    <w:top w:w="150" w:type="dxa"/>
                    <w:left w:w="240" w:type="dxa"/>
                    <w:bottom w:w="150" w:type="dxa"/>
                    <w:right w:w="240" w:type="dxa"/>
                  </w:tcMar>
                  <w:vAlign w:val="center"/>
                </w:tcPr>
                <w:p w14:paraId="37ED4894">
                  <w:pPr>
                    <w:jc w:val="center"/>
                    <w:rPr>
                      <w:rFonts w:eastAsiaTheme="minorEastAsia"/>
                      <w:color w:val="0000FF"/>
                    </w:rPr>
                  </w:pPr>
                  <w:r>
                    <w:rPr>
                      <w:rFonts w:eastAsiaTheme="minorEastAsia"/>
                      <w:color w:val="0000FF"/>
                    </w:rPr>
                    <w:t>质量（t）</w:t>
                  </w:r>
                </w:p>
              </w:tc>
            </w:tr>
            <w:tr w14:paraId="0B9194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789F6783">
                  <w:pPr>
                    <w:jc w:val="center"/>
                    <w:rPr>
                      <w:rFonts w:eastAsiaTheme="minorEastAsia"/>
                      <w:color w:val="0000FF"/>
                    </w:rPr>
                  </w:pPr>
                  <w:r>
                    <w:rPr>
                      <w:rFonts w:eastAsiaTheme="minorEastAsia"/>
                      <w:color w:val="0000FF"/>
                    </w:rPr>
                    <w:t>无水硫酸钙（CaSO₄）</w:t>
                  </w:r>
                </w:p>
              </w:tc>
              <w:tc>
                <w:tcPr>
                  <w:tcW w:w="2835" w:type="dxa"/>
                  <w:shd w:val="clear" w:color="auto" w:fill="FFFFFF"/>
                  <w:tcMar>
                    <w:top w:w="150" w:type="dxa"/>
                    <w:left w:w="240" w:type="dxa"/>
                    <w:bottom w:w="150" w:type="dxa"/>
                    <w:right w:w="0" w:type="dxa"/>
                  </w:tcMar>
                  <w:vAlign w:val="center"/>
                </w:tcPr>
                <w:p w14:paraId="16530FCB">
                  <w:pPr>
                    <w:jc w:val="center"/>
                    <w:rPr>
                      <w:rFonts w:eastAsiaTheme="minorEastAsia"/>
                      <w:color w:val="0000FF"/>
                    </w:rPr>
                  </w:pPr>
                  <w:r>
                    <w:rPr>
                      <w:rFonts w:eastAsiaTheme="minorEastAsia"/>
                      <w:color w:val="0000FF"/>
                    </w:rPr>
                    <w:t>5.90</w:t>
                  </w:r>
                </w:p>
              </w:tc>
            </w:tr>
            <w:tr w14:paraId="579564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6AF3E2C1">
                  <w:pPr>
                    <w:jc w:val="center"/>
                    <w:rPr>
                      <w:rFonts w:eastAsiaTheme="minorEastAsia"/>
                      <w:color w:val="0000FF"/>
                    </w:rPr>
                  </w:pPr>
                  <w:r>
                    <w:rPr>
                      <w:rFonts w:eastAsiaTheme="minorEastAsia"/>
                      <w:color w:val="0000FF"/>
                    </w:rPr>
                    <w:t>结晶水（化学结合）</w:t>
                  </w:r>
                </w:p>
              </w:tc>
              <w:tc>
                <w:tcPr>
                  <w:tcW w:w="2835" w:type="dxa"/>
                  <w:shd w:val="clear" w:color="auto" w:fill="FFFFFF"/>
                  <w:tcMar>
                    <w:top w:w="150" w:type="dxa"/>
                    <w:left w:w="240" w:type="dxa"/>
                    <w:bottom w:w="150" w:type="dxa"/>
                    <w:right w:w="0" w:type="dxa"/>
                  </w:tcMar>
                  <w:vAlign w:val="center"/>
                </w:tcPr>
                <w:p w14:paraId="294F0591">
                  <w:pPr>
                    <w:jc w:val="center"/>
                    <w:rPr>
                      <w:rFonts w:eastAsiaTheme="minorEastAsia"/>
                      <w:color w:val="0000FF"/>
                    </w:rPr>
                  </w:pPr>
                  <w:r>
                    <w:rPr>
                      <w:rFonts w:eastAsiaTheme="minorEastAsia"/>
                      <w:color w:val="0000FF"/>
                    </w:rPr>
                    <w:t>1.56</w:t>
                  </w:r>
                </w:p>
              </w:tc>
            </w:tr>
            <w:tr w14:paraId="7106F45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193C0C70">
                  <w:pPr>
                    <w:jc w:val="center"/>
                    <w:rPr>
                      <w:rFonts w:eastAsiaTheme="minorEastAsia"/>
                      <w:color w:val="0000FF"/>
                    </w:rPr>
                  </w:pPr>
                  <w:r>
                    <w:rPr>
                      <w:rFonts w:eastAsiaTheme="minorEastAsia"/>
                      <w:color w:val="0000FF"/>
                    </w:rPr>
                    <w:t>含结晶水石膏（CaSO₄</w:t>
                  </w:r>
                  <w:r>
                    <w:rPr>
                      <w:color w:val="0000FF"/>
                    </w:rPr>
                    <w:t>·</w:t>
                  </w:r>
                  <w:r>
                    <w:rPr>
                      <w:rFonts w:eastAsiaTheme="minorEastAsia"/>
                      <w:color w:val="0000FF"/>
                    </w:rPr>
                    <w:t>2H₂O）</w:t>
                  </w:r>
                </w:p>
              </w:tc>
              <w:tc>
                <w:tcPr>
                  <w:tcW w:w="2835" w:type="dxa"/>
                  <w:shd w:val="clear" w:color="auto" w:fill="FFFFFF"/>
                  <w:tcMar>
                    <w:top w:w="150" w:type="dxa"/>
                    <w:left w:w="240" w:type="dxa"/>
                    <w:bottom w:w="150" w:type="dxa"/>
                    <w:right w:w="0" w:type="dxa"/>
                  </w:tcMar>
                  <w:vAlign w:val="center"/>
                </w:tcPr>
                <w:p w14:paraId="2FB5EB0C">
                  <w:pPr>
                    <w:jc w:val="center"/>
                    <w:rPr>
                      <w:rFonts w:eastAsiaTheme="minorEastAsia"/>
                      <w:color w:val="0000FF"/>
                    </w:rPr>
                  </w:pPr>
                  <w:r>
                    <w:rPr>
                      <w:rFonts w:eastAsiaTheme="minorEastAsia"/>
                      <w:color w:val="0000FF"/>
                    </w:rPr>
                    <w:t>7.46</w:t>
                  </w:r>
                </w:p>
              </w:tc>
            </w:tr>
            <w:tr w14:paraId="4E598F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32D8844C">
                  <w:pPr>
                    <w:jc w:val="center"/>
                    <w:rPr>
                      <w:rFonts w:eastAsiaTheme="minorEastAsia"/>
                      <w:color w:val="0000FF"/>
                    </w:rPr>
                  </w:pPr>
                  <w:r>
                    <w:rPr>
                      <w:rFonts w:eastAsiaTheme="minorEastAsia"/>
                      <w:color w:val="0000FF"/>
                    </w:rPr>
                    <w:t>游离水（附着水）</w:t>
                  </w:r>
                </w:p>
              </w:tc>
              <w:tc>
                <w:tcPr>
                  <w:tcW w:w="2835" w:type="dxa"/>
                  <w:shd w:val="clear" w:color="auto" w:fill="FFFFFF"/>
                  <w:tcMar>
                    <w:top w:w="150" w:type="dxa"/>
                    <w:left w:w="240" w:type="dxa"/>
                    <w:bottom w:w="150" w:type="dxa"/>
                    <w:right w:w="0" w:type="dxa"/>
                  </w:tcMar>
                  <w:vAlign w:val="center"/>
                </w:tcPr>
                <w:p w14:paraId="37583798">
                  <w:pPr>
                    <w:jc w:val="center"/>
                    <w:rPr>
                      <w:rFonts w:eastAsiaTheme="minorEastAsia"/>
                      <w:color w:val="0000FF"/>
                    </w:rPr>
                  </w:pPr>
                  <w:r>
                    <w:rPr>
                      <w:rFonts w:eastAsiaTheme="minorEastAsia"/>
                      <w:color w:val="0000FF"/>
                    </w:rPr>
                    <w:t>0.83</w:t>
                  </w:r>
                </w:p>
              </w:tc>
            </w:tr>
            <w:tr w14:paraId="1A9EEE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5CF03233">
                  <w:pPr>
                    <w:jc w:val="center"/>
                    <w:rPr>
                      <w:rFonts w:eastAsiaTheme="minorEastAsia"/>
                      <w:color w:val="0000FF"/>
                    </w:rPr>
                  </w:pPr>
                  <w:r>
                    <w:rPr>
                      <w:rFonts w:eastAsiaTheme="minorEastAsia"/>
                      <w:color w:val="0000FF"/>
                    </w:rPr>
                    <w:t>湿石膏总量</w:t>
                  </w:r>
                </w:p>
              </w:tc>
              <w:tc>
                <w:tcPr>
                  <w:tcW w:w="2835" w:type="dxa"/>
                  <w:shd w:val="clear" w:color="auto" w:fill="FFFFFF"/>
                  <w:tcMar>
                    <w:top w:w="150" w:type="dxa"/>
                    <w:left w:w="240" w:type="dxa"/>
                    <w:bottom w:w="150" w:type="dxa"/>
                    <w:right w:w="0" w:type="dxa"/>
                  </w:tcMar>
                  <w:vAlign w:val="center"/>
                </w:tcPr>
                <w:p w14:paraId="05C2BB7A">
                  <w:pPr>
                    <w:jc w:val="center"/>
                    <w:rPr>
                      <w:rFonts w:eastAsiaTheme="minorEastAsia"/>
                      <w:color w:val="0000FF"/>
                    </w:rPr>
                  </w:pPr>
                  <w:r>
                    <w:rPr>
                      <w:rFonts w:eastAsiaTheme="minorEastAsia"/>
                      <w:color w:val="0000FF"/>
                    </w:rPr>
                    <w:t>8.29</w:t>
                  </w:r>
                </w:p>
              </w:tc>
            </w:tr>
            <w:tr w14:paraId="4AF41C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0" w:type="dxa"/>
                  <w:bottom w:w="0" w:type="dxa"/>
                  <w:right w:w="0" w:type="dxa"/>
                </w:tblCellMar>
              </w:tblPrEx>
              <w:trPr>
                <w:cantSplit/>
                <w:jc w:val="center"/>
              </w:trPr>
              <w:tc>
                <w:tcPr>
                  <w:tcW w:w="2835" w:type="dxa"/>
                  <w:shd w:val="clear" w:color="auto" w:fill="FFFFFF"/>
                  <w:tcMar>
                    <w:top w:w="150" w:type="dxa"/>
                    <w:left w:w="0" w:type="dxa"/>
                    <w:bottom w:w="150" w:type="dxa"/>
                    <w:right w:w="240" w:type="dxa"/>
                  </w:tcMar>
                  <w:vAlign w:val="center"/>
                </w:tcPr>
                <w:p w14:paraId="5E3D9ECC">
                  <w:pPr>
                    <w:jc w:val="center"/>
                    <w:rPr>
                      <w:rFonts w:eastAsiaTheme="minorEastAsia"/>
                      <w:color w:val="0000FF"/>
                    </w:rPr>
                  </w:pPr>
                  <w:r>
                    <w:rPr>
                      <w:rFonts w:eastAsiaTheme="minorEastAsia"/>
                      <w:color w:val="0000FF"/>
                    </w:rPr>
                    <w:t>带出的总水量（结晶水+游离水）</w:t>
                  </w:r>
                </w:p>
              </w:tc>
              <w:tc>
                <w:tcPr>
                  <w:tcW w:w="2835" w:type="dxa"/>
                  <w:shd w:val="clear" w:color="auto" w:fill="FFFFFF"/>
                  <w:tcMar>
                    <w:top w:w="150" w:type="dxa"/>
                    <w:left w:w="240" w:type="dxa"/>
                    <w:bottom w:w="150" w:type="dxa"/>
                    <w:right w:w="0" w:type="dxa"/>
                  </w:tcMar>
                  <w:vAlign w:val="center"/>
                </w:tcPr>
                <w:p w14:paraId="7D01D923">
                  <w:pPr>
                    <w:jc w:val="center"/>
                    <w:rPr>
                      <w:rFonts w:eastAsiaTheme="minorEastAsia"/>
                      <w:color w:val="0000FF"/>
                    </w:rPr>
                  </w:pPr>
                  <w:r>
                    <w:rPr>
                      <w:rFonts w:eastAsiaTheme="minorEastAsia"/>
                      <w:color w:val="0000FF"/>
                    </w:rPr>
                    <w:t>2.39</w:t>
                  </w:r>
                </w:p>
              </w:tc>
            </w:tr>
            <w:bookmarkEnd w:id="7"/>
          </w:tbl>
          <w:p w14:paraId="11F78153">
            <w:pPr>
              <w:pStyle w:val="65"/>
              <w:ind w:firstLine="480"/>
              <w:rPr>
                <w:rFonts w:eastAsiaTheme="minorEastAsia"/>
                <w:color w:val="0000FF"/>
              </w:rPr>
            </w:pPr>
            <w:r>
              <w:rPr>
                <w:rFonts w:hint="eastAsia" w:ascii="宋体" w:hAnsi="宋体" w:cs="宋体"/>
                <w:color w:val="0000FF"/>
              </w:rPr>
              <w:t>⑤</w:t>
            </w:r>
            <w:r>
              <w:rPr>
                <w:rFonts w:eastAsiaTheme="minorEastAsia"/>
                <w:color w:val="0000FF"/>
              </w:rPr>
              <w:t>沉淀池沉淀带出水</w:t>
            </w:r>
          </w:p>
          <w:p w14:paraId="5F29008D">
            <w:pPr>
              <w:pStyle w:val="65"/>
              <w:ind w:firstLine="480"/>
              <w:rPr>
                <w:rFonts w:eastAsiaTheme="minorEastAsia"/>
                <w:color w:val="0000FF"/>
              </w:rPr>
            </w:pPr>
            <w:r>
              <w:rPr>
                <w:rFonts w:eastAsiaTheme="minorEastAsia"/>
                <w:color w:val="0000FF"/>
              </w:rPr>
              <w:t>沉淀池沉淀干重质量：m</w:t>
            </w:r>
            <w:r>
              <w:rPr>
                <w:rFonts w:hint="eastAsia" w:eastAsiaTheme="minorEastAsia"/>
                <w:color w:val="0000FF"/>
              </w:rPr>
              <w:t>（</w:t>
            </w:r>
            <w:r>
              <w:rPr>
                <w:rFonts w:eastAsiaTheme="minorEastAsia"/>
                <w:color w:val="0000FF"/>
              </w:rPr>
              <w:t>固</w:t>
            </w:r>
            <w:r>
              <w:rPr>
                <w:rFonts w:hint="eastAsia" w:eastAsiaTheme="minorEastAsia"/>
                <w:color w:val="0000FF"/>
              </w:rPr>
              <w:t>）</w:t>
            </w:r>
            <w:r>
              <w:rPr>
                <w:rFonts w:eastAsiaTheme="minorEastAsia"/>
                <w:color w:val="0000FF"/>
              </w:rPr>
              <w:t>=0.472t（以干基计，为脱硫石膏干基产生量5.9t的8%）。</w:t>
            </w:r>
          </w:p>
          <w:p w14:paraId="4307124A">
            <w:pPr>
              <w:pStyle w:val="65"/>
              <w:ind w:firstLine="480"/>
              <w:rPr>
                <w:rFonts w:eastAsiaTheme="minorEastAsia"/>
                <w:color w:val="0000FF"/>
              </w:rPr>
            </w:pPr>
            <w:r>
              <w:rPr>
                <w:rFonts w:eastAsiaTheme="minorEastAsia"/>
                <w:color w:val="0000FF"/>
              </w:rPr>
              <w:t>沉淀池沉淀为自然沉降形成的沉淀，湿基含水率按20%计，即ω=20%。</w:t>
            </w:r>
          </w:p>
          <w:p w14:paraId="01557E66">
            <w:pPr>
              <w:pStyle w:val="65"/>
              <w:ind w:firstLine="480"/>
              <w:rPr>
                <w:rFonts w:eastAsiaTheme="minorEastAsia"/>
                <w:color w:val="0000FF"/>
              </w:rPr>
            </w:pPr>
            <w:r>
              <w:rPr>
                <w:rFonts w:eastAsiaTheme="minorEastAsia"/>
                <w:color w:val="0000FF"/>
              </w:rPr>
              <w:t>m</w:t>
            </w:r>
            <w:r>
              <w:rPr>
                <w:rFonts w:hint="eastAsia" w:eastAsiaTheme="minorEastAsia"/>
                <w:color w:val="0000FF"/>
              </w:rPr>
              <w:t>（</w:t>
            </w:r>
            <w:r>
              <w:rPr>
                <w:rFonts w:eastAsiaTheme="minorEastAsia"/>
                <w:color w:val="0000FF"/>
              </w:rPr>
              <w:t>水</w:t>
            </w:r>
            <w:r>
              <w:rPr>
                <w:rFonts w:hint="eastAsia" w:eastAsiaTheme="minorEastAsia"/>
                <w:color w:val="0000FF"/>
              </w:rPr>
              <w:t>）</w:t>
            </w:r>
            <w:r>
              <w:rPr>
                <w:rFonts w:eastAsiaTheme="minorEastAsia"/>
                <w:color w:val="0000FF"/>
              </w:rPr>
              <w:t>=m</w:t>
            </w:r>
            <w:r>
              <w:rPr>
                <w:rFonts w:hint="eastAsia" w:eastAsiaTheme="minorEastAsia"/>
                <w:color w:val="0000FF"/>
              </w:rPr>
              <w:t>（</w:t>
            </w:r>
            <w:r>
              <w:rPr>
                <w:rFonts w:eastAsiaTheme="minorEastAsia"/>
                <w:color w:val="0000FF"/>
              </w:rPr>
              <w:t>固</w:t>
            </w:r>
            <w:r>
              <w:rPr>
                <w:rFonts w:hint="eastAsia" w:eastAsiaTheme="minorEastAsia"/>
                <w:color w:val="0000FF"/>
              </w:rPr>
              <w:t>）</w:t>
            </w:r>
            <w:r>
              <w:rPr>
                <w:rFonts w:eastAsiaTheme="minorEastAsia"/>
                <w:color w:val="0000FF"/>
              </w:rPr>
              <w:t>×ω÷</w:t>
            </w:r>
            <w:r>
              <w:rPr>
                <w:rFonts w:hint="eastAsia" w:eastAsiaTheme="minorEastAsia"/>
                <w:color w:val="0000FF"/>
              </w:rPr>
              <w:t>（</w:t>
            </w:r>
            <w:r>
              <w:rPr>
                <w:rFonts w:eastAsiaTheme="minorEastAsia"/>
                <w:color w:val="0000FF"/>
              </w:rPr>
              <w:t>1</w:t>
            </w:r>
            <w:r>
              <w:rPr>
                <w:rFonts w:eastAsia="微软雅黑"/>
                <w:color w:val="0000FF"/>
              </w:rPr>
              <w:t>−</w:t>
            </w:r>
            <w:r>
              <w:rPr>
                <w:color w:val="0000FF"/>
              </w:rPr>
              <w:t>ω</w:t>
            </w:r>
            <w:r>
              <w:rPr>
                <w:rFonts w:hint="eastAsia" w:eastAsiaTheme="minorEastAsia"/>
                <w:color w:val="0000FF"/>
              </w:rPr>
              <w:t>）</w:t>
            </w:r>
            <w:r>
              <w:rPr>
                <w:rFonts w:eastAsiaTheme="minorEastAsia"/>
                <w:color w:val="0000FF"/>
              </w:rPr>
              <w:t>=0.472</w:t>
            </w:r>
            <w:r>
              <w:rPr>
                <w:color w:val="0000FF"/>
              </w:rPr>
              <w:t>×</w:t>
            </w:r>
            <w:r>
              <w:rPr>
                <w:rFonts w:eastAsiaTheme="minorEastAsia"/>
                <w:color w:val="0000FF"/>
              </w:rPr>
              <w:t>20%</w:t>
            </w:r>
            <w:r>
              <w:rPr>
                <w:color w:val="0000FF"/>
              </w:rPr>
              <w:t>÷</w:t>
            </w:r>
            <w:r>
              <w:rPr>
                <w:rFonts w:hint="eastAsia" w:eastAsiaTheme="minorEastAsia"/>
                <w:color w:val="0000FF"/>
              </w:rPr>
              <w:t>（</w:t>
            </w:r>
            <w:r>
              <w:rPr>
                <w:rFonts w:eastAsiaTheme="minorEastAsia"/>
                <w:color w:val="0000FF"/>
              </w:rPr>
              <w:t>1</w:t>
            </w:r>
            <w:r>
              <w:rPr>
                <w:rFonts w:eastAsia="微软雅黑"/>
                <w:color w:val="0000FF"/>
              </w:rPr>
              <w:t>−</w:t>
            </w:r>
            <w:r>
              <w:rPr>
                <w:rFonts w:eastAsiaTheme="minorEastAsia"/>
                <w:color w:val="0000FF"/>
              </w:rPr>
              <w:t>20%</w:t>
            </w:r>
            <w:r>
              <w:rPr>
                <w:rFonts w:hint="eastAsia" w:eastAsiaTheme="minorEastAsia"/>
                <w:color w:val="0000FF"/>
              </w:rPr>
              <w:t>）</w:t>
            </w:r>
            <w:r>
              <w:rPr>
                <w:rFonts w:eastAsiaTheme="minorEastAsia"/>
                <w:color w:val="0000FF"/>
              </w:rPr>
              <w:t>=0.472</w:t>
            </w:r>
            <w:r>
              <w:rPr>
                <w:color w:val="0000FF"/>
              </w:rPr>
              <w:t>×</w:t>
            </w:r>
            <w:r>
              <w:rPr>
                <w:rFonts w:eastAsiaTheme="minorEastAsia"/>
                <w:color w:val="0000FF"/>
              </w:rPr>
              <w:t>0.25≈0.118t</w:t>
            </w:r>
          </w:p>
          <w:p w14:paraId="47DEB68B">
            <w:pPr>
              <w:pStyle w:val="65"/>
              <w:ind w:firstLine="480"/>
              <w:rPr>
                <w:rFonts w:eastAsiaTheme="minorEastAsia"/>
                <w:color w:val="0000FF"/>
              </w:rPr>
            </w:pPr>
            <w:r>
              <w:rPr>
                <w:rFonts w:eastAsiaTheme="minorEastAsia"/>
                <w:color w:val="0000FF"/>
              </w:rPr>
              <w:t>湿沉淀总质量=m</w:t>
            </w:r>
            <w:r>
              <w:rPr>
                <w:rFonts w:hint="eastAsia" w:eastAsiaTheme="minorEastAsia"/>
                <w:color w:val="0000FF"/>
              </w:rPr>
              <w:t>（</w:t>
            </w:r>
            <w:r>
              <w:rPr>
                <w:rFonts w:eastAsiaTheme="minorEastAsia"/>
                <w:color w:val="0000FF"/>
              </w:rPr>
              <w:t>固</w:t>
            </w:r>
            <w:r>
              <w:rPr>
                <w:rFonts w:hint="eastAsia" w:eastAsiaTheme="minorEastAsia"/>
                <w:color w:val="0000FF"/>
              </w:rPr>
              <w:t>）</w:t>
            </w:r>
            <w:r>
              <w:rPr>
                <w:rFonts w:eastAsiaTheme="minorEastAsia"/>
                <w:color w:val="0000FF"/>
              </w:rPr>
              <w:t>+m</w:t>
            </w:r>
            <w:r>
              <w:rPr>
                <w:rFonts w:hint="eastAsia" w:eastAsiaTheme="minorEastAsia"/>
                <w:color w:val="0000FF"/>
              </w:rPr>
              <w:t>（</w:t>
            </w:r>
            <w:r>
              <w:rPr>
                <w:rFonts w:eastAsiaTheme="minorEastAsia"/>
                <w:color w:val="0000FF"/>
              </w:rPr>
              <w:t>水</w:t>
            </w:r>
            <w:r>
              <w:rPr>
                <w:rFonts w:hint="eastAsia" w:eastAsiaTheme="minorEastAsia"/>
                <w:color w:val="0000FF"/>
              </w:rPr>
              <w:t>）</w:t>
            </w:r>
            <w:r>
              <w:rPr>
                <w:rFonts w:eastAsiaTheme="minorEastAsia"/>
                <w:color w:val="0000FF"/>
              </w:rPr>
              <w:t>=0.472+0.118=0.59t</w:t>
            </w:r>
          </w:p>
          <w:p w14:paraId="460DC1C5">
            <w:pPr>
              <w:pStyle w:val="65"/>
              <w:ind w:firstLine="480"/>
              <w:rPr>
                <w:rFonts w:eastAsiaTheme="minorEastAsia"/>
                <w:color w:val="0000FF"/>
              </w:rPr>
            </w:pPr>
            <w:r>
              <w:rPr>
                <w:rFonts w:eastAsiaTheme="minorEastAsia"/>
                <w:color w:val="0000FF"/>
              </w:rPr>
              <w:t>本项目沉淀池沉淀由干固体与游离水两部分构成。其中，干固体以脱硫反应生成的亚硫酸钙、硫酸钙为主，辅以少量未反应的石灰石/石灰及烟气携带的微量粉尘，产生量按脱硫石膏干基产生量的8%估算，约0.472t/a，属于一般工业固体废物（代码900-099-S07）；游离水以物理吸附形式存在于沉淀物颗粒间隙及表面，本次环评按湿基含水率20%计，则沉淀池沉淀带出水量约0.118t/a，湿沉淀总量约0.59t/a，随沉淀池沉淀定期清掏后一并收集转运至一般固废暂存间，定期交由朝阳中昊生态环境治理有限公司处置。</w:t>
            </w:r>
          </w:p>
          <w:p w14:paraId="18CF8E9E">
            <w:pPr>
              <w:pStyle w:val="65"/>
              <w:ind w:firstLine="480"/>
              <w:rPr>
                <w:rFonts w:eastAsiaTheme="minorEastAsia"/>
                <w:color w:val="0000FF"/>
              </w:rPr>
            </w:pPr>
            <w:r>
              <w:rPr>
                <w:rFonts w:hint="eastAsia" w:ascii="宋体" w:hAnsi="宋体" w:cs="宋体"/>
                <w:color w:val="0000FF"/>
              </w:rPr>
              <w:t>⑥</w:t>
            </w:r>
            <w:r>
              <w:rPr>
                <w:rFonts w:eastAsiaTheme="minorEastAsia"/>
                <w:color w:val="0000FF"/>
              </w:rPr>
              <w:t>车间冲洗水</w:t>
            </w:r>
          </w:p>
          <w:p w14:paraId="6D9EF406">
            <w:pPr>
              <w:pStyle w:val="65"/>
              <w:ind w:firstLine="480"/>
              <w:rPr>
                <w:rFonts w:eastAsiaTheme="minorEastAsia"/>
                <w:color w:val="0000FF"/>
              </w:rPr>
            </w:pPr>
            <w:r>
              <w:rPr>
                <w:rFonts w:eastAsiaTheme="minorEastAsia"/>
                <w:color w:val="0000FF"/>
              </w:rPr>
              <w:t>生产运行过程中车间地面会有原料洒落及粉尘沉降，需定期冲洗保持清洁。本项目烘干车间220m²（2层，每层110m²）、生产车间110m²，冲洗面积合计330m²。车间冲洗用水量按1.0L/m²·次计，冲洗频次按2天1次，年工作日180天，则车间冲洗用水量为29.7m³/a（0.165m³/d）。冲洗水量较少，全部自然蒸发损耗，无废水外排。</w:t>
            </w:r>
          </w:p>
          <w:p w14:paraId="060485F7">
            <w:pPr>
              <w:pStyle w:val="43"/>
              <w:ind w:firstLine="480"/>
              <w:jc w:val="left"/>
              <w:rPr>
                <w:rFonts w:cs="Times New Roman" w:eastAsiaTheme="minorEastAsia"/>
                <w:color w:val="000000" w:themeColor="text1"/>
                <w14:textFill>
                  <w14:solidFill>
                    <w14:schemeClr w14:val="tx1"/>
                  </w14:solidFill>
                </w14:textFill>
              </w:rPr>
            </w:pPr>
            <w:r>
              <w:rPr>
                <w:rFonts w:hint="eastAsia" w:ascii="宋体" w:hAnsi="宋体" w:cs="宋体"/>
                <w:color w:val="000000"/>
                <w:szCs w:val="24"/>
              </w:rPr>
              <w:t>⑦</w:t>
            </w:r>
            <w:r>
              <w:rPr>
                <w:rFonts w:cs="Times New Roman" w:eastAsiaTheme="minorEastAsia"/>
                <w:color w:val="000000" w:themeColor="text1"/>
                <w:szCs w:val="24"/>
                <w14:textFill>
                  <w14:solidFill>
                    <w14:schemeClr w14:val="tx1"/>
                  </w14:solidFill>
                </w14:textFill>
              </w:rPr>
              <w:t>道</w:t>
            </w:r>
            <w:r>
              <w:rPr>
                <w:rFonts w:cs="Times New Roman" w:eastAsiaTheme="minorEastAsia"/>
                <w:color w:val="000000" w:themeColor="text1"/>
                <w14:textFill>
                  <w14:solidFill>
                    <w14:schemeClr w14:val="tx1"/>
                  </w14:solidFill>
                </w14:textFill>
              </w:rPr>
              <w:t>路降尘用水</w:t>
            </w:r>
          </w:p>
          <w:p w14:paraId="76940AE7">
            <w:pPr>
              <w:pStyle w:val="43"/>
              <w:ind w:firstLine="480"/>
              <w:jc w:val="left"/>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本</w:t>
            </w:r>
            <w:r>
              <w:rPr>
                <w:rFonts w:cs="Times New Roman" w:eastAsiaTheme="minorEastAsia"/>
                <w:color w:val="000000" w:themeColor="text1"/>
                <w:kern w:val="0"/>
                <w:szCs w:val="24"/>
                <w14:textFill>
                  <w14:solidFill>
                    <w14:schemeClr w14:val="tx1"/>
                  </w14:solidFill>
                </w14:textFill>
              </w:rPr>
              <w:t>项目租用朝阳县瓦房子镇宏兴锰矿场地，利用厂内原有原料及产品运输道路进行运输，不增加道路降尘用水。</w:t>
            </w:r>
          </w:p>
        </w:tc>
      </w:tr>
      <w:tr w14:paraId="525D8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456" w:type="dxa"/>
            <w:tcBorders>
              <w:top w:val="single" w:color="auto" w:sz="4" w:space="0"/>
              <w:left w:val="single" w:color="auto" w:sz="8" w:space="0"/>
              <w:bottom w:val="single" w:color="auto" w:sz="4" w:space="0"/>
              <w:right w:val="single" w:color="auto" w:sz="4" w:space="0"/>
            </w:tcBorders>
            <w:vAlign w:val="center"/>
          </w:tcPr>
          <w:p w14:paraId="649003B3">
            <w:pPr>
              <w:pStyle w:val="129"/>
              <w:snapToGrid w:val="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工艺流程和产排污环节</w:t>
            </w:r>
          </w:p>
        </w:tc>
        <w:tc>
          <w:tcPr>
            <w:tcW w:w="8990" w:type="dxa"/>
            <w:tcBorders>
              <w:top w:val="single" w:color="auto" w:sz="4" w:space="0"/>
              <w:left w:val="single" w:color="auto" w:sz="4" w:space="0"/>
              <w:bottom w:val="single" w:color="auto" w:sz="4" w:space="0"/>
              <w:right w:val="single" w:color="auto" w:sz="8" w:space="0"/>
            </w:tcBorders>
          </w:tcPr>
          <w:p w14:paraId="03EAD3A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一、施工期</w:t>
            </w:r>
          </w:p>
          <w:p w14:paraId="62C7720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本项目施工期主要为原料库的建设与生产车间内设备安装和调试，施工期所用时间较短，施工期会产生粉尘、噪声、生活污水和固废。</w:t>
            </w:r>
          </w:p>
          <w:p w14:paraId="186E831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施工期工艺及产排污节点如下：</w:t>
            </w:r>
          </w:p>
          <w:p w14:paraId="62A899B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（1）平整土地</w:t>
            </w:r>
          </w:p>
          <w:p w14:paraId="791E0BC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通过对土地表层状况进行改造，场地存在较明显的土地不同位置的高差，以达到后续施工的要求，此过程产生扬尘、噪声。</w:t>
            </w:r>
          </w:p>
          <w:p w14:paraId="10B776C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（2）土方工程</w:t>
            </w:r>
          </w:p>
          <w:p w14:paraId="6954E99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土方工程主要为挖填土方、基础垫层等。</w:t>
            </w:r>
          </w:p>
          <w:p w14:paraId="79922742">
            <w:pPr>
              <w:pStyle w:val="51"/>
              <w:spacing w:before="156"/>
              <w:rPr>
                <w:rFonts w:cs="Times New Roman"/>
                <w:color w:val="000000" w:themeColor="text1"/>
                <w:szCs w:val="24"/>
                <w14:textFill>
                  <w14:solidFill>
                    <w14:schemeClr w14:val="tx1"/>
                  </w14:solidFill>
                </w14:textFill>
              </w:rPr>
            </w:pPr>
            <w:r>
              <w:rPr>
                <w:rFonts w:cs="Times New Roman"/>
                <w:color w:val="000000" w:themeColor="text1"/>
                <w14:textFill>
                  <w14:solidFill>
                    <w14:schemeClr w14:val="tx1"/>
                  </w14:solidFill>
                </w14:textFill>
              </w:rPr>
              <w:drawing>
                <wp:inline distT="0" distB="0" distL="0" distR="0">
                  <wp:extent cx="5571490" cy="1800225"/>
                  <wp:effectExtent l="0" t="0" r="0" b="9525"/>
                  <wp:docPr id="17810290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29048"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71490" cy="1800225"/>
                          </a:xfrm>
                          <a:prstGeom prst="rect">
                            <a:avLst/>
                          </a:prstGeom>
                          <a:noFill/>
                          <a:ln>
                            <a:noFill/>
                          </a:ln>
                        </pic:spPr>
                      </pic:pic>
                    </a:graphicData>
                  </a:graphic>
                </wp:inline>
              </w:drawing>
            </w:r>
          </w:p>
          <w:p w14:paraId="76F91445">
            <w:pPr>
              <w:pStyle w:val="50"/>
              <w:rPr>
                <w:color w:val="000000" w:themeColor="text1"/>
                <w14:textFill>
                  <w14:solidFill>
                    <w14:schemeClr w14:val="tx1"/>
                  </w14:solidFill>
                </w14:textFill>
              </w:rPr>
            </w:pPr>
            <w:r>
              <w:rPr>
                <w:color w:val="000000" w:themeColor="text1"/>
                <w14:textFill>
                  <w14:solidFill>
                    <w14:schemeClr w14:val="tx1"/>
                  </w14:solidFill>
                </w14:textFill>
              </w:rPr>
              <w:t>图2-5 施工期工艺流程及产污节点图</w:t>
            </w:r>
          </w:p>
          <w:p w14:paraId="4C8BA0A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（3）基础工程</w:t>
            </w:r>
          </w:p>
          <w:p w14:paraId="239F6E8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基础是建造建筑物的关键，在基础工程过程中产生扬尘、噪声。</w:t>
            </w:r>
          </w:p>
          <w:p w14:paraId="365F0F0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（4）主体工程</w:t>
            </w:r>
          </w:p>
          <w:p w14:paraId="77D1246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主体工程为生产车间的建设，此过程产生扬尘、噪声、建筑垃圾等。</w:t>
            </w:r>
          </w:p>
          <w:p w14:paraId="2D6FB7C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（5）设备安装</w:t>
            </w:r>
          </w:p>
          <w:p w14:paraId="31EB088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主体工程完工后，厂房内安装设备，此过程产生噪声。</w:t>
            </w:r>
          </w:p>
          <w:p w14:paraId="20B2900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（6）地面覆盖</w:t>
            </w:r>
          </w:p>
          <w:p w14:paraId="7D4B97A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工程结束后，进行地面覆盖、绿化，最后验收交工。</w:t>
            </w:r>
          </w:p>
          <w:p w14:paraId="5806F12F">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二、运营期</w:t>
            </w:r>
          </w:p>
          <w:p w14:paraId="1D5F856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工艺流程简述：</w:t>
            </w:r>
          </w:p>
          <w:p w14:paraId="748D4E0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（1）原料库</w:t>
            </w:r>
          </w:p>
          <w:p w14:paraId="6BF84B2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原料用量为</w:t>
            </w:r>
            <w:r>
              <w:rPr>
                <w:rFonts w:eastAsiaTheme="minorEastAsia"/>
                <w:color w:val="000000" w:themeColor="text1"/>
                <w:szCs w:val="21"/>
                <w14:textFill>
                  <w14:solidFill>
                    <w14:schemeClr w14:val="tx1"/>
                  </w14:solidFill>
                </w14:textFill>
              </w:rPr>
              <w:t>锰矿石废料（</w:t>
            </w:r>
            <w:r>
              <w:rPr>
                <w:rFonts w:eastAsiaTheme="minorEastAsia"/>
                <w:color w:val="000000" w:themeColor="text1"/>
                <w14:textFill>
                  <w14:solidFill>
                    <w14:schemeClr w14:val="tx1"/>
                  </w14:solidFill>
                </w14:textFill>
              </w:rPr>
              <w:t>朝阳县瓦房子镇宏兴锰矿30000t/a、葫芦岛市八家子经济开发区安胜矿产品综合利用有限公司10000t/a、辽宁鑫方成新材料有限公司10000t/a</w:t>
            </w:r>
            <w:r>
              <w:rPr>
                <w:rFonts w:eastAsiaTheme="minorEastAsia"/>
                <w:color w:val="000000" w:themeColor="text1"/>
                <w:szCs w:val="21"/>
                <w14:textFill>
                  <w14:solidFill>
                    <w14:schemeClr w14:val="tx1"/>
                  </w14:solidFill>
                </w14:textFill>
              </w:rPr>
              <w:t>）</w:t>
            </w:r>
            <w:r>
              <w:rPr>
                <w:rFonts w:eastAsiaTheme="minorEastAsia"/>
                <w:color w:val="000000" w:themeColor="text1"/>
                <w14:textFill>
                  <w14:solidFill>
                    <w14:schemeClr w14:val="tx1"/>
                  </w14:solidFill>
                </w14:textFill>
              </w:rPr>
              <w:t>平均含水率约为15%，膨润土1500t/a，平均含水率约12%，原料卸车及储存过程中会产生较大量扬尘，本项目通过场地洒水抑尘的措施降低扬尘的产生量，原料装卸机储存废气G1通过原料库沉降后无组织排放。</w:t>
            </w:r>
          </w:p>
          <w:p w14:paraId="2F68B9F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（2）投料废气</w:t>
            </w:r>
          </w:p>
          <w:p w14:paraId="5FB3109F">
            <w:pPr>
              <w:pStyle w:val="65"/>
              <w:ind w:firstLine="480"/>
              <w:rPr>
                <w:rFonts w:eastAsiaTheme="minorEastAsia"/>
                <w:color w:val="000000" w:themeColor="text1"/>
                <w14:textFill>
                  <w14:solidFill>
                    <w14:schemeClr w14:val="tx1"/>
                  </w14:solidFill>
                </w14:textFill>
              </w:rPr>
            </w:pPr>
            <w:r>
              <w:rPr>
                <w:rFonts w:eastAsiaTheme="minorEastAsia"/>
                <w:color w:val="0000FF"/>
              </w:rPr>
              <w:t>原料储存于封闭原料库内，投料仓设于原料库内部。由铲车将吨袋吊运至投料仓上方投料。其中膨润土原料采用吨袋包装，通过吨袋底部卸料口对接到投料仓进料口，依靠重力自流缓慢投料，辅以人工解袋及辅助操作。</w:t>
            </w:r>
            <w:r>
              <w:rPr>
                <w:rFonts w:eastAsiaTheme="minorEastAsia"/>
                <w:color w:val="000000" w:themeColor="text1"/>
                <w14:textFill>
                  <w14:solidFill>
                    <w14:schemeClr w14:val="tx1"/>
                  </w14:solidFill>
                </w14:textFill>
              </w:rPr>
              <w:t>投料仓出料口连接封闭传送皮带，将原料封闭输送至混料机混合。</w:t>
            </w:r>
          </w:p>
          <w:p w14:paraId="7391801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上料口上方设置集气罩收集，收集废气通过布袋除尘器处理后经15m高排气筒排放DA002。未收集部分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车间沉降后无组织排放。废气G2经集气罩收集通过排气筒DA002排放。</w:t>
            </w:r>
          </w:p>
          <w:p w14:paraId="2FEB2A5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综上所述，废气G2经集气罩收集通过排气筒DA002排放。</w:t>
            </w:r>
          </w:p>
          <w:p w14:paraId="6BC48341">
            <w:pPr>
              <w:pStyle w:val="51"/>
              <w:spacing w:before="156"/>
              <w:rPr>
                <w:rFonts w:cs="Times New Roman"/>
                <w:b/>
                <w:bCs/>
                <w:color w:val="000000" w:themeColor="text1"/>
                <w14:textFill>
                  <w14:solidFill>
                    <w14:schemeClr w14:val="tx1"/>
                  </w14:solidFill>
                </w14:textFill>
              </w:rPr>
            </w:pPr>
            <w:r>
              <w:rPr>
                <w:rFonts w:cs="Times New Roman"/>
              </w:rPr>
              <w:drawing>
                <wp:inline distT="0" distB="0" distL="0" distR="0">
                  <wp:extent cx="5076825" cy="5657850"/>
                  <wp:effectExtent l="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1"/>
                          <a:stretch>
                            <a:fillRect/>
                          </a:stretch>
                        </pic:blipFill>
                        <pic:spPr>
                          <a:xfrm>
                            <a:off x="0" y="0"/>
                            <a:ext cx="5076825" cy="5657850"/>
                          </a:xfrm>
                          <a:prstGeom prst="rect">
                            <a:avLst/>
                          </a:prstGeom>
                        </pic:spPr>
                      </pic:pic>
                    </a:graphicData>
                  </a:graphic>
                </wp:inline>
              </w:drawing>
            </w:r>
          </w:p>
          <w:p w14:paraId="6CEC362B">
            <w:pPr>
              <w:ind w:firstLine="422"/>
              <w:jc w:val="center"/>
              <w:rPr>
                <w:rFonts w:eastAsiaTheme="minorEastAsia"/>
                <w:b/>
                <w:bCs/>
                <w:color w:val="0000FF"/>
                <w:szCs w:val="21"/>
              </w:rPr>
            </w:pPr>
            <w:r>
              <w:rPr>
                <w:rFonts w:eastAsiaTheme="minorEastAsia"/>
                <w:b/>
                <w:bCs/>
                <w:color w:val="0000FF"/>
                <w:szCs w:val="21"/>
              </w:rPr>
              <w:t>图2-6 运营期工艺流程及产污节点图</w:t>
            </w:r>
          </w:p>
          <w:p w14:paraId="3CE6FCA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（3）混料</w:t>
            </w:r>
          </w:p>
          <w:p w14:paraId="04770483">
            <w:pPr>
              <w:pStyle w:val="65"/>
              <w:ind w:firstLine="480"/>
              <w:rPr>
                <w:rFonts w:eastAsiaTheme="minorEastAsia"/>
                <w:color w:val="0000FF"/>
              </w:rPr>
            </w:pPr>
            <w:r>
              <w:rPr>
                <w:rFonts w:eastAsiaTheme="minorEastAsia"/>
                <w:color w:val="0000FF"/>
              </w:rPr>
              <w:t>混料工序将锰矿石废料、膨润土与水按比例投入全封闭混料机内进行密  闭混合。其中锰矿石废料用量为50000t/a，来源于朝阳县瓦房子镇宏兴锰矿、葫芦岛市八家子经济开发区安胜矿产品综合利用有限公司、辽宁鑫方成新材料有限公司三家企业锰矿石破碎筛分产生的粒径不合格物料；膨润土用量为1500t/a，作为粘结剂用于提高混合料成球性能；加水1000t/a，用于调节物料含水率，保证后续造粒工序稳定产出块状物料。各物料配比为锰矿石废料:膨润土:水=100:3:2（质量比）。</w:t>
            </w:r>
          </w:p>
          <w:p w14:paraId="64F4BC6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混料机的工作原理是通过机械力驱动，使不同成分的物料在容器内发生持续且规律性的相对运动，从而实现均匀混合。其核心机制通常包含三个方面：</w:t>
            </w:r>
            <w:r>
              <w:rPr>
                <w:rStyle w:val="38"/>
                <w:rFonts w:eastAsiaTheme="minorEastAsia"/>
                <w:b w:val="0"/>
                <w:bCs w:val="0"/>
                <w:color w:val="000000" w:themeColor="text1"/>
                <w14:textFill>
                  <w14:solidFill>
                    <w14:schemeClr w14:val="tx1"/>
                  </w14:solidFill>
                </w14:textFill>
              </w:rPr>
              <w:t>对流混合</w:t>
            </w:r>
            <w:r>
              <w:rPr>
                <w:rFonts w:eastAsiaTheme="minorEastAsia"/>
                <w:color w:val="000000" w:themeColor="text1"/>
                <w14:textFill>
                  <w14:solidFill>
                    <w14:schemeClr w14:val="tx1"/>
                  </w14:solidFill>
                </w14:textFill>
              </w:rPr>
              <w:t>——由搅拌桨叶、螺旋带或容器自身的旋转推动物料团块进行大范围的整体循环与位置交换，实现宏观上的快速分布；</w:t>
            </w:r>
            <w:r>
              <w:rPr>
                <w:rStyle w:val="38"/>
                <w:rFonts w:eastAsiaTheme="minorEastAsia"/>
                <w:b w:val="0"/>
                <w:bCs w:val="0"/>
                <w:color w:val="000000" w:themeColor="text1"/>
                <w14:textFill>
                  <w14:solidFill>
                    <w14:schemeClr w14:val="tx1"/>
                  </w14:solidFill>
                </w14:textFill>
              </w:rPr>
              <w:t>扩散混合</w:t>
            </w:r>
            <w:r>
              <w:rPr>
                <w:rFonts w:eastAsiaTheme="minorEastAsia"/>
                <w:color w:val="000000" w:themeColor="text1"/>
                <w14:textFill>
                  <w14:solidFill>
                    <w14:schemeClr w14:val="tx1"/>
                  </w14:solidFill>
                </w14:textFill>
              </w:rPr>
              <w:t>——物料颗粒在相互接触和移动中，因速度差和局部湍流而产生渗透、穿插与微扩散，达到细微尺度的均匀分散；</w:t>
            </w:r>
            <w:r>
              <w:rPr>
                <w:rStyle w:val="38"/>
                <w:rFonts w:eastAsiaTheme="minorEastAsia"/>
                <w:b w:val="0"/>
                <w:bCs w:val="0"/>
                <w:color w:val="000000" w:themeColor="text1"/>
                <w14:textFill>
                  <w14:solidFill>
                    <w14:schemeClr w14:val="tx1"/>
                  </w14:solidFill>
                </w14:textFill>
              </w:rPr>
              <w:t>剪切混合</w:t>
            </w:r>
            <w:r>
              <w:rPr>
                <w:rFonts w:eastAsiaTheme="minorEastAsia"/>
                <w:color w:val="000000" w:themeColor="text1"/>
                <w14:textFill>
                  <w14:solidFill>
                    <w14:schemeClr w14:val="tx1"/>
                  </w14:solidFill>
                </w14:textFill>
              </w:rPr>
              <w:t>——在具有速度梯度的流场中（如桨叶尖端或紧密颗粒层间），颗粒之间相互滑移、剥离，有效打破结块和团聚。这些机制协同作用，不断更新物料的接触界面，最终使各组分在统计学意义上达到高度均质的状态。</w:t>
            </w:r>
          </w:p>
          <w:p w14:paraId="1BEC98B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混料机上方设置集气罩收集，收集废气通过布袋除尘器处理后经15m高排气筒DA002排放。未收集部分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w:t>
            </w:r>
          </w:p>
          <w:p w14:paraId="5EAB10B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综上所述，废气G3经集气罩收集通过排气筒DA002排放。</w:t>
            </w:r>
          </w:p>
          <w:p w14:paraId="63AC7EA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（4）造球</w:t>
            </w:r>
          </w:p>
          <w:p w14:paraId="6B841F3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物料在旋转的圆盘或转鼓中，混合料借助水分及膨润土的粘结作用，首先在滚动与碰撞中形成微细颗粒作为母球核心（俗称</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母核</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）。随着造球机的持续旋转，母核在料层中不断翻滚，通过毛细力与粘滞力持续粘附周围粉料，并在滚动挤压作用下趋于密实，球核如同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滚雪球</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般逐层长大。在此过程中，较大、较重的球粒在圆盘造粒机中会移向底部并从边缘自动排出，而较小、较轻的颗粒留在盘内继续参与成球，由此实现了物料的自动分级与粒度控制，保证了排出球团的粒度均匀性。造球过程中，根据成球情况实时调节给料量、喷水量及造球机转速，使生球在合理的成球时间内达到目标粒径范围。排出造球机的生球经皮带输送机送入下一工序。</w:t>
            </w:r>
          </w:p>
          <w:p w14:paraId="46AE6A8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造球机上方均设置集气罩，收集废气通过布袋除尘器处理后经15m高排气筒DA002排放。集气罩未捕集的少量含尘气体通过车间沉降后无组织排放。</w:t>
            </w:r>
          </w:p>
          <w:p w14:paraId="2C3AA0E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综上所述，废气G4经集气罩收集通过排气筒DA002排放。</w:t>
            </w:r>
          </w:p>
          <w:p w14:paraId="603AA2A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（5）烘干</w:t>
            </w:r>
          </w:p>
          <w:p w14:paraId="447F462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加水混合后的原料通过封闭传送带传送至烘干车间温控烘干炉配套烘干容器，烘干废气通过风机引出。</w:t>
            </w:r>
          </w:p>
          <w:p w14:paraId="61B3EDD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燃气使用朝阳县瓦房子镇宏兴锰矿高炉煤气，利用燃烧产生的热风与湿物料间的传热传质过程。热源（燃气、煤或电）产生的热烟气在窑内与物料直接或间接接触，通过对流、传导及辐射方式将热量传递给物料，使其内部水分吸热汽化。同时，窑内强制通风形成的负压或气流将汽化的水蒸气及时带离物料表面，打破动态平衡，使内部水分持续向表面扩散并蒸发，最终实现物料脱水干燥。整个过程需精确控制温度至400℃，以及风速和停留时间，以防过热或干燥不均。</w:t>
            </w:r>
          </w:p>
          <w:p w14:paraId="4EB7FB24">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00" w:themeColor="text1"/>
                <w:kern w:val="2"/>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炉窑废气通过引风机引出，烘干废气G5通过回流用于预热燃料及供氧达到节省燃料及废气降温的目的，之后经过布袋除尘器除尘，除尘后通过石灰石/石膏法脱硫，最终通过15m高排气筒DA001排放。</w:t>
            </w:r>
            <w:r>
              <w:rPr>
                <w:rFonts w:ascii="Times New Roman" w:hAnsi="Times New Roman" w:eastAsiaTheme="minorEastAsia"/>
                <w:color w:val="000000" w:themeColor="text1"/>
                <w:kern w:val="2"/>
                <w14:textFill>
                  <w14:solidFill>
                    <w14:schemeClr w14:val="tx1"/>
                  </w14:solidFill>
                </w14:textFill>
              </w:rPr>
              <w:t>废气由引风机引出，温控烘干炉封闭，少量逸散的氮氧化物、二氧化硫、颗粒物以无组织形式排放。</w:t>
            </w:r>
          </w:p>
          <w:p w14:paraId="032A6A1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石灰石/石膏法脱硫效率为90%，脱硫废水循环使用，定期补充，脱硫过程产生脱硫石膏约为5.9t/a（干重）</w:t>
            </w:r>
            <w:r>
              <w:rPr>
                <w:rFonts w:eastAsiaTheme="minorEastAsia"/>
                <w:color w:val="0000FF"/>
              </w:rPr>
              <w:t>，含结晶水1.56g，游离水0.83t，合计含水2.39t，作为固体废物处理的脱硫石膏总重8.29t（计算过程见水平衡计算章节）。</w:t>
            </w:r>
          </w:p>
          <w:p w14:paraId="0D3508A4">
            <w:pPr>
              <w:pStyle w:val="65"/>
              <w:ind w:firstLine="480"/>
              <w:rPr>
                <w:rFonts w:eastAsiaTheme="minorEastAsia"/>
                <w:color w:val="0000FF"/>
              </w:rPr>
            </w:pPr>
            <w:r>
              <w:rPr>
                <w:rFonts w:eastAsiaTheme="minorEastAsia"/>
                <w:color w:val="0000FF"/>
              </w:rPr>
              <w:t>（6）成品库自然冷却</w:t>
            </w:r>
          </w:p>
          <w:p w14:paraId="469940F7">
            <w:pPr>
              <w:pStyle w:val="65"/>
              <w:ind w:firstLine="480"/>
              <w:rPr>
                <w:rFonts w:eastAsiaTheme="minorEastAsia"/>
                <w:color w:val="0000FF"/>
              </w:rPr>
            </w:pPr>
            <w:r>
              <w:rPr>
                <w:rFonts w:eastAsiaTheme="minorEastAsia"/>
                <w:color w:val="0000FF"/>
              </w:rPr>
              <w:t>烘干后的物料经封闭传送带输送至成品库内，在库内静置自然冷却至常温。冷却过程不涉及机械扰动或外加能源，物料在自然对流和辐射散热作用下缓慢降温。</w:t>
            </w:r>
          </w:p>
          <w:p w14:paraId="005E15D9">
            <w:pPr>
              <w:pStyle w:val="65"/>
              <w:ind w:firstLine="480"/>
              <w:rPr>
                <w:rFonts w:eastAsiaTheme="minorEastAsia"/>
                <w:color w:val="0000FF"/>
              </w:rPr>
            </w:pPr>
            <w:r>
              <w:rPr>
                <w:rFonts w:eastAsiaTheme="minorEastAsia"/>
                <w:color w:val="0000FF"/>
              </w:rPr>
              <w:t>本工序物料呈较稳定的块状，冷却过程中基本无扬尘产生。因卸料和自然风化产生的微量粉尘已计入产品储存工序（7），本工序不重复核算污染物排放。</w:t>
            </w:r>
          </w:p>
          <w:p w14:paraId="3478CD05">
            <w:pPr>
              <w:pStyle w:val="65"/>
              <w:ind w:firstLine="480"/>
              <w:rPr>
                <w:rFonts w:eastAsiaTheme="minorEastAsia"/>
                <w:color w:val="0000FF"/>
              </w:rPr>
            </w:pPr>
            <w:r>
              <w:rPr>
                <w:rFonts w:eastAsiaTheme="minorEastAsia"/>
                <w:color w:val="0000FF"/>
              </w:rPr>
              <w:t>（7）成品入库（烘干出料口封闭输送至成品库）</w:t>
            </w:r>
          </w:p>
          <w:p w14:paraId="195E1296">
            <w:pPr>
              <w:pStyle w:val="65"/>
              <w:ind w:firstLine="480"/>
              <w:rPr>
                <w:rFonts w:eastAsiaTheme="minorEastAsia"/>
                <w:color w:val="0000FF"/>
              </w:rPr>
            </w:pPr>
            <w:r>
              <w:rPr>
                <w:rFonts w:eastAsiaTheme="minorEastAsia"/>
                <w:color w:val="0000FF"/>
              </w:rPr>
              <w:t>烘干后的物料经烘干出料口通过封闭传送带直接输送至成品库卸料，废气G6通过车间沉降后无组织排放。</w:t>
            </w:r>
          </w:p>
          <w:p w14:paraId="48FBB73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（8）产品储存和装车</w:t>
            </w:r>
          </w:p>
          <w:p w14:paraId="7BB0B80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烘干后的产品储存于封闭的成品库内，通过铲车在成品库内将成品装车运输，成品储存及装车过程中产生废气G7通过产品库沉降后无组织排放。</w:t>
            </w:r>
          </w:p>
          <w:p w14:paraId="4591F3B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（9）输送废气</w:t>
            </w:r>
          </w:p>
          <w:p w14:paraId="0B3E717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本项目原料、加工生产的中间物料及产品在生产环节中均使用封闭的传送皮带输送，输送过程物料基本处于静止状态，产生的扬尘极少，通过车间沉降后无组织排放，不对其进行统计。</w:t>
            </w:r>
          </w:p>
          <w:p w14:paraId="7594BE58">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表2-20项目运营期产污环节及污染因子一览表</w:t>
            </w:r>
          </w:p>
          <w:tbl>
            <w:tblPr>
              <w:tblStyle w:val="35"/>
              <w:tblW w:w="8438"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05"/>
              <w:gridCol w:w="1418"/>
              <w:gridCol w:w="1699"/>
              <w:gridCol w:w="3079"/>
            </w:tblGrid>
            <w:tr w14:paraId="77B57C5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37" w:type="dxa"/>
                  <w:tcBorders>
                    <w:top w:val="double" w:color="auto" w:sz="2" w:space="0"/>
                    <w:left w:val="nil"/>
                    <w:bottom w:val="single" w:color="auto" w:sz="4" w:space="0"/>
                    <w:right w:val="single" w:color="auto" w:sz="4" w:space="0"/>
                  </w:tcBorders>
                  <w:vAlign w:val="center"/>
                </w:tcPr>
                <w:p w14:paraId="6657326C">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类别</w:t>
                  </w:r>
                </w:p>
              </w:tc>
              <w:tc>
                <w:tcPr>
                  <w:tcW w:w="1505" w:type="dxa"/>
                  <w:tcBorders>
                    <w:top w:val="double" w:color="auto" w:sz="2" w:space="0"/>
                    <w:left w:val="single" w:color="auto" w:sz="4" w:space="0"/>
                    <w:bottom w:val="single" w:color="auto" w:sz="4" w:space="0"/>
                    <w:right w:val="single" w:color="auto" w:sz="4" w:space="0"/>
                  </w:tcBorders>
                  <w:vAlign w:val="center"/>
                </w:tcPr>
                <w:p w14:paraId="3A364E3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产污环节</w:t>
                  </w:r>
                </w:p>
              </w:tc>
              <w:tc>
                <w:tcPr>
                  <w:tcW w:w="1418" w:type="dxa"/>
                  <w:tcBorders>
                    <w:top w:val="double" w:color="auto" w:sz="2" w:space="0"/>
                    <w:left w:val="single" w:color="auto" w:sz="4" w:space="0"/>
                    <w:bottom w:val="single" w:color="auto" w:sz="4" w:space="0"/>
                    <w:right w:val="single" w:color="auto" w:sz="4" w:space="0"/>
                  </w:tcBorders>
                  <w:vAlign w:val="center"/>
                </w:tcPr>
                <w:p w14:paraId="5062C2C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污染因子</w:t>
                  </w:r>
                </w:p>
              </w:tc>
              <w:tc>
                <w:tcPr>
                  <w:tcW w:w="4778" w:type="dxa"/>
                  <w:gridSpan w:val="2"/>
                  <w:tcBorders>
                    <w:top w:val="double" w:color="auto" w:sz="2" w:space="0"/>
                    <w:left w:val="single" w:color="auto" w:sz="4" w:space="0"/>
                    <w:bottom w:val="single" w:color="auto" w:sz="4" w:space="0"/>
                    <w:right w:val="nil"/>
                  </w:tcBorders>
                  <w:vAlign w:val="center"/>
                </w:tcPr>
                <w:p w14:paraId="77D66A3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治理措施</w:t>
                  </w:r>
                </w:p>
              </w:tc>
            </w:tr>
            <w:tr w14:paraId="57C49C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restart"/>
                  <w:tcBorders>
                    <w:top w:val="single" w:color="auto" w:sz="4" w:space="0"/>
                    <w:left w:val="nil"/>
                    <w:bottom w:val="single" w:color="auto" w:sz="4" w:space="0"/>
                    <w:right w:val="single" w:color="auto" w:sz="4" w:space="0"/>
                  </w:tcBorders>
                  <w:vAlign w:val="center"/>
                </w:tcPr>
                <w:p w14:paraId="087131F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w:t>
                  </w:r>
                </w:p>
              </w:tc>
              <w:tc>
                <w:tcPr>
                  <w:tcW w:w="1505" w:type="dxa"/>
                  <w:tcBorders>
                    <w:top w:val="single" w:color="auto" w:sz="4" w:space="0"/>
                    <w:left w:val="single" w:color="auto" w:sz="4" w:space="0"/>
                    <w:bottom w:val="single" w:color="auto" w:sz="4" w:space="0"/>
                    <w:right w:val="single" w:color="auto" w:sz="4" w:space="0"/>
                  </w:tcBorders>
                  <w:vAlign w:val="center"/>
                </w:tcPr>
                <w:p w14:paraId="79958D8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原料堆存G1</w:t>
                  </w:r>
                </w:p>
              </w:tc>
              <w:tc>
                <w:tcPr>
                  <w:tcW w:w="1418" w:type="dxa"/>
                  <w:tcBorders>
                    <w:top w:val="single" w:color="auto" w:sz="4" w:space="0"/>
                    <w:left w:val="single" w:color="auto" w:sz="4" w:space="0"/>
                    <w:bottom w:val="single" w:color="auto" w:sz="4" w:space="0"/>
                    <w:right w:val="single" w:color="auto" w:sz="4" w:space="0"/>
                  </w:tcBorders>
                  <w:vAlign w:val="center"/>
                </w:tcPr>
                <w:p w14:paraId="7963E0A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07AECB9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洒水降尘、封闭原料库储存；</w:t>
                  </w:r>
                </w:p>
              </w:tc>
            </w:tr>
            <w:tr w14:paraId="3AA2568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2CC5C1E3">
                  <w:pPr>
                    <w:pStyle w:val="135"/>
                    <w:rPr>
                      <w:rFonts w:eastAsiaTheme="minorEastAsia"/>
                      <w:color w:val="000000" w:themeColor="text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39ABF05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投料废气G2</w:t>
                  </w:r>
                </w:p>
              </w:tc>
              <w:tc>
                <w:tcPr>
                  <w:tcW w:w="1418" w:type="dxa"/>
                  <w:tcBorders>
                    <w:top w:val="single" w:color="auto" w:sz="4" w:space="0"/>
                    <w:left w:val="single" w:color="auto" w:sz="4" w:space="0"/>
                    <w:bottom w:val="single" w:color="auto" w:sz="4" w:space="0"/>
                    <w:right w:val="single" w:color="auto" w:sz="4" w:space="0"/>
                  </w:tcBorders>
                  <w:vAlign w:val="center"/>
                </w:tcPr>
                <w:p w14:paraId="143103E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376F0F1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上料口设置在原料库内，上料口上方设置集气罩收集，收集废气通过布袋除尘器处理后经15m高排气筒排放DA002。未收集部分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w:t>
                  </w:r>
                </w:p>
              </w:tc>
            </w:tr>
            <w:tr w14:paraId="3C185E3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00DE0782">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60D2BBE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混料废气G3</w:t>
                  </w:r>
                </w:p>
              </w:tc>
              <w:tc>
                <w:tcPr>
                  <w:tcW w:w="1418" w:type="dxa"/>
                  <w:tcBorders>
                    <w:top w:val="single" w:color="auto" w:sz="4" w:space="0"/>
                    <w:left w:val="single" w:color="auto" w:sz="4" w:space="0"/>
                    <w:bottom w:val="single" w:color="auto" w:sz="4" w:space="0"/>
                    <w:right w:val="single" w:color="auto" w:sz="4" w:space="0"/>
                  </w:tcBorders>
                  <w:vAlign w:val="center"/>
                </w:tcPr>
                <w:p w14:paraId="0F7E5C51">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7DA8497E">
                  <w:pPr>
                    <w:widowControl/>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封闭传送带通过软连接封闭进料口及出料口，混料机上方设置集气罩收集，收集废气通过布袋除尘器处理后经15m高排气筒DA002排放。未收集部分</w:t>
                  </w:r>
                  <w:r>
                    <w:rPr>
                      <w:rFonts w:hint="eastAsia" w:eastAsiaTheme="minorEastAsia"/>
                      <w:color w:val="000000" w:themeColor="text1"/>
                      <w:kern w:val="0"/>
                      <w:szCs w:val="21"/>
                      <w:lang w:val="en-US" w:eastAsia="zh-CN"/>
                      <w14:textFill>
                        <w14:solidFill>
                          <w14:schemeClr w14:val="tx1"/>
                        </w14:solidFill>
                      </w14:textFill>
                    </w:rPr>
                    <w:t>经</w:t>
                  </w:r>
                  <w:r>
                    <w:rPr>
                      <w:rFonts w:eastAsiaTheme="minorEastAsia"/>
                      <w:color w:val="000000" w:themeColor="text1"/>
                      <w:kern w:val="0"/>
                      <w:szCs w:val="21"/>
                      <w14:textFill>
                        <w14:solidFill>
                          <w14:schemeClr w14:val="tx1"/>
                        </w14:solidFill>
                      </w14:textFill>
                    </w:rPr>
                    <w:t>过车间沉降后无组织排放；</w:t>
                  </w:r>
                </w:p>
              </w:tc>
            </w:tr>
            <w:tr w14:paraId="5A03FD2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0DE305C7">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596153B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造球废气G4</w:t>
                  </w:r>
                </w:p>
              </w:tc>
              <w:tc>
                <w:tcPr>
                  <w:tcW w:w="1418" w:type="dxa"/>
                  <w:tcBorders>
                    <w:top w:val="single" w:color="auto" w:sz="4" w:space="0"/>
                    <w:left w:val="single" w:color="auto" w:sz="4" w:space="0"/>
                    <w:bottom w:val="single" w:color="auto" w:sz="4" w:space="0"/>
                    <w:right w:val="single" w:color="auto" w:sz="4" w:space="0"/>
                  </w:tcBorders>
                  <w:vAlign w:val="center"/>
                </w:tcPr>
                <w:p w14:paraId="05D4BA8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4D052908">
                  <w:pPr>
                    <w:widowControl/>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造球机上方均设置集气罩，收集废气通过布袋除尘器处理后经15m高排气筒DA002排放。</w:t>
                  </w:r>
                </w:p>
              </w:tc>
            </w:tr>
            <w:tr w14:paraId="0B2DEB6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6612EA66">
                  <w:pPr>
                    <w:widowControl/>
                    <w:rPr>
                      <w:rFonts w:eastAsiaTheme="minorEastAsia"/>
                      <w:color w:val="000000" w:themeColor="text1"/>
                      <w:kern w:val="0"/>
                      <w:szCs w:val="21"/>
                      <w14:textFill>
                        <w14:solidFill>
                          <w14:schemeClr w14:val="tx1"/>
                        </w14:solidFill>
                      </w14:textFill>
                    </w:rPr>
                  </w:pPr>
                </w:p>
              </w:tc>
              <w:tc>
                <w:tcPr>
                  <w:tcW w:w="1505" w:type="dxa"/>
                  <w:vMerge w:val="restart"/>
                  <w:tcBorders>
                    <w:top w:val="single" w:color="auto" w:sz="4" w:space="0"/>
                    <w:left w:val="single" w:color="auto" w:sz="4" w:space="0"/>
                    <w:right w:val="single" w:color="auto" w:sz="4" w:space="0"/>
                  </w:tcBorders>
                  <w:vAlign w:val="center"/>
                </w:tcPr>
                <w:p w14:paraId="7EB73E3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烘干废气G5</w:t>
                  </w:r>
                </w:p>
              </w:tc>
              <w:tc>
                <w:tcPr>
                  <w:tcW w:w="1418" w:type="dxa"/>
                  <w:tcBorders>
                    <w:top w:val="single" w:color="auto" w:sz="4" w:space="0"/>
                    <w:left w:val="single" w:color="auto" w:sz="4" w:space="0"/>
                    <w:bottom w:val="single" w:color="auto" w:sz="4" w:space="0"/>
                    <w:right w:val="single" w:color="auto" w:sz="4" w:space="0"/>
                  </w:tcBorders>
                  <w:vAlign w:val="center"/>
                </w:tcPr>
                <w:p w14:paraId="56DACB2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氮氧化物</w:t>
                  </w:r>
                </w:p>
              </w:tc>
              <w:tc>
                <w:tcPr>
                  <w:tcW w:w="1699" w:type="dxa"/>
                  <w:vMerge w:val="restart"/>
                  <w:tcBorders>
                    <w:top w:val="single" w:color="auto" w:sz="4" w:space="0"/>
                    <w:left w:val="single" w:color="auto" w:sz="4" w:space="0"/>
                    <w:right w:val="nil"/>
                  </w:tcBorders>
                  <w:vAlign w:val="center"/>
                </w:tcPr>
                <w:p w14:paraId="22B064B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废气由风机负压导出收集处理，最终通过15m高排气筒排放。</w:t>
                  </w:r>
                </w:p>
              </w:tc>
              <w:tc>
                <w:tcPr>
                  <w:tcW w:w="3079" w:type="dxa"/>
                  <w:tcBorders>
                    <w:top w:val="single" w:color="auto" w:sz="4" w:space="0"/>
                    <w:left w:val="single" w:color="auto" w:sz="4" w:space="0"/>
                    <w:bottom w:val="single" w:color="auto" w:sz="4" w:space="0"/>
                    <w:right w:val="nil"/>
                  </w:tcBorders>
                  <w:vAlign w:val="center"/>
                </w:tcPr>
                <w:p w14:paraId="6414C09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未收集部分以无组织形式排放（车间沉降效率忽略不计）；</w:t>
                  </w:r>
                </w:p>
              </w:tc>
            </w:tr>
            <w:tr w14:paraId="114BF83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7BAB9F62">
                  <w:pPr>
                    <w:widowControl/>
                    <w:rPr>
                      <w:rFonts w:eastAsiaTheme="minorEastAsia"/>
                      <w:color w:val="000000" w:themeColor="text1"/>
                      <w:kern w:val="0"/>
                      <w:szCs w:val="21"/>
                      <w14:textFill>
                        <w14:solidFill>
                          <w14:schemeClr w14:val="tx1"/>
                        </w14:solidFill>
                      </w14:textFill>
                    </w:rPr>
                  </w:pPr>
                </w:p>
              </w:tc>
              <w:tc>
                <w:tcPr>
                  <w:tcW w:w="1505" w:type="dxa"/>
                  <w:vMerge w:val="continue"/>
                  <w:tcBorders>
                    <w:left w:val="single" w:color="auto" w:sz="4" w:space="0"/>
                    <w:right w:val="single" w:color="auto" w:sz="4" w:space="0"/>
                  </w:tcBorders>
                  <w:vAlign w:val="center"/>
                </w:tcPr>
                <w:p w14:paraId="020E66D2">
                  <w:pPr>
                    <w:pStyle w:val="135"/>
                    <w:rPr>
                      <w:rFonts w:eastAsiaTheme="minorEastAsia"/>
                      <w:color w:val="000000" w:themeColor="text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7D8B2F4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1699" w:type="dxa"/>
                  <w:vMerge w:val="continue"/>
                  <w:tcBorders>
                    <w:left w:val="single" w:color="auto" w:sz="4" w:space="0"/>
                    <w:right w:val="nil"/>
                  </w:tcBorders>
                  <w:vAlign w:val="center"/>
                </w:tcPr>
                <w:p w14:paraId="5FA177FB">
                  <w:pPr>
                    <w:pStyle w:val="135"/>
                    <w:rPr>
                      <w:rFonts w:eastAsiaTheme="minorEastAsia"/>
                      <w:color w:val="000000" w:themeColor="text1"/>
                      <w14:textFill>
                        <w14:solidFill>
                          <w14:schemeClr w14:val="tx1"/>
                        </w14:solidFill>
                      </w14:textFill>
                    </w:rPr>
                  </w:pPr>
                </w:p>
              </w:tc>
              <w:tc>
                <w:tcPr>
                  <w:tcW w:w="3079" w:type="dxa"/>
                  <w:tcBorders>
                    <w:top w:val="single" w:color="auto" w:sz="4" w:space="0"/>
                    <w:left w:val="single" w:color="auto" w:sz="4" w:space="0"/>
                    <w:bottom w:val="single" w:color="auto" w:sz="4" w:space="0"/>
                    <w:right w:val="nil"/>
                  </w:tcBorders>
                  <w:vAlign w:val="center"/>
                </w:tcPr>
                <w:p w14:paraId="5084CA2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布袋除尘器除尘；未收集部分通过车间排放以无组织形式排放</w:t>
                  </w:r>
                </w:p>
              </w:tc>
            </w:tr>
            <w:tr w14:paraId="4A7A233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2A7DF261">
                  <w:pPr>
                    <w:widowControl/>
                    <w:rPr>
                      <w:rFonts w:eastAsiaTheme="minorEastAsia"/>
                      <w:color w:val="000000" w:themeColor="text1"/>
                      <w:kern w:val="0"/>
                      <w:szCs w:val="21"/>
                      <w14:textFill>
                        <w14:solidFill>
                          <w14:schemeClr w14:val="tx1"/>
                        </w14:solidFill>
                      </w14:textFill>
                    </w:rPr>
                  </w:pPr>
                </w:p>
              </w:tc>
              <w:tc>
                <w:tcPr>
                  <w:tcW w:w="1505" w:type="dxa"/>
                  <w:vMerge w:val="continue"/>
                  <w:tcBorders>
                    <w:left w:val="single" w:color="auto" w:sz="4" w:space="0"/>
                    <w:bottom w:val="single" w:color="auto" w:sz="4" w:space="0"/>
                    <w:right w:val="single" w:color="auto" w:sz="4" w:space="0"/>
                  </w:tcBorders>
                  <w:vAlign w:val="center"/>
                </w:tcPr>
                <w:p w14:paraId="3CC84702">
                  <w:pPr>
                    <w:pStyle w:val="135"/>
                    <w:rPr>
                      <w:rFonts w:eastAsiaTheme="minorEastAsia"/>
                      <w:color w:val="000000" w:themeColor="text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6A58F46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1699" w:type="dxa"/>
                  <w:vMerge w:val="continue"/>
                  <w:tcBorders>
                    <w:left w:val="single" w:color="auto" w:sz="4" w:space="0"/>
                    <w:bottom w:val="single" w:color="auto" w:sz="4" w:space="0"/>
                    <w:right w:val="nil"/>
                  </w:tcBorders>
                  <w:vAlign w:val="center"/>
                </w:tcPr>
                <w:p w14:paraId="71A5546E">
                  <w:pPr>
                    <w:pStyle w:val="135"/>
                    <w:rPr>
                      <w:rFonts w:eastAsiaTheme="minorEastAsia"/>
                      <w:color w:val="000000" w:themeColor="text1"/>
                      <w14:textFill>
                        <w14:solidFill>
                          <w14:schemeClr w14:val="tx1"/>
                        </w14:solidFill>
                      </w14:textFill>
                    </w:rPr>
                  </w:pPr>
                </w:p>
              </w:tc>
              <w:tc>
                <w:tcPr>
                  <w:tcW w:w="3079" w:type="dxa"/>
                  <w:tcBorders>
                    <w:top w:val="single" w:color="auto" w:sz="4" w:space="0"/>
                    <w:left w:val="single" w:color="auto" w:sz="4" w:space="0"/>
                    <w:bottom w:val="single" w:color="auto" w:sz="4" w:space="0"/>
                    <w:right w:val="nil"/>
                  </w:tcBorders>
                  <w:vAlign w:val="center"/>
                </w:tcPr>
                <w:p w14:paraId="6EA4FC9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控制炉内温度不高于400摄氏度，防止物料中少量硫化物氧化；石灰石/石膏法脱硫；未收集部分以无组织形式排放（车间沉降效率忽略不计）；</w:t>
                  </w:r>
                </w:p>
              </w:tc>
            </w:tr>
            <w:tr w14:paraId="53073F3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4AA5B50B">
                  <w:pPr>
                    <w:widowControl/>
                    <w:rPr>
                      <w:rFonts w:eastAsiaTheme="minorEastAsia"/>
                      <w:color w:val="000000" w:themeColor="text1"/>
                      <w:kern w:val="0"/>
                      <w:szCs w:val="21"/>
                      <w14:textFill>
                        <w14:solidFill>
                          <w14:schemeClr w14:val="tx1"/>
                        </w14:solidFill>
                      </w14:textFill>
                    </w:rPr>
                  </w:pPr>
                </w:p>
              </w:tc>
              <w:tc>
                <w:tcPr>
                  <w:tcW w:w="1505" w:type="dxa"/>
                  <w:vMerge w:val="restart"/>
                  <w:tcBorders>
                    <w:top w:val="single" w:color="auto" w:sz="4" w:space="0"/>
                    <w:left w:val="single" w:color="auto" w:sz="4" w:space="0"/>
                    <w:right w:val="single" w:color="auto" w:sz="4" w:space="0"/>
                  </w:tcBorders>
                  <w:vAlign w:val="center"/>
                </w:tcPr>
                <w:p w14:paraId="521F4C7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成品入库</w:t>
                  </w:r>
                  <w:r>
                    <w:rPr>
                      <w:rFonts w:eastAsiaTheme="minorEastAsia"/>
                      <w:color w:val="0000FF"/>
                    </w:rPr>
                    <w:t>（烘干出料口封闭输送至成品库）</w:t>
                  </w:r>
                  <w:r>
                    <w:rPr>
                      <w:rFonts w:eastAsiaTheme="minorEastAsia"/>
                      <w:color w:val="000000" w:themeColor="text1"/>
                      <w14:textFill>
                        <w14:solidFill>
                          <w14:schemeClr w14:val="tx1"/>
                        </w14:solidFill>
                      </w14:textFill>
                    </w:rPr>
                    <w:t>G6</w:t>
                  </w:r>
                </w:p>
              </w:tc>
              <w:tc>
                <w:tcPr>
                  <w:tcW w:w="1418" w:type="dxa"/>
                  <w:tcBorders>
                    <w:top w:val="single" w:color="auto" w:sz="4" w:space="0"/>
                    <w:left w:val="single" w:color="auto" w:sz="4" w:space="0"/>
                    <w:bottom w:val="single" w:color="auto" w:sz="4" w:space="0"/>
                    <w:right w:val="single" w:color="auto" w:sz="4" w:space="0"/>
                  </w:tcBorders>
                  <w:vAlign w:val="center"/>
                </w:tcPr>
                <w:p w14:paraId="15C4AF5F">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35888FF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本项目成品为结构较稳定的块状产品，产尘相对较少，产生的扬尘通过成品库沉降后无组织排放。</w:t>
                  </w:r>
                </w:p>
              </w:tc>
            </w:tr>
            <w:tr w14:paraId="270C3D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5810BD9A">
                  <w:pPr>
                    <w:widowControl/>
                    <w:rPr>
                      <w:rFonts w:eastAsiaTheme="minorEastAsia"/>
                      <w:color w:val="000000" w:themeColor="text1"/>
                      <w:kern w:val="0"/>
                      <w:szCs w:val="21"/>
                      <w14:textFill>
                        <w14:solidFill>
                          <w14:schemeClr w14:val="tx1"/>
                        </w14:solidFill>
                      </w14:textFill>
                    </w:rPr>
                  </w:pPr>
                </w:p>
              </w:tc>
              <w:tc>
                <w:tcPr>
                  <w:tcW w:w="1505" w:type="dxa"/>
                  <w:vMerge w:val="continue"/>
                  <w:tcBorders>
                    <w:left w:val="single" w:color="auto" w:sz="4" w:space="0"/>
                    <w:right w:val="single" w:color="auto" w:sz="4" w:space="0"/>
                  </w:tcBorders>
                  <w:vAlign w:val="center"/>
                </w:tcPr>
                <w:p w14:paraId="1546A5A0">
                  <w:pPr>
                    <w:pStyle w:val="135"/>
                    <w:rPr>
                      <w:rFonts w:eastAsiaTheme="minorEastAsia"/>
                      <w:color w:val="000000" w:themeColor="text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524C9516">
                  <w:pPr>
                    <w:pStyle w:val="135"/>
                    <w:rPr>
                      <w:rFonts w:eastAsiaTheme="minorEastAsia"/>
                      <w:color w:val="0000FF"/>
                    </w:rPr>
                  </w:pPr>
                  <w:r>
                    <w:rPr>
                      <w:rFonts w:eastAsiaTheme="minorEastAsia"/>
                      <w:color w:val="0000FF"/>
                    </w:rPr>
                    <w:t>氮氧化物</w:t>
                  </w:r>
                </w:p>
              </w:tc>
              <w:tc>
                <w:tcPr>
                  <w:tcW w:w="4778" w:type="dxa"/>
                  <w:gridSpan w:val="2"/>
                  <w:tcBorders>
                    <w:top w:val="single" w:color="auto" w:sz="4" w:space="0"/>
                    <w:left w:val="single" w:color="auto" w:sz="4" w:space="0"/>
                    <w:bottom w:val="single" w:color="auto" w:sz="4" w:space="0"/>
                    <w:right w:val="nil"/>
                  </w:tcBorders>
                  <w:vAlign w:val="center"/>
                </w:tcPr>
                <w:p w14:paraId="5F003C0A">
                  <w:pPr>
                    <w:pStyle w:val="135"/>
                    <w:rPr>
                      <w:rFonts w:eastAsiaTheme="minorEastAsia"/>
                      <w:color w:val="0000FF"/>
                    </w:rPr>
                  </w:pPr>
                  <w:r>
                    <w:rPr>
                      <w:rFonts w:eastAsiaTheme="minorEastAsia"/>
                      <w:color w:val="0000FF"/>
                    </w:rPr>
                    <w:t>烘干入料口出料端少量逸散的氮氧化物计入烘干废气G5，统一核算，不重复统计。</w:t>
                  </w:r>
                </w:p>
              </w:tc>
            </w:tr>
            <w:tr w14:paraId="7966CCA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1BA6DADC">
                  <w:pPr>
                    <w:widowControl/>
                    <w:rPr>
                      <w:rFonts w:eastAsiaTheme="minorEastAsia"/>
                      <w:color w:val="000000" w:themeColor="text1"/>
                      <w:kern w:val="0"/>
                      <w:szCs w:val="21"/>
                      <w14:textFill>
                        <w14:solidFill>
                          <w14:schemeClr w14:val="tx1"/>
                        </w14:solidFill>
                      </w14:textFill>
                    </w:rPr>
                  </w:pPr>
                </w:p>
              </w:tc>
              <w:tc>
                <w:tcPr>
                  <w:tcW w:w="1505" w:type="dxa"/>
                  <w:vMerge w:val="continue"/>
                  <w:tcBorders>
                    <w:left w:val="single" w:color="auto" w:sz="4" w:space="0"/>
                    <w:bottom w:val="single" w:color="auto" w:sz="4" w:space="0"/>
                    <w:right w:val="single" w:color="auto" w:sz="4" w:space="0"/>
                  </w:tcBorders>
                  <w:vAlign w:val="center"/>
                </w:tcPr>
                <w:p w14:paraId="6B26E88F">
                  <w:pPr>
                    <w:pStyle w:val="135"/>
                    <w:rPr>
                      <w:rFonts w:eastAsiaTheme="minorEastAsia"/>
                      <w:color w:val="000000" w:themeColor="text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4EB4B075">
                  <w:pPr>
                    <w:pStyle w:val="135"/>
                    <w:rPr>
                      <w:rFonts w:eastAsiaTheme="minorEastAsia"/>
                      <w:color w:val="0000FF"/>
                    </w:rPr>
                  </w:pPr>
                  <w:r>
                    <w:rPr>
                      <w:rFonts w:eastAsiaTheme="minorEastAsia"/>
                      <w:color w:val="0000FF"/>
                    </w:rPr>
                    <w:t>二氧化硫</w:t>
                  </w:r>
                </w:p>
              </w:tc>
              <w:tc>
                <w:tcPr>
                  <w:tcW w:w="4778" w:type="dxa"/>
                  <w:gridSpan w:val="2"/>
                  <w:tcBorders>
                    <w:top w:val="single" w:color="auto" w:sz="4" w:space="0"/>
                    <w:left w:val="single" w:color="auto" w:sz="4" w:space="0"/>
                    <w:bottom w:val="single" w:color="auto" w:sz="4" w:space="0"/>
                    <w:right w:val="nil"/>
                  </w:tcBorders>
                  <w:vAlign w:val="center"/>
                </w:tcPr>
                <w:p w14:paraId="04E251BF">
                  <w:pPr>
                    <w:pStyle w:val="135"/>
                    <w:rPr>
                      <w:rFonts w:eastAsiaTheme="minorEastAsia"/>
                      <w:color w:val="0000FF"/>
                    </w:rPr>
                  </w:pPr>
                  <w:r>
                    <w:rPr>
                      <w:rFonts w:eastAsiaTheme="minorEastAsia"/>
                      <w:color w:val="0000FF"/>
                    </w:rPr>
                    <w:t>烘干入料口出料端少量逸散的二氧化硫计入烘干废气G5，统一核算，不重复统计。</w:t>
                  </w:r>
                </w:p>
              </w:tc>
            </w:tr>
            <w:tr w14:paraId="09794BB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77C6DCD7">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231315C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产品储存和装车G7</w:t>
                  </w:r>
                </w:p>
              </w:tc>
              <w:tc>
                <w:tcPr>
                  <w:tcW w:w="1418" w:type="dxa"/>
                  <w:tcBorders>
                    <w:top w:val="single" w:color="auto" w:sz="4" w:space="0"/>
                    <w:left w:val="single" w:color="auto" w:sz="4" w:space="0"/>
                    <w:bottom w:val="single" w:color="auto" w:sz="4" w:space="0"/>
                    <w:right w:val="single" w:color="auto" w:sz="4" w:space="0"/>
                  </w:tcBorders>
                  <w:vAlign w:val="center"/>
                </w:tcPr>
                <w:p w14:paraId="2E37158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124202FC">
                  <w:pPr>
                    <w:pStyle w:val="48"/>
                  </w:pPr>
                  <w:r>
                    <w:t>烘干后的产品储存于封闭的成品库内，通过铲车在成品库内将成品装车运输，成品储存及装车过程中产生废气G7通过产品库沉降后无组织排放。</w:t>
                  </w:r>
                </w:p>
              </w:tc>
            </w:tr>
            <w:tr w14:paraId="28D7CA5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0D59D6D1">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4A92B9A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输送废气</w:t>
                  </w:r>
                </w:p>
              </w:tc>
              <w:tc>
                <w:tcPr>
                  <w:tcW w:w="1418" w:type="dxa"/>
                  <w:tcBorders>
                    <w:top w:val="single" w:color="auto" w:sz="4" w:space="0"/>
                    <w:left w:val="single" w:color="auto" w:sz="4" w:space="0"/>
                    <w:bottom w:val="single" w:color="auto" w:sz="4" w:space="0"/>
                    <w:right w:val="single" w:color="auto" w:sz="4" w:space="0"/>
                  </w:tcBorders>
                  <w:vAlign w:val="center"/>
                </w:tcPr>
                <w:p w14:paraId="79E968E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0A6A3DF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使用全封闭传送带输送，与设备连接点使用软连接（烘干炉进料过程物料为湿料，入料过程不封闭），产生的颗粒物较少，通过车间沉降后无组织排放。</w:t>
                  </w:r>
                </w:p>
              </w:tc>
            </w:tr>
            <w:tr w14:paraId="68858B4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7979C8B0">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5014EF6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运输</w:t>
                  </w:r>
                </w:p>
              </w:tc>
              <w:tc>
                <w:tcPr>
                  <w:tcW w:w="1418" w:type="dxa"/>
                  <w:tcBorders>
                    <w:top w:val="single" w:color="auto" w:sz="4" w:space="0"/>
                    <w:left w:val="single" w:color="auto" w:sz="4" w:space="0"/>
                    <w:bottom w:val="single" w:color="auto" w:sz="4" w:space="0"/>
                    <w:right w:val="single" w:color="auto" w:sz="4" w:space="0"/>
                  </w:tcBorders>
                  <w:vAlign w:val="center"/>
                </w:tcPr>
                <w:p w14:paraId="4E31898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4778" w:type="dxa"/>
                  <w:gridSpan w:val="2"/>
                  <w:tcBorders>
                    <w:top w:val="single" w:color="auto" w:sz="4" w:space="0"/>
                    <w:left w:val="single" w:color="auto" w:sz="4" w:space="0"/>
                    <w:bottom w:val="single" w:color="auto" w:sz="4" w:space="0"/>
                    <w:right w:val="nil"/>
                  </w:tcBorders>
                  <w:vAlign w:val="center"/>
                </w:tcPr>
                <w:p w14:paraId="5D74E51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运输车辆进行覆盖，道路洒水抑尘。</w:t>
                  </w:r>
                </w:p>
              </w:tc>
            </w:tr>
            <w:tr w14:paraId="780CCBE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restart"/>
                  <w:tcBorders>
                    <w:top w:val="single" w:color="auto" w:sz="4" w:space="0"/>
                    <w:left w:val="nil"/>
                    <w:right w:val="single" w:color="auto" w:sz="4" w:space="0"/>
                  </w:tcBorders>
                  <w:vAlign w:val="center"/>
                </w:tcPr>
                <w:p w14:paraId="663D208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废水</w:t>
                  </w:r>
                </w:p>
              </w:tc>
              <w:tc>
                <w:tcPr>
                  <w:tcW w:w="2923" w:type="dxa"/>
                  <w:gridSpan w:val="2"/>
                  <w:tcBorders>
                    <w:top w:val="single" w:color="auto" w:sz="4" w:space="0"/>
                    <w:left w:val="single" w:color="auto" w:sz="4" w:space="0"/>
                    <w:bottom w:val="single" w:color="auto" w:sz="4" w:space="0"/>
                    <w:right w:val="single" w:color="auto" w:sz="4" w:space="0"/>
                  </w:tcBorders>
                  <w:vAlign w:val="center"/>
                </w:tcPr>
                <w:p w14:paraId="5215869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脱硫废水W1</w:t>
                  </w:r>
                </w:p>
              </w:tc>
              <w:tc>
                <w:tcPr>
                  <w:tcW w:w="4778" w:type="dxa"/>
                  <w:gridSpan w:val="2"/>
                  <w:tcBorders>
                    <w:top w:val="single" w:color="auto" w:sz="4" w:space="0"/>
                    <w:left w:val="single" w:color="auto" w:sz="4" w:space="0"/>
                    <w:bottom w:val="single" w:color="auto" w:sz="4" w:space="0"/>
                    <w:right w:val="nil"/>
                  </w:tcBorders>
                  <w:vAlign w:val="center"/>
                </w:tcPr>
                <w:p w14:paraId="1ED8A3B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脱硫废水循环使用，定期补充，不外排</w:t>
                  </w:r>
                </w:p>
              </w:tc>
            </w:tr>
            <w:tr w14:paraId="20C846A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left w:val="nil"/>
                    <w:right w:val="single" w:color="auto" w:sz="4" w:space="0"/>
                  </w:tcBorders>
                  <w:vAlign w:val="center"/>
                </w:tcPr>
                <w:p w14:paraId="1DF6B6B5">
                  <w:pPr>
                    <w:widowControl/>
                    <w:rPr>
                      <w:rFonts w:eastAsiaTheme="minorEastAsia"/>
                      <w:color w:val="000000" w:themeColor="text1"/>
                      <w:kern w:val="0"/>
                      <w:szCs w:val="21"/>
                      <w14:textFill>
                        <w14:solidFill>
                          <w14:schemeClr w14:val="tx1"/>
                        </w14:solidFill>
                      </w14:textFill>
                    </w:rPr>
                  </w:pPr>
                </w:p>
              </w:tc>
              <w:tc>
                <w:tcPr>
                  <w:tcW w:w="2923" w:type="dxa"/>
                  <w:gridSpan w:val="2"/>
                  <w:tcBorders>
                    <w:top w:val="single" w:color="auto" w:sz="4" w:space="0"/>
                    <w:left w:val="single" w:color="auto" w:sz="4" w:space="0"/>
                    <w:bottom w:val="single" w:color="auto" w:sz="4" w:space="0"/>
                    <w:right w:val="single" w:color="auto" w:sz="4" w:space="0"/>
                  </w:tcBorders>
                  <w:vAlign w:val="center"/>
                </w:tcPr>
                <w:p w14:paraId="1CCBFF5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降尘废水</w:t>
                  </w:r>
                </w:p>
              </w:tc>
              <w:tc>
                <w:tcPr>
                  <w:tcW w:w="4778" w:type="dxa"/>
                  <w:gridSpan w:val="2"/>
                  <w:tcBorders>
                    <w:top w:val="single" w:color="auto" w:sz="4" w:space="0"/>
                    <w:left w:val="single" w:color="auto" w:sz="4" w:space="0"/>
                    <w:bottom w:val="single" w:color="auto" w:sz="4" w:space="0"/>
                    <w:right w:val="nil"/>
                  </w:tcBorders>
                  <w:vAlign w:val="center"/>
                </w:tcPr>
                <w:p w14:paraId="590E9DC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降尘用水全部蒸发损耗，无生产废水产生。</w:t>
                  </w:r>
                </w:p>
              </w:tc>
            </w:tr>
            <w:tr w14:paraId="6AA1A40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left w:val="nil"/>
                    <w:bottom w:val="single" w:color="auto" w:sz="4" w:space="0"/>
                    <w:right w:val="single" w:color="auto" w:sz="4" w:space="0"/>
                  </w:tcBorders>
                  <w:vAlign w:val="center"/>
                </w:tcPr>
                <w:p w14:paraId="3E4AEFDF">
                  <w:pPr>
                    <w:widowControl/>
                    <w:rPr>
                      <w:rFonts w:eastAsiaTheme="minorEastAsia"/>
                      <w:color w:val="000000" w:themeColor="text1"/>
                      <w:kern w:val="0"/>
                      <w:szCs w:val="21"/>
                      <w14:textFill>
                        <w14:solidFill>
                          <w14:schemeClr w14:val="tx1"/>
                        </w14:solidFill>
                      </w14:textFill>
                    </w:rPr>
                  </w:pPr>
                </w:p>
              </w:tc>
              <w:tc>
                <w:tcPr>
                  <w:tcW w:w="2923" w:type="dxa"/>
                  <w:gridSpan w:val="2"/>
                  <w:tcBorders>
                    <w:top w:val="single" w:color="auto" w:sz="4" w:space="0"/>
                    <w:left w:val="single" w:color="auto" w:sz="4" w:space="0"/>
                    <w:bottom w:val="single" w:color="auto" w:sz="4" w:space="0"/>
                    <w:right w:val="single" w:color="auto" w:sz="4" w:space="0"/>
                  </w:tcBorders>
                  <w:vAlign w:val="center"/>
                </w:tcPr>
                <w:p w14:paraId="5BE1263C">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生活污水</w:t>
                  </w:r>
                </w:p>
              </w:tc>
              <w:tc>
                <w:tcPr>
                  <w:tcW w:w="4778" w:type="dxa"/>
                  <w:gridSpan w:val="2"/>
                  <w:tcBorders>
                    <w:top w:val="single" w:color="auto" w:sz="4" w:space="0"/>
                    <w:left w:val="single" w:color="auto" w:sz="4" w:space="0"/>
                    <w:bottom w:val="single" w:color="auto" w:sz="4" w:space="0"/>
                    <w:right w:val="nil"/>
                  </w:tcBorders>
                  <w:vAlign w:val="center"/>
                </w:tcPr>
                <w:p w14:paraId="6784BF0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生活污水排入化粪池，定期清掏堆肥，不外排。</w:t>
                  </w:r>
                </w:p>
              </w:tc>
            </w:tr>
            <w:tr w14:paraId="7C85198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tcBorders>
                    <w:top w:val="single" w:color="auto" w:sz="4" w:space="0"/>
                    <w:left w:val="nil"/>
                    <w:bottom w:val="single" w:color="auto" w:sz="4" w:space="0"/>
                    <w:right w:val="single" w:color="auto" w:sz="4" w:space="0"/>
                  </w:tcBorders>
                  <w:vAlign w:val="center"/>
                </w:tcPr>
                <w:p w14:paraId="561F29C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噪声</w:t>
                  </w:r>
                </w:p>
              </w:tc>
              <w:tc>
                <w:tcPr>
                  <w:tcW w:w="1505" w:type="dxa"/>
                  <w:tcBorders>
                    <w:top w:val="single" w:color="auto" w:sz="4" w:space="0"/>
                    <w:left w:val="single" w:color="auto" w:sz="4" w:space="0"/>
                    <w:bottom w:val="single" w:color="auto" w:sz="4" w:space="0"/>
                    <w:right w:val="single" w:color="auto" w:sz="4" w:space="0"/>
                  </w:tcBorders>
                  <w:vAlign w:val="center"/>
                </w:tcPr>
                <w:p w14:paraId="0493048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生产设备、运输</w:t>
                  </w:r>
                </w:p>
              </w:tc>
              <w:tc>
                <w:tcPr>
                  <w:tcW w:w="1418" w:type="dxa"/>
                  <w:tcBorders>
                    <w:top w:val="single" w:color="auto" w:sz="4" w:space="0"/>
                    <w:left w:val="single" w:color="auto" w:sz="4" w:space="0"/>
                    <w:bottom w:val="single" w:color="auto" w:sz="4" w:space="0"/>
                    <w:right w:val="single" w:color="auto" w:sz="4" w:space="0"/>
                  </w:tcBorders>
                  <w:vAlign w:val="center"/>
                </w:tcPr>
                <w:p w14:paraId="17214FD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等效连续A声级</w:t>
                  </w:r>
                </w:p>
              </w:tc>
              <w:tc>
                <w:tcPr>
                  <w:tcW w:w="4778" w:type="dxa"/>
                  <w:gridSpan w:val="2"/>
                  <w:tcBorders>
                    <w:top w:val="single" w:color="auto" w:sz="4" w:space="0"/>
                    <w:left w:val="single" w:color="auto" w:sz="4" w:space="0"/>
                    <w:bottom w:val="single" w:color="auto" w:sz="4" w:space="0"/>
                    <w:right w:val="nil"/>
                  </w:tcBorders>
                  <w:vAlign w:val="center"/>
                </w:tcPr>
                <w:p w14:paraId="74019A3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厂界加强绿化，选用低噪声设备，采取隔声、减振、消声等降噪措施；加强运输车辆管理，合理安排运输时间，严禁车辆超速超载运输。</w:t>
                  </w:r>
                </w:p>
              </w:tc>
            </w:tr>
            <w:tr w14:paraId="1DA16BA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restart"/>
                  <w:tcBorders>
                    <w:top w:val="single" w:color="auto" w:sz="4" w:space="0"/>
                    <w:left w:val="nil"/>
                    <w:bottom w:val="single" w:color="auto" w:sz="4" w:space="0"/>
                    <w:right w:val="single" w:color="auto" w:sz="4" w:space="0"/>
                  </w:tcBorders>
                  <w:vAlign w:val="center"/>
                </w:tcPr>
                <w:p w14:paraId="19310DB6">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固废</w:t>
                  </w:r>
                </w:p>
              </w:tc>
              <w:tc>
                <w:tcPr>
                  <w:tcW w:w="1505" w:type="dxa"/>
                  <w:tcBorders>
                    <w:top w:val="single" w:color="auto" w:sz="4" w:space="0"/>
                    <w:left w:val="single" w:color="auto" w:sz="4" w:space="0"/>
                    <w:bottom w:val="single" w:color="auto" w:sz="4" w:space="0"/>
                    <w:right w:val="single" w:color="auto" w:sz="4" w:space="0"/>
                  </w:tcBorders>
                  <w:vAlign w:val="center"/>
                </w:tcPr>
                <w:p w14:paraId="09E7C57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原料库S1</w:t>
                  </w:r>
                </w:p>
              </w:tc>
              <w:tc>
                <w:tcPr>
                  <w:tcW w:w="1418" w:type="dxa"/>
                  <w:tcBorders>
                    <w:top w:val="single" w:color="auto" w:sz="4" w:space="0"/>
                    <w:left w:val="single" w:color="auto" w:sz="4" w:space="0"/>
                    <w:bottom w:val="single" w:color="auto" w:sz="4" w:space="0"/>
                    <w:right w:val="single" w:color="auto" w:sz="4" w:space="0"/>
                  </w:tcBorders>
                  <w:vAlign w:val="center"/>
                </w:tcPr>
                <w:p w14:paraId="1B8FA24E">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沉降灰</w:t>
                  </w:r>
                </w:p>
              </w:tc>
              <w:tc>
                <w:tcPr>
                  <w:tcW w:w="4778" w:type="dxa"/>
                  <w:gridSpan w:val="2"/>
                  <w:tcBorders>
                    <w:top w:val="single" w:color="auto" w:sz="4" w:space="0"/>
                    <w:left w:val="single" w:color="auto" w:sz="4" w:space="0"/>
                    <w:bottom w:val="single" w:color="auto" w:sz="4" w:space="0"/>
                    <w:right w:val="nil"/>
                  </w:tcBorders>
                  <w:vAlign w:val="center"/>
                </w:tcPr>
                <w:p w14:paraId="70523AA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作为原料暂存于原料库，与锰矿石废料一同进入投料口</w:t>
                  </w:r>
                </w:p>
              </w:tc>
            </w:tr>
            <w:tr w14:paraId="21BF6B0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54AC45C7">
                  <w:pPr>
                    <w:pStyle w:val="135"/>
                    <w:rPr>
                      <w:rFonts w:eastAsiaTheme="minorEastAsia"/>
                      <w:color w:val="000000" w:themeColor="text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6FFDC825">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生产车间S2</w:t>
                  </w:r>
                </w:p>
              </w:tc>
              <w:tc>
                <w:tcPr>
                  <w:tcW w:w="1418" w:type="dxa"/>
                  <w:tcBorders>
                    <w:top w:val="single" w:color="auto" w:sz="4" w:space="0"/>
                    <w:left w:val="single" w:color="auto" w:sz="4" w:space="0"/>
                    <w:bottom w:val="single" w:color="auto" w:sz="4" w:space="0"/>
                    <w:right w:val="single" w:color="auto" w:sz="4" w:space="0"/>
                  </w:tcBorders>
                  <w:vAlign w:val="center"/>
                </w:tcPr>
                <w:p w14:paraId="75F4200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沉降灰</w:t>
                  </w:r>
                </w:p>
              </w:tc>
              <w:tc>
                <w:tcPr>
                  <w:tcW w:w="4778" w:type="dxa"/>
                  <w:gridSpan w:val="2"/>
                  <w:tcBorders>
                    <w:top w:val="single" w:color="auto" w:sz="4" w:space="0"/>
                    <w:left w:val="single" w:color="auto" w:sz="4" w:space="0"/>
                    <w:bottom w:val="single" w:color="auto" w:sz="4" w:space="0"/>
                    <w:right w:val="nil"/>
                  </w:tcBorders>
                  <w:vAlign w:val="center"/>
                </w:tcPr>
                <w:p w14:paraId="317CF49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作为原料暂存于原料库，与锰矿石废料一同进入投料口</w:t>
                  </w:r>
                </w:p>
              </w:tc>
            </w:tr>
            <w:tr w14:paraId="13D85E2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47795A76">
                  <w:pPr>
                    <w:pStyle w:val="135"/>
                    <w:rPr>
                      <w:rFonts w:eastAsiaTheme="minorEastAsia"/>
                      <w:color w:val="000000" w:themeColor="text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15902AD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烘干车间S3</w:t>
                  </w:r>
                </w:p>
              </w:tc>
              <w:tc>
                <w:tcPr>
                  <w:tcW w:w="1418" w:type="dxa"/>
                  <w:tcBorders>
                    <w:top w:val="single" w:color="auto" w:sz="4" w:space="0"/>
                    <w:left w:val="single" w:color="auto" w:sz="4" w:space="0"/>
                    <w:bottom w:val="single" w:color="auto" w:sz="4" w:space="0"/>
                    <w:right w:val="single" w:color="auto" w:sz="4" w:space="0"/>
                  </w:tcBorders>
                  <w:vAlign w:val="center"/>
                </w:tcPr>
                <w:p w14:paraId="56C79ED7">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沉降灰</w:t>
                  </w:r>
                </w:p>
              </w:tc>
              <w:tc>
                <w:tcPr>
                  <w:tcW w:w="4778" w:type="dxa"/>
                  <w:gridSpan w:val="2"/>
                  <w:tcBorders>
                    <w:top w:val="single" w:color="auto" w:sz="4" w:space="0"/>
                    <w:left w:val="single" w:color="auto" w:sz="4" w:space="0"/>
                    <w:bottom w:val="single" w:color="auto" w:sz="4" w:space="0"/>
                    <w:right w:val="nil"/>
                  </w:tcBorders>
                  <w:vAlign w:val="center"/>
                </w:tcPr>
                <w:p w14:paraId="4325952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作为原料暂存于原料库，与锰矿石废料一同进入投料口</w:t>
                  </w:r>
                </w:p>
              </w:tc>
            </w:tr>
            <w:tr w14:paraId="32D3EEE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6EA0B53D">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2655D26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布袋除尘S4</w:t>
                  </w:r>
                </w:p>
              </w:tc>
              <w:tc>
                <w:tcPr>
                  <w:tcW w:w="1418" w:type="dxa"/>
                  <w:tcBorders>
                    <w:top w:val="single" w:color="auto" w:sz="4" w:space="0"/>
                    <w:left w:val="single" w:color="auto" w:sz="4" w:space="0"/>
                    <w:bottom w:val="single" w:color="auto" w:sz="4" w:space="0"/>
                    <w:right w:val="single" w:color="auto" w:sz="4" w:space="0"/>
                  </w:tcBorders>
                  <w:vAlign w:val="center"/>
                </w:tcPr>
                <w:p w14:paraId="4575B354">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除尘灰</w:t>
                  </w:r>
                </w:p>
              </w:tc>
              <w:tc>
                <w:tcPr>
                  <w:tcW w:w="4778" w:type="dxa"/>
                  <w:gridSpan w:val="2"/>
                  <w:tcBorders>
                    <w:top w:val="single" w:color="auto" w:sz="4" w:space="0"/>
                    <w:left w:val="single" w:color="auto" w:sz="4" w:space="0"/>
                    <w:bottom w:val="single" w:color="auto" w:sz="4" w:space="0"/>
                    <w:right w:val="nil"/>
                  </w:tcBorders>
                  <w:vAlign w:val="center"/>
                </w:tcPr>
                <w:p w14:paraId="4F6D654C">
                  <w:pPr>
                    <w:widowControl/>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作为原料暂存于原料库，与锰矿石废料一同进入投料口</w:t>
                  </w:r>
                </w:p>
              </w:tc>
            </w:tr>
            <w:tr w14:paraId="06417AA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0780C2AD">
                  <w:pPr>
                    <w:widowControl/>
                    <w:rPr>
                      <w:rFonts w:eastAsiaTheme="minorEastAsia"/>
                      <w:color w:val="000000" w:themeColor="text1"/>
                      <w:kern w:val="0"/>
                      <w:szCs w:val="21"/>
                      <w14:textFill>
                        <w14:solidFill>
                          <w14:schemeClr w14:val="tx1"/>
                        </w14:solidFill>
                      </w14:textFill>
                    </w:rPr>
                  </w:pPr>
                </w:p>
              </w:tc>
              <w:tc>
                <w:tcPr>
                  <w:tcW w:w="1505" w:type="dxa"/>
                  <w:vMerge w:val="restart"/>
                  <w:tcBorders>
                    <w:top w:val="single" w:color="auto" w:sz="4" w:space="0"/>
                    <w:left w:val="single" w:color="auto" w:sz="4" w:space="0"/>
                    <w:right w:val="single" w:color="auto" w:sz="4" w:space="0"/>
                  </w:tcBorders>
                  <w:vAlign w:val="center"/>
                </w:tcPr>
                <w:p w14:paraId="71B9278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脱硫石膏</w:t>
                  </w:r>
                  <w:r>
                    <w:rPr>
                      <w:rFonts w:eastAsiaTheme="minorEastAsia"/>
                      <w:color w:val="0000FF"/>
                    </w:rPr>
                    <w:t>、沉淀池沉淀</w:t>
                  </w:r>
                  <w:r>
                    <w:rPr>
                      <w:rFonts w:eastAsiaTheme="minorEastAsia"/>
                      <w:color w:val="000000" w:themeColor="text1"/>
                      <w14:textFill>
                        <w14:solidFill>
                          <w14:schemeClr w14:val="tx1"/>
                        </w14:solidFill>
                      </w14:textFill>
                    </w:rPr>
                    <w:t>S5</w:t>
                  </w:r>
                </w:p>
              </w:tc>
              <w:tc>
                <w:tcPr>
                  <w:tcW w:w="1418" w:type="dxa"/>
                  <w:tcBorders>
                    <w:top w:val="single" w:color="auto" w:sz="4" w:space="0"/>
                    <w:left w:val="single" w:color="auto" w:sz="4" w:space="0"/>
                    <w:bottom w:val="single" w:color="auto" w:sz="4" w:space="0"/>
                    <w:right w:val="single" w:color="auto" w:sz="4" w:space="0"/>
                  </w:tcBorders>
                  <w:vAlign w:val="center"/>
                </w:tcPr>
                <w:p w14:paraId="672D9D10">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脱硫石膏</w:t>
                  </w:r>
                </w:p>
              </w:tc>
              <w:tc>
                <w:tcPr>
                  <w:tcW w:w="4778" w:type="dxa"/>
                  <w:gridSpan w:val="2"/>
                  <w:tcBorders>
                    <w:top w:val="single" w:color="auto" w:sz="4" w:space="0"/>
                    <w:left w:val="single" w:color="auto" w:sz="4" w:space="0"/>
                    <w:bottom w:val="single" w:color="auto" w:sz="4" w:space="0"/>
                    <w:right w:val="nil"/>
                  </w:tcBorders>
                  <w:vAlign w:val="center"/>
                </w:tcPr>
                <w:p w14:paraId="5BEF4BF2">
                  <w:pPr>
                    <w:widowControl/>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暂存于一般固废间，定期出售。</w:t>
                  </w:r>
                </w:p>
              </w:tc>
            </w:tr>
            <w:tr w14:paraId="0B8CD75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190B1630">
                  <w:pPr>
                    <w:widowControl/>
                    <w:rPr>
                      <w:rFonts w:eastAsiaTheme="minorEastAsia"/>
                      <w:color w:val="000000" w:themeColor="text1"/>
                      <w:kern w:val="0"/>
                      <w:szCs w:val="21"/>
                      <w14:textFill>
                        <w14:solidFill>
                          <w14:schemeClr w14:val="tx1"/>
                        </w14:solidFill>
                      </w14:textFill>
                    </w:rPr>
                  </w:pPr>
                </w:p>
              </w:tc>
              <w:tc>
                <w:tcPr>
                  <w:tcW w:w="1505" w:type="dxa"/>
                  <w:vMerge w:val="continue"/>
                  <w:tcBorders>
                    <w:left w:val="single" w:color="auto" w:sz="4" w:space="0"/>
                    <w:bottom w:val="single" w:color="auto" w:sz="4" w:space="0"/>
                    <w:right w:val="single" w:color="auto" w:sz="4" w:space="0"/>
                  </w:tcBorders>
                  <w:vAlign w:val="center"/>
                </w:tcPr>
                <w:p w14:paraId="595EE7C8">
                  <w:pPr>
                    <w:pStyle w:val="135"/>
                    <w:rPr>
                      <w:rFonts w:eastAsiaTheme="minorEastAsia"/>
                      <w:color w:val="000000" w:themeColor="text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28EED446">
                  <w:pPr>
                    <w:pStyle w:val="135"/>
                    <w:rPr>
                      <w:rFonts w:eastAsiaTheme="minorEastAsia"/>
                      <w:color w:val="000000" w:themeColor="text1"/>
                      <w14:textFill>
                        <w14:solidFill>
                          <w14:schemeClr w14:val="tx1"/>
                        </w14:solidFill>
                      </w14:textFill>
                    </w:rPr>
                  </w:pPr>
                  <w:r>
                    <w:rPr>
                      <w:rFonts w:eastAsiaTheme="minorEastAsia"/>
                      <w:color w:val="0000FF"/>
                    </w:rPr>
                    <w:t>沉淀池沉淀</w:t>
                  </w:r>
                </w:p>
              </w:tc>
              <w:tc>
                <w:tcPr>
                  <w:tcW w:w="4778" w:type="dxa"/>
                  <w:gridSpan w:val="2"/>
                  <w:tcBorders>
                    <w:top w:val="single" w:color="auto" w:sz="4" w:space="0"/>
                    <w:left w:val="single" w:color="auto" w:sz="4" w:space="0"/>
                    <w:bottom w:val="single" w:color="auto" w:sz="4" w:space="0"/>
                    <w:right w:val="nil"/>
                  </w:tcBorders>
                  <w:vAlign w:val="center"/>
                </w:tcPr>
                <w:p w14:paraId="6D525B7E">
                  <w:pPr>
                    <w:widowControl/>
                    <w:jc w:val="center"/>
                    <w:rPr>
                      <w:rFonts w:eastAsiaTheme="minorEastAsia"/>
                      <w:color w:val="000000" w:themeColor="text1"/>
                      <w14:textFill>
                        <w14:solidFill>
                          <w14:schemeClr w14:val="tx1"/>
                        </w14:solidFill>
                      </w14:textFill>
                    </w:rPr>
                  </w:pPr>
                  <w:r>
                    <w:rPr>
                      <w:rFonts w:eastAsiaTheme="minorEastAsia"/>
                      <w:color w:val="0000FF"/>
                    </w:rPr>
                    <w:t>暂存于一般固废间，定期交由朝阳中昊生态环境治理有限公司处置，该公司的《辽宁中昊生态环境治理有限公司矿山恢复综合治理项目环境影响报告书》中明确可接收Ⅰ、Ⅱ类一般工业固体废物（含污泥）进行矿山回填处理。</w:t>
                  </w:r>
                </w:p>
              </w:tc>
            </w:tr>
            <w:tr w14:paraId="21BE19D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352E64CC">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4FDDBC6D">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产品库S6</w:t>
                  </w:r>
                </w:p>
              </w:tc>
              <w:tc>
                <w:tcPr>
                  <w:tcW w:w="1418" w:type="dxa"/>
                  <w:tcBorders>
                    <w:top w:val="single" w:color="auto" w:sz="4" w:space="0"/>
                    <w:left w:val="single" w:color="auto" w:sz="4" w:space="0"/>
                    <w:bottom w:val="single" w:color="auto" w:sz="4" w:space="0"/>
                    <w:right w:val="single" w:color="auto" w:sz="4" w:space="0"/>
                  </w:tcBorders>
                  <w:vAlign w:val="center"/>
                </w:tcPr>
                <w:p w14:paraId="0892850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沉降灰</w:t>
                  </w:r>
                </w:p>
              </w:tc>
              <w:tc>
                <w:tcPr>
                  <w:tcW w:w="4778" w:type="dxa"/>
                  <w:gridSpan w:val="2"/>
                  <w:tcBorders>
                    <w:top w:val="single" w:color="auto" w:sz="4" w:space="0"/>
                    <w:left w:val="single" w:color="auto" w:sz="4" w:space="0"/>
                    <w:bottom w:val="single" w:color="auto" w:sz="4" w:space="0"/>
                    <w:right w:val="nil"/>
                  </w:tcBorders>
                  <w:vAlign w:val="center"/>
                </w:tcPr>
                <w:p w14:paraId="780638CD">
                  <w:pPr>
                    <w:widowControl/>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沉降于产品表面，与产品成分一致且不易分离，随产品直接作为产品出售</w:t>
                  </w:r>
                </w:p>
              </w:tc>
            </w:tr>
            <w:tr w14:paraId="78832B1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14F13ED2">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0603B43E">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布袋除尘S7</w:t>
                  </w:r>
                </w:p>
              </w:tc>
              <w:tc>
                <w:tcPr>
                  <w:tcW w:w="1418" w:type="dxa"/>
                  <w:tcBorders>
                    <w:top w:val="single" w:color="auto" w:sz="4" w:space="0"/>
                    <w:left w:val="single" w:color="auto" w:sz="4" w:space="0"/>
                    <w:bottom w:val="single" w:color="auto" w:sz="4" w:space="0"/>
                    <w:right w:val="single" w:color="auto" w:sz="4" w:space="0"/>
                  </w:tcBorders>
                  <w:vAlign w:val="center"/>
                </w:tcPr>
                <w:p w14:paraId="5726599B">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除尘灰</w:t>
                  </w:r>
                </w:p>
              </w:tc>
              <w:tc>
                <w:tcPr>
                  <w:tcW w:w="4778" w:type="dxa"/>
                  <w:gridSpan w:val="2"/>
                  <w:tcBorders>
                    <w:top w:val="single" w:color="auto" w:sz="4" w:space="0"/>
                    <w:left w:val="single" w:color="auto" w:sz="4" w:space="0"/>
                    <w:bottom w:val="single" w:color="auto" w:sz="4" w:space="0"/>
                    <w:right w:val="nil"/>
                  </w:tcBorders>
                  <w:vAlign w:val="center"/>
                </w:tcPr>
                <w:p w14:paraId="75487A27">
                  <w:pPr>
                    <w:widowControl/>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暂存于一般固废暂存间，作为原料进入投料口</w:t>
                  </w:r>
                </w:p>
              </w:tc>
            </w:tr>
            <w:tr w14:paraId="5840F75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5B1A0EF7">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vAlign w:val="center"/>
                </w:tcPr>
                <w:p w14:paraId="11BCF752">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设备维护</w:t>
                  </w:r>
                </w:p>
              </w:tc>
              <w:tc>
                <w:tcPr>
                  <w:tcW w:w="1418" w:type="dxa"/>
                  <w:tcBorders>
                    <w:top w:val="single" w:color="auto" w:sz="4" w:space="0"/>
                    <w:left w:val="single" w:color="auto" w:sz="4" w:space="0"/>
                    <w:bottom w:val="single" w:color="auto" w:sz="4" w:space="0"/>
                    <w:right w:val="single" w:color="auto" w:sz="4" w:space="0"/>
                  </w:tcBorders>
                  <w:vAlign w:val="center"/>
                </w:tcPr>
                <w:p w14:paraId="1968B33F">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w:t>
                  </w:r>
                </w:p>
                <w:p w14:paraId="60B1430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废油桶</w:t>
                  </w:r>
                </w:p>
              </w:tc>
              <w:tc>
                <w:tcPr>
                  <w:tcW w:w="4778" w:type="dxa"/>
                  <w:gridSpan w:val="2"/>
                  <w:tcBorders>
                    <w:top w:val="single" w:color="auto" w:sz="4" w:space="0"/>
                    <w:left w:val="single" w:color="auto" w:sz="4" w:space="0"/>
                    <w:bottom w:val="single" w:color="auto" w:sz="4" w:space="0"/>
                    <w:right w:val="nil"/>
                  </w:tcBorders>
                  <w:vAlign w:val="center"/>
                </w:tcPr>
                <w:p w14:paraId="0B65B798">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暂存于危废贮存点内，定期交由有资质单位进行处置。</w:t>
                  </w:r>
                </w:p>
              </w:tc>
            </w:tr>
            <w:tr w14:paraId="2FB3E2D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7" w:type="dxa"/>
                  <w:vMerge w:val="continue"/>
                  <w:tcBorders>
                    <w:top w:val="single" w:color="auto" w:sz="4" w:space="0"/>
                    <w:left w:val="nil"/>
                    <w:bottom w:val="single" w:color="auto" w:sz="4" w:space="0"/>
                    <w:right w:val="single" w:color="auto" w:sz="4" w:space="0"/>
                  </w:tcBorders>
                  <w:vAlign w:val="center"/>
                </w:tcPr>
                <w:p w14:paraId="4F5DBC7D">
                  <w:pPr>
                    <w:widowControl/>
                    <w:rPr>
                      <w:rFonts w:eastAsiaTheme="minorEastAsia"/>
                      <w:color w:val="000000" w:themeColor="text1"/>
                      <w:kern w:val="0"/>
                      <w:szCs w:val="21"/>
                      <w14:textFill>
                        <w14:solidFill>
                          <w14:schemeClr w14:val="tx1"/>
                        </w14:solidFill>
                      </w14:textFill>
                    </w:rPr>
                  </w:pPr>
                </w:p>
              </w:tc>
              <w:tc>
                <w:tcPr>
                  <w:tcW w:w="1505" w:type="dxa"/>
                  <w:tcBorders>
                    <w:top w:val="single" w:color="auto" w:sz="4" w:space="0"/>
                    <w:left w:val="single" w:color="auto" w:sz="4" w:space="0"/>
                    <w:bottom w:val="double" w:color="auto" w:sz="2" w:space="0"/>
                    <w:right w:val="single" w:color="auto" w:sz="4" w:space="0"/>
                  </w:tcBorders>
                  <w:vAlign w:val="center"/>
                </w:tcPr>
                <w:p w14:paraId="5A14F93A">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职工生活</w:t>
                  </w:r>
                </w:p>
              </w:tc>
              <w:tc>
                <w:tcPr>
                  <w:tcW w:w="1418" w:type="dxa"/>
                  <w:tcBorders>
                    <w:top w:val="single" w:color="auto" w:sz="4" w:space="0"/>
                    <w:left w:val="single" w:color="auto" w:sz="4" w:space="0"/>
                    <w:bottom w:val="double" w:color="auto" w:sz="2" w:space="0"/>
                    <w:right w:val="single" w:color="auto" w:sz="4" w:space="0"/>
                  </w:tcBorders>
                  <w:vAlign w:val="center"/>
                </w:tcPr>
                <w:p w14:paraId="71A9FC89">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生活垃圾</w:t>
                  </w:r>
                </w:p>
              </w:tc>
              <w:tc>
                <w:tcPr>
                  <w:tcW w:w="4778" w:type="dxa"/>
                  <w:gridSpan w:val="2"/>
                  <w:tcBorders>
                    <w:top w:val="single" w:color="auto" w:sz="4" w:space="0"/>
                    <w:left w:val="single" w:color="auto" w:sz="4" w:space="0"/>
                    <w:bottom w:val="double" w:color="auto" w:sz="2" w:space="0"/>
                    <w:right w:val="nil"/>
                  </w:tcBorders>
                  <w:vAlign w:val="center"/>
                </w:tcPr>
                <w:p w14:paraId="214A0523">
                  <w:pPr>
                    <w:pStyle w:val="135"/>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生活垃圾箱暂存，定期送附近垃圾点。</w:t>
                  </w:r>
                </w:p>
              </w:tc>
            </w:tr>
          </w:tbl>
          <w:p w14:paraId="231109E6">
            <w:pPr>
              <w:rPr>
                <w:rFonts w:eastAsiaTheme="minorEastAsia"/>
                <w:color w:val="000000" w:themeColor="text1"/>
                <w14:textFill>
                  <w14:solidFill>
                    <w14:schemeClr w14:val="tx1"/>
                  </w14:solidFill>
                </w14:textFill>
              </w:rPr>
            </w:pPr>
          </w:p>
          <w:p w14:paraId="5FB58934">
            <w:pPr>
              <w:rPr>
                <w:rFonts w:eastAsiaTheme="minorEastAsia"/>
              </w:rPr>
            </w:pPr>
          </w:p>
        </w:tc>
      </w:tr>
      <w:tr w14:paraId="1DAEE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1" w:hRule="atLeast"/>
          <w:jc w:val="center"/>
        </w:trPr>
        <w:tc>
          <w:tcPr>
            <w:tcW w:w="456" w:type="dxa"/>
            <w:tcBorders>
              <w:top w:val="single" w:color="auto" w:sz="4" w:space="0"/>
              <w:left w:val="single" w:color="auto" w:sz="8" w:space="0"/>
              <w:bottom w:val="single" w:color="auto" w:sz="8" w:space="0"/>
              <w:right w:val="single" w:color="auto" w:sz="4" w:space="0"/>
            </w:tcBorders>
            <w:vAlign w:val="center"/>
          </w:tcPr>
          <w:p w14:paraId="6962666A">
            <w:pPr>
              <w:pStyle w:val="129"/>
              <w:snapToGrid w:val="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与项目有关的原有环境污染问题</w:t>
            </w:r>
          </w:p>
        </w:tc>
        <w:tc>
          <w:tcPr>
            <w:tcW w:w="8990" w:type="dxa"/>
            <w:tcBorders>
              <w:top w:val="single" w:color="auto" w:sz="4" w:space="0"/>
              <w:left w:val="single" w:color="auto" w:sz="4" w:space="0"/>
              <w:bottom w:val="single" w:color="auto" w:sz="8" w:space="0"/>
              <w:right w:val="single" w:color="auto" w:sz="8" w:space="0"/>
            </w:tcBorders>
            <w:vAlign w:val="center"/>
          </w:tcPr>
          <w:p w14:paraId="7EFFEFE2">
            <w:pPr>
              <w:pStyle w:val="65"/>
              <w:ind w:firstLine="480"/>
              <w:rPr>
                <w:rFonts w:eastAsiaTheme="minorEastAsia"/>
                <w:color w:val="0000FF"/>
              </w:rPr>
            </w:pPr>
            <w:r>
              <w:rPr>
                <w:rFonts w:eastAsiaTheme="minorEastAsia"/>
                <w:color w:val="0000FF"/>
              </w:rPr>
              <w:t>1. 朝阳县瓦房子镇宏兴锰矿基本情况</w:t>
            </w:r>
          </w:p>
          <w:p w14:paraId="3BA2A936">
            <w:pPr>
              <w:pStyle w:val="65"/>
              <w:ind w:firstLine="480"/>
              <w:rPr>
                <w:rFonts w:eastAsiaTheme="minorEastAsia"/>
                <w:color w:val="0000FF"/>
              </w:rPr>
            </w:pPr>
            <w:r>
              <w:rPr>
                <w:rFonts w:eastAsiaTheme="minorEastAsia"/>
                <w:color w:val="0000FF"/>
              </w:rPr>
              <w:t>朝阳县瓦房子镇宏兴锰矿成立于2003年6月，企业类型为个人独资企业，注册地址位于朝阳县瓦房子镇团山子村，属瓦房子镇工业园区范围内。企业经营范围为锰矿石开采、加工，高锰生铁、锰铁、锰砂、生铁销售及机械设备租赁服务。宏兴锰矿采用地下开采方式，以自产锰矿石为原料进行高炉冶炼，生产富锰渣。2012年9月，企业关联公司朝阳宏兴锰业有限公司成立，建有富锰渣生产线，形成了采矿—选矿—冶炼—深加工的完整产业链。企业自2008年起配套建设深加工车间，逐步扩大生产规模，2013年经历投资人和资本结构调整，2017年经营范围增加生铁销售及机械设备租赁服务。目前企业正常生产运营，环保手续齐全，无现存环境信访问题。</w:t>
            </w:r>
          </w:p>
          <w:p w14:paraId="6A425D0C">
            <w:pPr>
              <w:pStyle w:val="65"/>
              <w:ind w:firstLine="480"/>
              <w:rPr>
                <w:rFonts w:eastAsiaTheme="minorEastAsia"/>
                <w:color w:val="0000FF"/>
              </w:rPr>
            </w:pPr>
            <w:r>
              <w:rPr>
                <w:rFonts w:eastAsiaTheme="minorEastAsia"/>
                <w:color w:val="0000FF"/>
              </w:rPr>
              <w:t>2.本项目租用场地与朝阳县瓦房子镇宏兴锰矿原有环境污染问题</w:t>
            </w:r>
          </w:p>
          <w:p w14:paraId="0EF88CCC">
            <w:pPr>
              <w:pStyle w:val="65"/>
              <w:ind w:firstLine="480"/>
              <w:rPr>
                <w:rFonts w:eastAsiaTheme="minorEastAsia"/>
                <w:color w:val="0000FF"/>
              </w:rPr>
            </w:pPr>
            <w:r>
              <w:rPr>
                <w:rFonts w:eastAsiaTheme="minorEastAsia"/>
                <w:color w:val="0000FF"/>
              </w:rPr>
              <w:t>本项目为新建项目，租用朝阳县瓦房子镇宏兴锰矿厂区内东北侧闲置场地。宏兴锰矿厂区总占地面积约5.2万m²，企业主要生产工艺为锰矿石破碎筛分及高炉冶炼，产品为富锰渣。本项目租用场地现状为宏兴锰矿部分原料堆场及空地，占地面积约1000m²。场地内现有原料堆场零散分布，地面未硬化，露天堆放无围挡，大风天气扬尘较为明显。本项目建设前需对占地范围内的现有堆场进行清理，清除地表散落原料及杂物，并对场地地面进行硬化处理，从根本上减少扬尘的产生。</w:t>
            </w:r>
          </w:p>
          <w:p w14:paraId="703E361D">
            <w:pPr>
              <w:pStyle w:val="65"/>
              <w:ind w:firstLine="480"/>
              <w:rPr>
                <w:rFonts w:eastAsiaTheme="minorEastAsia"/>
                <w:color w:val="0000FF"/>
              </w:rPr>
            </w:pPr>
          </w:p>
        </w:tc>
      </w:tr>
    </w:tbl>
    <w:p w14:paraId="59AFFFB0">
      <w:pPr>
        <w:pStyle w:val="65"/>
        <w:ind w:firstLine="0" w:firstLineChars="0"/>
        <w:rPr>
          <w:color w:val="000000" w:themeColor="text1"/>
          <w14:textFill>
            <w14:solidFill>
              <w14:schemeClr w14:val="tx1"/>
            </w14:solidFill>
          </w14:textFill>
        </w:rPr>
      </w:pPr>
    </w:p>
    <w:p w14:paraId="4FF0EB16">
      <w:pPr>
        <w:pStyle w:val="32"/>
        <w:pageBreakBefore/>
        <w:ind w:left="210"/>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三、区域环境质量现状、环境保护目标及评价标准</w:t>
      </w:r>
    </w:p>
    <w:tbl>
      <w:tblPr>
        <w:tblStyle w:val="35"/>
        <w:tblW w:w="93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6"/>
        <w:gridCol w:w="8940"/>
      </w:tblGrid>
      <w:tr w14:paraId="3FC1B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6" w:type="dxa"/>
            <w:tcBorders>
              <w:top w:val="single" w:color="auto" w:sz="8" w:space="0"/>
              <w:left w:val="single" w:color="auto" w:sz="8" w:space="0"/>
              <w:bottom w:val="single" w:color="auto" w:sz="4" w:space="0"/>
              <w:right w:val="single" w:color="auto" w:sz="4" w:space="0"/>
            </w:tcBorders>
            <w:vAlign w:val="center"/>
          </w:tcPr>
          <w:p w14:paraId="68779743">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区域</w:t>
            </w:r>
          </w:p>
          <w:p w14:paraId="4EF2D13C">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环境</w:t>
            </w:r>
          </w:p>
          <w:p w14:paraId="5451DA37">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质量</w:t>
            </w:r>
          </w:p>
          <w:p w14:paraId="632D4DA4">
            <w:pPr>
              <w:pStyle w:val="129"/>
              <w:rPr>
                <w:rFonts w:eastAsiaTheme="minorEastAsia"/>
                <w:color w:val="000000" w:themeColor="text1"/>
                <w14:textFill>
                  <w14:solidFill>
                    <w14:schemeClr w14:val="tx1"/>
                  </w14:solidFill>
                </w14:textFill>
              </w:rPr>
            </w:pPr>
            <w:r>
              <w:rPr>
                <w:rFonts w:eastAsiaTheme="minorEastAsia"/>
                <w:color w:val="000000" w:themeColor="text1"/>
                <w:sz w:val="24"/>
                <w:szCs w:val="24"/>
                <w14:textFill>
                  <w14:solidFill>
                    <w14:schemeClr w14:val="tx1"/>
                  </w14:solidFill>
                </w14:textFill>
              </w:rPr>
              <w:t>现状</w:t>
            </w:r>
          </w:p>
        </w:tc>
        <w:tc>
          <w:tcPr>
            <w:tcW w:w="8940" w:type="dxa"/>
            <w:tcBorders>
              <w:top w:val="single" w:color="auto" w:sz="8" w:space="0"/>
              <w:left w:val="nil"/>
              <w:bottom w:val="single" w:color="auto" w:sz="4" w:space="0"/>
              <w:right w:val="single" w:color="auto" w:sz="8" w:space="0"/>
            </w:tcBorders>
          </w:tcPr>
          <w:p w14:paraId="5C08685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1、大气环境</w:t>
            </w:r>
          </w:p>
          <w:p w14:paraId="4998A52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（1）常规污染物</w:t>
            </w:r>
          </w:p>
          <w:p w14:paraId="0005B70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《朝阳市生态环境质量公报（2025年）》，2025年，城市环境空气6项主要污染物指标中，二氧化硫（SO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）、二氧化氮（NO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）、可吸入颗粒物（PM</w:t>
            </w:r>
            <w:r>
              <w:rPr>
                <w:rFonts w:eastAsiaTheme="minorEastAsia"/>
                <w:color w:val="000000" w:themeColor="text1"/>
                <w:vertAlign w:val="subscript"/>
                <w14:textFill>
                  <w14:solidFill>
                    <w14:schemeClr w14:val="tx1"/>
                  </w14:solidFill>
                </w14:textFill>
              </w:rPr>
              <w:t>10</w:t>
            </w:r>
            <w:r>
              <w:rPr>
                <w:rFonts w:eastAsiaTheme="minorEastAsia"/>
                <w:color w:val="000000" w:themeColor="text1"/>
                <w14:textFill>
                  <w14:solidFill>
                    <w14:schemeClr w14:val="tx1"/>
                  </w14:solidFill>
                </w14:textFill>
              </w:rPr>
              <w:t>）、细颗粒物（PM</w:t>
            </w:r>
            <w:r>
              <w:rPr>
                <w:rFonts w:eastAsiaTheme="minorEastAsia"/>
                <w:color w:val="000000" w:themeColor="text1"/>
                <w:vertAlign w:val="subscript"/>
                <w14:textFill>
                  <w14:solidFill>
                    <w14:schemeClr w14:val="tx1"/>
                  </w14:solidFill>
                </w14:textFill>
              </w:rPr>
              <w:t>2.5</w:t>
            </w:r>
            <w:r>
              <w:rPr>
                <w:rFonts w:eastAsiaTheme="minorEastAsia"/>
                <w:color w:val="000000" w:themeColor="text1"/>
                <w14:textFill>
                  <w14:solidFill>
                    <w14:schemeClr w14:val="tx1"/>
                  </w14:solidFill>
                </w14:textFill>
              </w:rPr>
              <w:t>）、一氧化碳（CO）和臭氧（O</w:t>
            </w:r>
            <w:r>
              <w:rPr>
                <w:rFonts w:eastAsiaTheme="minorEastAsia"/>
                <w:color w:val="000000" w:themeColor="text1"/>
                <w:vertAlign w:val="subscript"/>
                <w14:textFill>
                  <w14:solidFill>
                    <w14:schemeClr w14:val="tx1"/>
                  </w14:solidFill>
                </w14:textFill>
              </w:rPr>
              <w:t>3</w:t>
            </w:r>
            <w:r>
              <w:rPr>
                <w:rFonts w:eastAsiaTheme="minorEastAsia"/>
                <w:color w:val="000000" w:themeColor="text1"/>
                <w14:textFill>
                  <w14:solidFill>
                    <w14:schemeClr w14:val="tx1"/>
                  </w14:solidFill>
                </w14:textFill>
              </w:rPr>
              <w:t>）的年均值分别为9微克/立方米、20微克/立方米、47微克/立方米、28微克/立方米、1.2毫克/立方米和134微克/立方米。</w:t>
            </w:r>
          </w:p>
          <w:p w14:paraId="764BF8F5">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表3-1朝阳市2025年环境空气质量现状评价表</w:t>
            </w:r>
          </w:p>
          <w:tbl>
            <w:tblPr>
              <w:tblStyle w:val="35"/>
              <w:tblW w:w="4948" w:type="pct"/>
              <w:tblInd w:w="136"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139"/>
              <w:gridCol w:w="2589"/>
              <w:gridCol w:w="889"/>
              <w:gridCol w:w="1061"/>
              <w:gridCol w:w="889"/>
              <w:gridCol w:w="1131"/>
            </w:tblGrid>
            <w:tr w14:paraId="2216D0D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double" w:color="auto" w:sz="2" w:space="0"/>
                    <w:left w:val="nil"/>
                    <w:bottom w:val="single" w:color="auto" w:sz="4" w:space="0"/>
                    <w:right w:val="single" w:color="auto" w:sz="4" w:space="0"/>
                  </w:tcBorders>
                </w:tcPr>
                <w:p w14:paraId="5B9AD8A6">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序号</w:t>
                  </w:r>
                </w:p>
              </w:tc>
              <w:tc>
                <w:tcPr>
                  <w:tcW w:w="1095" w:type="dxa"/>
                  <w:tcBorders>
                    <w:top w:val="double" w:color="auto" w:sz="2" w:space="0"/>
                    <w:left w:val="single" w:color="auto" w:sz="4" w:space="0"/>
                    <w:bottom w:val="single" w:color="auto" w:sz="4" w:space="0"/>
                    <w:right w:val="single" w:color="auto" w:sz="4" w:space="0"/>
                  </w:tcBorders>
                </w:tcPr>
                <w:p w14:paraId="5E76337E">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w:t>
                  </w:r>
                </w:p>
              </w:tc>
              <w:tc>
                <w:tcPr>
                  <w:tcW w:w="2490" w:type="dxa"/>
                  <w:tcBorders>
                    <w:top w:val="double" w:color="auto" w:sz="2" w:space="0"/>
                    <w:left w:val="single" w:color="auto" w:sz="4" w:space="0"/>
                    <w:bottom w:val="single" w:color="auto" w:sz="4" w:space="0"/>
                    <w:right w:val="single" w:color="auto" w:sz="4" w:space="0"/>
                  </w:tcBorders>
                </w:tcPr>
                <w:p w14:paraId="77A244C8">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评价指标</w:t>
                  </w:r>
                </w:p>
              </w:tc>
              <w:tc>
                <w:tcPr>
                  <w:tcW w:w="855" w:type="dxa"/>
                  <w:tcBorders>
                    <w:top w:val="double" w:color="auto" w:sz="2" w:space="0"/>
                    <w:left w:val="single" w:color="auto" w:sz="4" w:space="0"/>
                    <w:bottom w:val="single" w:color="auto" w:sz="4" w:space="0"/>
                    <w:right w:val="single" w:color="auto" w:sz="4" w:space="0"/>
                  </w:tcBorders>
                </w:tcPr>
                <w:p w14:paraId="2735AEF5">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数值</w:t>
                  </w:r>
                </w:p>
              </w:tc>
              <w:tc>
                <w:tcPr>
                  <w:tcW w:w="1020" w:type="dxa"/>
                  <w:tcBorders>
                    <w:top w:val="double" w:color="auto" w:sz="2" w:space="0"/>
                    <w:left w:val="single" w:color="auto" w:sz="4" w:space="0"/>
                    <w:bottom w:val="single" w:color="auto" w:sz="4" w:space="0"/>
                    <w:right w:val="single" w:color="auto" w:sz="4" w:space="0"/>
                  </w:tcBorders>
                </w:tcPr>
                <w:p w14:paraId="5185C20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单位</w:t>
                  </w:r>
                </w:p>
              </w:tc>
              <w:tc>
                <w:tcPr>
                  <w:tcW w:w="855" w:type="dxa"/>
                  <w:tcBorders>
                    <w:top w:val="double" w:color="auto" w:sz="2" w:space="0"/>
                    <w:left w:val="single" w:color="auto" w:sz="4" w:space="0"/>
                    <w:bottom w:val="single" w:color="auto" w:sz="4" w:space="0"/>
                    <w:right w:val="single" w:color="auto" w:sz="4" w:space="0"/>
                  </w:tcBorders>
                </w:tcPr>
                <w:p w14:paraId="1372266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标准</w:t>
                  </w:r>
                </w:p>
              </w:tc>
              <w:tc>
                <w:tcPr>
                  <w:tcW w:w="1088" w:type="dxa"/>
                  <w:tcBorders>
                    <w:top w:val="double" w:color="auto" w:sz="2" w:space="0"/>
                    <w:left w:val="single" w:color="auto" w:sz="4" w:space="0"/>
                    <w:bottom w:val="single" w:color="auto" w:sz="4" w:space="0"/>
                    <w:right w:val="nil"/>
                  </w:tcBorders>
                </w:tcPr>
                <w:p w14:paraId="1D38AB78">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达标情况</w:t>
                  </w:r>
                </w:p>
              </w:tc>
            </w:tr>
            <w:tr w14:paraId="7DDDEBD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single" w:color="auto" w:sz="4" w:space="0"/>
                    <w:right w:val="single" w:color="auto" w:sz="4" w:space="0"/>
                  </w:tcBorders>
                </w:tcPr>
                <w:p w14:paraId="6056B56D">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095" w:type="dxa"/>
                  <w:tcBorders>
                    <w:top w:val="single" w:color="auto" w:sz="4" w:space="0"/>
                    <w:left w:val="single" w:color="auto" w:sz="4" w:space="0"/>
                    <w:bottom w:val="single" w:color="auto" w:sz="4" w:space="0"/>
                    <w:right w:val="single" w:color="auto" w:sz="4" w:space="0"/>
                  </w:tcBorders>
                </w:tcPr>
                <w:p w14:paraId="797AF0F5">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PM</w:t>
                  </w:r>
                  <w:r>
                    <w:rPr>
                      <w:rFonts w:eastAsiaTheme="minorEastAsia"/>
                      <w:color w:val="000000" w:themeColor="text1"/>
                      <w:vertAlign w:val="subscript"/>
                      <w14:textFill>
                        <w14:solidFill>
                          <w14:schemeClr w14:val="tx1"/>
                        </w14:solidFill>
                      </w14:textFill>
                    </w:rPr>
                    <w:t>10</w:t>
                  </w:r>
                </w:p>
              </w:tc>
              <w:tc>
                <w:tcPr>
                  <w:tcW w:w="2490" w:type="dxa"/>
                  <w:tcBorders>
                    <w:top w:val="single" w:color="auto" w:sz="4" w:space="0"/>
                    <w:left w:val="single" w:color="auto" w:sz="4" w:space="0"/>
                    <w:bottom w:val="single" w:color="auto" w:sz="4" w:space="0"/>
                    <w:right w:val="single" w:color="auto" w:sz="4" w:space="0"/>
                  </w:tcBorders>
                </w:tcPr>
                <w:p w14:paraId="7C7AE973">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年平均质量浓度</w:t>
                  </w:r>
                </w:p>
              </w:tc>
              <w:tc>
                <w:tcPr>
                  <w:tcW w:w="855" w:type="dxa"/>
                  <w:tcBorders>
                    <w:top w:val="single" w:color="auto" w:sz="4" w:space="0"/>
                    <w:left w:val="single" w:color="auto" w:sz="4" w:space="0"/>
                    <w:bottom w:val="single" w:color="auto" w:sz="4" w:space="0"/>
                    <w:right w:val="single" w:color="auto" w:sz="4" w:space="0"/>
                  </w:tcBorders>
                </w:tcPr>
                <w:p w14:paraId="125AEA20">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47</w:t>
                  </w:r>
                </w:p>
              </w:tc>
              <w:tc>
                <w:tcPr>
                  <w:tcW w:w="1020" w:type="dxa"/>
                  <w:tcBorders>
                    <w:top w:val="single" w:color="auto" w:sz="4" w:space="0"/>
                    <w:left w:val="single" w:color="auto" w:sz="4" w:space="0"/>
                    <w:bottom w:val="single" w:color="auto" w:sz="4" w:space="0"/>
                    <w:right w:val="single" w:color="auto" w:sz="4" w:space="0"/>
                  </w:tcBorders>
                </w:tcPr>
                <w:p w14:paraId="44D47F27">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μg/m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single" w:color="auto" w:sz="4" w:space="0"/>
                    <w:right w:val="single" w:color="auto" w:sz="4" w:space="0"/>
                  </w:tcBorders>
                </w:tcPr>
                <w:p w14:paraId="271ED77B">
                  <w:pPr>
                    <w:adjustRightInd w:val="0"/>
                    <w:snapToGrid w:val="0"/>
                    <w:jc w:val="center"/>
                    <w:rPr>
                      <w:rFonts w:eastAsiaTheme="minorEastAsia"/>
                      <w:color w:val="000000" w:themeColor="text1"/>
                      <w14:textFill>
                        <w14:solidFill>
                          <w14:schemeClr w14:val="tx1"/>
                        </w14:solidFill>
                      </w14:textFill>
                    </w:rPr>
                  </w:pPr>
                  <w:r>
                    <w:rPr>
                      <w:rFonts w:eastAsiaTheme="minorEastAsia"/>
                      <w:color w:val="0000FF"/>
                    </w:rPr>
                    <w:t>60</w:t>
                  </w:r>
                </w:p>
              </w:tc>
              <w:tc>
                <w:tcPr>
                  <w:tcW w:w="1088" w:type="dxa"/>
                  <w:tcBorders>
                    <w:top w:val="single" w:color="auto" w:sz="4" w:space="0"/>
                    <w:left w:val="single" w:color="auto" w:sz="4" w:space="0"/>
                    <w:bottom w:val="single" w:color="auto" w:sz="4" w:space="0"/>
                    <w:right w:val="nil"/>
                  </w:tcBorders>
                </w:tcPr>
                <w:p w14:paraId="653D5B21">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14:paraId="1C5CC80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single" w:color="auto" w:sz="4" w:space="0"/>
                    <w:right w:val="single" w:color="auto" w:sz="4" w:space="0"/>
                  </w:tcBorders>
                </w:tcPr>
                <w:p w14:paraId="45AD4B55">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95" w:type="dxa"/>
                  <w:tcBorders>
                    <w:top w:val="single" w:color="auto" w:sz="4" w:space="0"/>
                    <w:left w:val="single" w:color="auto" w:sz="4" w:space="0"/>
                    <w:bottom w:val="single" w:color="auto" w:sz="4" w:space="0"/>
                    <w:right w:val="single" w:color="auto" w:sz="4" w:space="0"/>
                  </w:tcBorders>
                </w:tcPr>
                <w:p w14:paraId="242FC696">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PM</w:t>
                  </w:r>
                  <w:r>
                    <w:rPr>
                      <w:rFonts w:eastAsiaTheme="minorEastAsia"/>
                      <w:color w:val="000000" w:themeColor="text1"/>
                      <w:vertAlign w:val="subscript"/>
                      <w14:textFill>
                        <w14:solidFill>
                          <w14:schemeClr w14:val="tx1"/>
                        </w14:solidFill>
                      </w14:textFill>
                    </w:rPr>
                    <w:t>2.5</w:t>
                  </w:r>
                </w:p>
              </w:tc>
              <w:tc>
                <w:tcPr>
                  <w:tcW w:w="2490" w:type="dxa"/>
                  <w:tcBorders>
                    <w:top w:val="single" w:color="auto" w:sz="4" w:space="0"/>
                    <w:left w:val="single" w:color="auto" w:sz="4" w:space="0"/>
                    <w:bottom w:val="single" w:color="auto" w:sz="4" w:space="0"/>
                    <w:right w:val="single" w:color="auto" w:sz="4" w:space="0"/>
                  </w:tcBorders>
                </w:tcPr>
                <w:p w14:paraId="57E21FA3">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年平均质量浓度</w:t>
                  </w:r>
                </w:p>
              </w:tc>
              <w:tc>
                <w:tcPr>
                  <w:tcW w:w="855" w:type="dxa"/>
                  <w:tcBorders>
                    <w:top w:val="single" w:color="auto" w:sz="4" w:space="0"/>
                    <w:left w:val="single" w:color="auto" w:sz="4" w:space="0"/>
                    <w:bottom w:val="single" w:color="auto" w:sz="4" w:space="0"/>
                    <w:right w:val="single" w:color="auto" w:sz="4" w:space="0"/>
                  </w:tcBorders>
                </w:tcPr>
                <w:p w14:paraId="18E4A46E">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w:t>
                  </w:r>
                </w:p>
              </w:tc>
              <w:tc>
                <w:tcPr>
                  <w:tcW w:w="1020" w:type="dxa"/>
                  <w:tcBorders>
                    <w:top w:val="single" w:color="auto" w:sz="4" w:space="0"/>
                    <w:left w:val="single" w:color="auto" w:sz="4" w:space="0"/>
                    <w:bottom w:val="single" w:color="auto" w:sz="4" w:space="0"/>
                    <w:right w:val="single" w:color="auto" w:sz="4" w:space="0"/>
                  </w:tcBorders>
                </w:tcPr>
                <w:p w14:paraId="1684DF3D">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μg/m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single" w:color="auto" w:sz="4" w:space="0"/>
                    <w:right w:val="single" w:color="auto" w:sz="4" w:space="0"/>
                  </w:tcBorders>
                </w:tcPr>
                <w:p w14:paraId="0274E16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30</w:t>
                  </w:r>
                </w:p>
              </w:tc>
              <w:tc>
                <w:tcPr>
                  <w:tcW w:w="1088" w:type="dxa"/>
                  <w:tcBorders>
                    <w:top w:val="single" w:color="auto" w:sz="4" w:space="0"/>
                    <w:left w:val="single" w:color="auto" w:sz="4" w:space="0"/>
                    <w:bottom w:val="single" w:color="auto" w:sz="4" w:space="0"/>
                    <w:right w:val="nil"/>
                  </w:tcBorders>
                </w:tcPr>
                <w:p w14:paraId="58F7253F">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14:paraId="725C320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single" w:color="auto" w:sz="4" w:space="0"/>
                    <w:right w:val="single" w:color="auto" w:sz="4" w:space="0"/>
                  </w:tcBorders>
                </w:tcPr>
                <w:p w14:paraId="2E722209">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1095" w:type="dxa"/>
                  <w:tcBorders>
                    <w:top w:val="single" w:color="auto" w:sz="4" w:space="0"/>
                    <w:left w:val="single" w:color="auto" w:sz="4" w:space="0"/>
                    <w:bottom w:val="single" w:color="auto" w:sz="4" w:space="0"/>
                    <w:right w:val="single" w:color="auto" w:sz="4" w:space="0"/>
                  </w:tcBorders>
                </w:tcPr>
                <w:p w14:paraId="6B909247">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SO</w:t>
                  </w:r>
                  <w:r>
                    <w:rPr>
                      <w:rFonts w:eastAsiaTheme="minorEastAsia"/>
                      <w:color w:val="000000" w:themeColor="text1"/>
                      <w:vertAlign w:val="subscript"/>
                      <w14:textFill>
                        <w14:solidFill>
                          <w14:schemeClr w14:val="tx1"/>
                        </w14:solidFill>
                      </w14:textFill>
                    </w:rPr>
                    <w:t>2</w:t>
                  </w:r>
                </w:p>
              </w:tc>
              <w:tc>
                <w:tcPr>
                  <w:tcW w:w="2490" w:type="dxa"/>
                  <w:tcBorders>
                    <w:top w:val="single" w:color="auto" w:sz="4" w:space="0"/>
                    <w:left w:val="single" w:color="auto" w:sz="4" w:space="0"/>
                    <w:bottom w:val="single" w:color="auto" w:sz="4" w:space="0"/>
                    <w:right w:val="single" w:color="auto" w:sz="4" w:space="0"/>
                  </w:tcBorders>
                </w:tcPr>
                <w:p w14:paraId="244893E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年平均质量浓度</w:t>
                  </w:r>
                </w:p>
              </w:tc>
              <w:tc>
                <w:tcPr>
                  <w:tcW w:w="855" w:type="dxa"/>
                  <w:tcBorders>
                    <w:top w:val="single" w:color="auto" w:sz="4" w:space="0"/>
                    <w:left w:val="single" w:color="auto" w:sz="4" w:space="0"/>
                    <w:bottom w:val="single" w:color="auto" w:sz="4" w:space="0"/>
                    <w:right w:val="single" w:color="auto" w:sz="4" w:space="0"/>
                  </w:tcBorders>
                </w:tcPr>
                <w:p w14:paraId="0F5F8E64">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w:t>
                  </w:r>
                </w:p>
              </w:tc>
              <w:tc>
                <w:tcPr>
                  <w:tcW w:w="1020" w:type="dxa"/>
                  <w:tcBorders>
                    <w:top w:val="single" w:color="auto" w:sz="4" w:space="0"/>
                    <w:left w:val="single" w:color="auto" w:sz="4" w:space="0"/>
                    <w:bottom w:val="single" w:color="auto" w:sz="4" w:space="0"/>
                    <w:right w:val="single" w:color="auto" w:sz="4" w:space="0"/>
                  </w:tcBorders>
                </w:tcPr>
                <w:p w14:paraId="5FE65B0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μg/m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single" w:color="auto" w:sz="4" w:space="0"/>
                    <w:right w:val="single" w:color="auto" w:sz="4" w:space="0"/>
                  </w:tcBorders>
                </w:tcPr>
                <w:p w14:paraId="233E3CE9">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60</w:t>
                  </w:r>
                </w:p>
              </w:tc>
              <w:tc>
                <w:tcPr>
                  <w:tcW w:w="1088" w:type="dxa"/>
                  <w:tcBorders>
                    <w:top w:val="single" w:color="auto" w:sz="4" w:space="0"/>
                    <w:left w:val="single" w:color="auto" w:sz="4" w:space="0"/>
                    <w:bottom w:val="single" w:color="auto" w:sz="4" w:space="0"/>
                    <w:right w:val="nil"/>
                  </w:tcBorders>
                </w:tcPr>
                <w:p w14:paraId="25B380AD">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14:paraId="4E5BF18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single" w:color="auto" w:sz="4" w:space="0"/>
                    <w:right w:val="single" w:color="auto" w:sz="4" w:space="0"/>
                  </w:tcBorders>
                </w:tcPr>
                <w:p w14:paraId="55F7434D">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w:t>
                  </w:r>
                </w:p>
              </w:tc>
              <w:tc>
                <w:tcPr>
                  <w:tcW w:w="1095" w:type="dxa"/>
                  <w:tcBorders>
                    <w:top w:val="single" w:color="auto" w:sz="4" w:space="0"/>
                    <w:left w:val="single" w:color="auto" w:sz="4" w:space="0"/>
                    <w:bottom w:val="single" w:color="auto" w:sz="4" w:space="0"/>
                    <w:right w:val="single" w:color="auto" w:sz="4" w:space="0"/>
                  </w:tcBorders>
                </w:tcPr>
                <w:p w14:paraId="09DDD364">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NO</w:t>
                  </w:r>
                  <w:r>
                    <w:rPr>
                      <w:rFonts w:eastAsiaTheme="minorEastAsia"/>
                      <w:color w:val="000000" w:themeColor="text1"/>
                      <w:vertAlign w:val="subscript"/>
                      <w14:textFill>
                        <w14:solidFill>
                          <w14:schemeClr w14:val="tx1"/>
                        </w14:solidFill>
                      </w14:textFill>
                    </w:rPr>
                    <w:t>2</w:t>
                  </w:r>
                </w:p>
              </w:tc>
              <w:tc>
                <w:tcPr>
                  <w:tcW w:w="2490" w:type="dxa"/>
                  <w:tcBorders>
                    <w:top w:val="single" w:color="auto" w:sz="4" w:space="0"/>
                    <w:left w:val="single" w:color="auto" w:sz="4" w:space="0"/>
                    <w:bottom w:val="single" w:color="auto" w:sz="4" w:space="0"/>
                    <w:right w:val="single" w:color="auto" w:sz="4" w:space="0"/>
                  </w:tcBorders>
                </w:tcPr>
                <w:p w14:paraId="1E0364D1">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年平均质量浓度</w:t>
                  </w:r>
                </w:p>
              </w:tc>
              <w:tc>
                <w:tcPr>
                  <w:tcW w:w="855" w:type="dxa"/>
                  <w:tcBorders>
                    <w:top w:val="single" w:color="auto" w:sz="4" w:space="0"/>
                    <w:left w:val="single" w:color="auto" w:sz="4" w:space="0"/>
                    <w:bottom w:val="single" w:color="auto" w:sz="4" w:space="0"/>
                    <w:right w:val="single" w:color="auto" w:sz="4" w:space="0"/>
                  </w:tcBorders>
                </w:tcPr>
                <w:p w14:paraId="033F7654">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20</w:t>
                  </w:r>
                </w:p>
              </w:tc>
              <w:tc>
                <w:tcPr>
                  <w:tcW w:w="1020" w:type="dxa"/>
                  <w:tcBorders>
                    <w:top w:val="single" w:color="auto" w:sz="4" w:space="0"/>
                    <w:left w:val="single" w:color="auto" w:sz="4" w:space="0"/>
                    <w:bottom w:val="single" w:color="auto" w:sz="4" w:space="0"/>
                    <w:right w:val="single" w:color="auto" w:sz="4" w:space="0"/>
                  </w:tcBorders>
                </w:tcPr>
                <w:p w14:paraId="34AB242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μg/m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single" w:color="auto" w:sz="4" w:space="0"/>
                    <w:right w:val="single" w:color="auto" w:sz="4" w:space="0"/>
                  </w:tcBorders>
                </w:tcPr>
                <w:p w14:paraId="2497738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40</w:t>
                  </w:r>
                </w:p>
              </w:tc>
              <w:tc>
                <w:tcPr>
                  <w:tcW w:w="1088" w:type="dxa"/>
                  <w:tcBorders>
                    <w:top w:val="single" w:color="auto" w:sz="4" w:space="0"/>
                    <w:left w:val="single" w:color="auto" w:sz="4" w:space="0"/>
                    <w:bottom w:val="single" w:color="auto" w:sz="4" w:space="0"/>
                    <w:right w:val="nil"/>
                  </w:tcBorders>
                </w:tcPr>
                <w:p w14:paraId="613877E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14:paraId="20BDD7D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single" w:color="auto" w:sz="4" w:space="0"/>
                    <w:right w:val="single" w:color="auto" w:sz="4" w:space="0"/>
                  </w:tcBorders>
                </w:tcPr>
                <w:p w14:paraId="384D3BAE">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w:t>
                  </w:r>
                </w:p>
              </w:tc>
              <w:tc>
                <w:tcPr>
                  <w:tcW w:w="1095" w:type="dxa"/>
                  <w:tcBorders>
                    <w:top w:val="single" w:color="auto" w:sz="4" w:space="0"/>
                    <w:left w:val="single" w:color="auto" w:sz="4" w:space="0"/>
                    <w:bottom w:val="single" w:color="auto" w:sz="4" w:space="0"/>
                    <w:right w:val="single" w:color="auto" w:sz="4" w:space="0"/>
                  </w:tcBorders>
                </w:tcPr>
                <w:p w14:paraId="05F75D2E">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CO</w:t>
                  </w:r>
                </w:p>
              </w:tc>
              <w:tc>
                <w:tcPr>
                  <w:tcW w:w="2490" w:type="dxa"/>
                  <w:tcBorders>
                    <w:top w:val="single" w:color="auto" w:sz="4" w:space="0"/>
                    <w:left w:val="single" w:color="auto" w:sz="4" w:space="0"/>
                    <w:bottom w:val="single" w:color="auto" w:sz="4" w:space="0"/>
                    <w:right w:val="single" w:color="auto" w:sz="4" w:space="0"/>
                  </w:tcBorders>
                </w:tcPr>
                <w:p w14:paraId="7DBE4E73">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日平均第95百分位数</w:t>
                  </w:r>
                </w:p>
              </w:tc>
              <w:tc>
                <w:tcPr>
                  <w:tcW w:w="855" w:type="dxa"/>
                  <w:tcBorders>
                    <w:top w:val="single" w:color="auto" w:sz="4" w:space="0"/>
                    <w:left w:val="single" w:color="auto" w:sz="4" w:space="0"/>
                    <w:bottom w:val="single" w:color="auto" w:sz="4" w:space="0"/>
                    <w:right w:val="single" w:color="auto" w:sz="4" w:space="0"/>
                  </w:tcBorders>
                </w:tcPr>
                <w:p w14:paraId="08D4A07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1.2</w:t>
                  </w:r>
                </w:p>
              </w:tc>
              <w:tc>
                <w:tcPr>
                  <w:tcW w:w="1020" w:type="dxa"/>
                  <w:tcBorders>
                    <w:top w:val="single" w:color="auto" w:sz="4" w:space="0"/>
                    <w:left w:val="single" w:color="auto" w:sz="4" w:space="0"/>
                    <w:bottom w:val="single" w:color="auto" w:sz="4" w:space="0"/>
                    <w:right w:val="single" w:color="auto" w:sz="4" w:space="0"/>
                  </w:tcBorders>
                </w:tcPr>
                <w:p w14:paraId="601BE2E5">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mg/m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single" w:color="auto" w:sz="4" w:space="0"/>
                    <w:right w:val="single" w:color="auto" w:sz="4" w:space="0"/>
                  </w:tcBorders>
                </w:tcPr>
                <w:p w14:paraId="28DC4ED9">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w:t>
                  </w:r>
                </w:p>
              </w:tc>
              <w:tc>
                <w:tcPr>
                  <w:tcW w:w="1088" w:type="dxa"/>
                  <w:tcBorders>
                    <w:top w:val="single" w:color="auto" w:sz="4" w:space="0"/>
                    <w:left w:val="single" w:color="auto" w:sz="4" w:space="0"/>
                    <w:bottom w:val="single" w:color="auto" w:sz="4" w:space="0"/>
                    <w:right w:val="nil"/>
                  </w:tcBorders>
                </w:tcPr>
                <w:p w14:paraId="26C9A4A3">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14:paraId="3111421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9" w:type="dxa"/>
                  <w:tcBorders>
                    <w:top w:val="single" w:color="auto" w:sz="4" w:space="0"/>
                    <w:left w:val="nil"/>
                    <w:bottom w:val="double" w:color="auto" w:sz="2" w:space="0"/>
                    <w:right w:val="single" w:color="auto" w:sz="4" w:space="0"/>
                  </w:tcBorders>
                  <w:vAlign w:val="center"/>
                </w:tcPr>
                <w:p w14:paraId="2E0DDF5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w:t>
                  </w:r>
                </w:p>
              </w:tc>
              <w:tc>
                <w:tcPr>
                  <w:tcW w:w="1095" w:type="dxa"/>
                  <w:tcBorders>
                    <w:top w:val="single" w:color="auto" w:sz="4" w:space="0"/>
                    <w:left w:val="single" w:color="auto" w:sz="4" w:space="0"/>
                    <w:bottom w:val="double" w:color="auto" w:sz="2" w:space="0"/>
                    <w:right w:val="single" w:color="auto" w:sz="4" w:space="0"/>
                  </w:tcBorders>
                  <w:vAlign w:val="center"/>
                </w:tcPr>
                <w:p w14:paraId="653D1791">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O</w:t>
                  </w:r>
                  <w:r>
                    <w:rPr>
                      <w:rFonts w:eastAsiaTheme="minorEastAsia"/>
                      <w:color w:val="000000" w:themeColor="text1"/>
                      <w:vertAlign w:val="subscript"/>
                      <w14:textFill>
                        <w14:solidFill>
                          <w14:schemeClr w14:val="tx1"/>
                        </w14:solidFill>
                      </w14:textFill>
                    </w:rPr>
                    <w:t>3</w:t>
                  </w:r>
                </w:p>
              </w:tc>
              <w:tc>
                <w:tcPr>
                  <w:tcW w:w="2490" w:type="dxa"/>
                  <w:tcBorders>
                    <w:top w:val="single" w:color="auto" w:sz="4" w:space="0"/>
                    <w:left w:val="single" w:color="auto" w:sz="4" w:space="0"/>
                    <w:bottom w:val="double" w:color="auto" w:sz="2" w:space="0"/>
                    <w:right w:val="single" w:color="auto" w:sz="4" w:space="0"/>
                  </w:tcBorders>
                  <w:vAlign w:val="center"/>
                </w:tcPr>
                <w:p w14:paraId="73BDFA27">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日最大8小时滑动</w:t>
                  </w:r>
                </w:p>
                <w:p w14:paraId="5A329A42">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平均值第90百分位数</w:t>
                  </w:r>
                </w:p>
              </w:tc>
              <w:tc>
                <w:tcPr>
                  <w:tcW w:w="855" w:type="dxa"/>
                  <w:tcBorders>
                    <w:top w:val="single" w:color="auto" w:sz="4" w:space="0"/>
                    <w:left w:val="single" w:color="auto" w:sz="4" w:space="0"/>
                    <w:bottom w:val="double" w:color="auto" w:sz="2" w:space="0"/>
                    <w:right w:val="single" w:color="auto" w:sz="4" w:space="0"/>
                  </w:tcBorders>
                  <w:vAlign w:val="center"/>
                </w:tcPr>
                <w:p w14:paraId="6254CBFD">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134</w:t>
                  </w:r>
                </w:p>
              </w:tc>
              <w:tc>
                <w:tcPr>
                  <w:tcW w:w="1020" w:type="dxa"/>
                  <w:tcBorders>
                    <w:top w:val="single" w:color="auto" w:sz="4" w:space="0"/>
                    <w:left w:val="single" w:color="auto" w:sz="4" w:space="0"/>
                    <w:bottom w:val="double" w:color="auto" w:sz="2" w:space="0"/>
                    <w:right w:val="single" w:color="auto" w:sz="4" w:space="0"/>
                  </w:tcBorders>
                  <w:vAlign w:val="center"/>
                </w:tcPr>
                <w:p w14:paraId="6A2285F8">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μg/m</w:t>
                  </w:r>
                  <w:r>
                    <w:rPr>
                      <w:rFonts w:eastAsiaTheme="minorEastAsia"/>
                      <w:color w:val="000000" w:themeColor="text1"/>
                      <w:vertAlign w:val="superscript"/>
                      <w14:textFill>
                        <w14:solidFill>
                          <w14:schemeClr w14:val="tx1"/>
                        </w14:solidFill>
                      </w14:textFill>
                    </w:rPr>
                    <w:t>3</w:t>
                  </w:r>
                </w:p>
              </w:tc>
              <w:tc>
                <w:tcPr>
                  <w:tcW w:w="855" w:type="dxa"/>
                  <w:tcBorders>
                    <w:top w:val="single" w:color="auto" w:sz="4" w:space="0"/>
                    <w:left w:val="single" w:color="auto" w:sz="4" w:space="0"/>
                    <w:bottom w:val="double" w:color="auto" w:sz="2" w:space="0"/>
                    <w:right w:val="single" w:color="auto" w:sz="4" w:space="0"/>
                  </w:tcBorders>
                  <w:vAlign w:val="center"/>
                </w:tcPr>
                <w:p w14:paraId="497A6BDC">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160</w:t>
                  </w:r>
                </w:p>
              </w:tc>
              <w:tc>
                <w:tcPr>
                  <w:tcW w:w="1088" w:type="dxa"/>
                  <w:tcBorders>
                    <w:top w:val="single" w:color="auto" w:sz="4" w:space="0"/>
                    <w:left w:val="single" w:color="auto" w:sz="4" w:space="0"/>
                    <w:bottom w:val="double" w:color="auto" w:sz="2" w:space="0"/>
                    <w:right w:val="nil"/>
                  </w:tcBorders>
                  <w:vAlign w:val="center"/>
                </w:tcPr>
                <w:p w14:paraId="7888BEEB">
                  <w:pPr>
                    <w:adjustRightInd w:val="0"/>
                    <w:snapToGrid w:val="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bl>
          <w:p w14:paraId="7E207A6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2025年朝阳市环境空气中，PM</w:t>
            </w:r>
            <w:r>
              <w:rPr>
                <w:rFonts w:eastAsiaTheme="minorEastAsia"/>
                <w:color w:val="000000" w:themeColor="text1"/>
                <w:vertAlign w:val="subscript"/>
                <w14:textFill>
                  <w14:solidFill>
                    <w14:schemeClr w14:val="tx1"/>
                  </w14:solidFill>
                </w14:textFill>
              </w:rPr>
              <w:t>2.5</w:t>
            </w:r>
            <w:r>
              <w:rPr>
                <w:rFonts w:eastAsiaTheme="minorEastAsia"/>
                <w:color w:val="000000" w:themeColor="text1"/>
                <w14:textFill>
                  <w14:solidFill>
                    <w14:schemeClr w14:val="tx1"/>
                  </w14:solidFill>
                </w14:textFill>
              </w:rPr>
              <w:t>、PM</w:t>
            </w:r>
            <w:r>
              <w:rPr>
                <w:rFonts w:eastAsiaTheme="minorEastAsia"/>
                <w:color w:val="000000" w:themeColor="text1"/>
                <w:vertAlign w:val="subscript"/>
                <w14:textFill>
                  <w14:solidFill>
                    <w14:schemeClr w14:val="tx1"/>
                  </w14:solidFill>
                </w14:textFill>
              </w:rPr>
              <w:t>10</w:t>
            </w:r>
            <w:r>
              <w:rPr>
                <w:rFonts w:eastAsiaTheme="minorEastAsia"/>
                <w:color w:val="000000" w:themeColor="text1"/>
                <w14:textFill>
                  <w14:solidFill>
                    <w14:schemeClr w14:val="tx1"/>
                  </w14:solidFill>
                </w14:textFill>
              </w:rPr>
              <w:t>、二氧化硫（SO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）、二氧化氮（NO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）年平均质量浓度、一氧化碳（CO）百分位浓度、臭氧（O</w:t>
            </w:r>
            <w:r>
              <w:rPr>
                <w:rFonts w:eastAsiaTheme="minorEastAsia"/>
                <w:color w:val="000000" w:themeColor="text1"/>
                <w:vertAlign w:val="subscript"/>
                <w14:textFill>
                  <w14:solidFill>
                    <w14:schemeClr w14:val="tx1"/>
                  </w14:solidFill>
                </w14:textFill>
              </w:rPr>
              <w:t>3</w:t>
            </w:r>
            <w:r>
              <w:rPr>
                <w:rFonts w:eastAsiaTheme="minorEastAsia"/>
                <w:color w:val="000000" w:themeColor="text1"/>
                <w14:textFill>
                  <w14:solidFill>
                    <w14:schemeClr w14:val="tx1"/>
                  </w14:solidFill>
                </w14:textFill>
              </w:rPr>
              <w:t>）百分位浓度均符合《环境空气质量标准》（GB 3095-2026）中</w:t>
            </w:r>
            <w:r>
              <w:rPr>
                <w:rFonts w:eastAsiaTheme="minorEastAsia"/>
                <w:color w:val="0000FF"/>
              </w:rPr>
              <w:t>过渡阶段</w:t>
            </w:r>
            <w:r>
              <w:rPr>
                <w:rFonts w:eastAsiaTheme="minorEastAsia"/>
                <w:color w:val="000000" w:themeColor="text1"/>
                <w14:textFill>
                  <w14:solidFill>
                    <w14:schemeClr w14:val="tx1"/>
                  </w14:solidFill>
                </w14:textFill>
              </w:rPr>
              <w:t>二级标准，说明项目所在区域环境空气质量良好。</w:t>
            </w:r>
          </w:p>
          <w:p w14:paraId="3F041D9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（2）特征污染物</w:t>
            </w:r>
          </w:p>
          <w:p w14:paraId="1BF07DA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根据《建设项目环境影响报告表编制技术指南》（污染影响类）可知：</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排放国家、地方环境空气质量标准中有标准限值要求的特征污染物时，引用建设项目周边5千米范围内近3年的现有监测数据，无相关数据的选择当季主导风向下风向1个点位补充不少于3天的监测数据。</w:t>
            </w:r>
          </w:p>
          <w:p w14:paraId="741242C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排放的污染物为颗粒物、二氧化硫、氮氧化物，其中二氧化硫为常规污染物，受朝阳县佳云奇金属材料有限公司的委托，辽宁至鼎环境科技有限公司于2025年11月4日-6日对本项目进行了环境空气质量监测，检测结果详见下表。</w:t>
            </w:r>
          </w:p>
          <w:p w14:paraId="7B9943A1">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表3-2监测结果</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2"/>
              <w:gridCol w:w="843"/>
              <w:gridCol w:w="966"/>
              <w:gridCol w:w="1337"/>
              <w:gridCol w:w="1625"/>
              <w:gridCol w:w="1123"/>
              <w:gridCol w:w="1077"/>
              <w:gridCol w:w="764"/>
            </w:tblGrid>
            <w:tr w14:paraId="39B58F3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2" w:type="dxa"/>
                  <w:vMerge w:val="restart"/>
                  <w:vAlign w:val="center"/>
                </w:tcPr>
                <w:p w14:paraId="41C46841">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监测点位</w:t>
                  </w:r>
                </w:p>
              </w:tc>
              <w:tc>
                <w:tcPr>
                  <w:tcW w:w="843" w:type="dxa"/>
                  <w:vMerge w:val="restart"/>
                  <w:vAlign w:val="center"/>
                </w:tcPr>
                <w:p w14:paraId="26E06DB1">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污染物</w:t>
                  </w:r>
                </w:p>
              </w:tc>
              <w:tc>
                <w:tcPr>
                  <w:tcW w:w="966" w:type="dxa"/>
                  <w:vMerge w:val="restart"/>
                  <w:vAlign w:val="center"/>
                </w:tcPr>
                <w:p w14:paraId="0ADCDE3E">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平均时间</w:t>
                  </w:r>
                </w:p>
              </w:tc>
              <w:tc>
                <w:tcPr>
                  <w:tcW w:w="1337" w:type="dxa"/>
                  <w:vMerge w:val="restart"/>
                  <w:vAlign w:val="center"/>
                </w:tcPr>
                <w:p w14:paraId="5646BA2D">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评价标准/（mg/m</w:t>
                  </w:r>
                  <w:r>
                    <w:rPr>
                      <w:rFonts w:eastAsiaTheme="minorEastAsia"/>
                      <w:color w:val="000000" w:themeColor="text1"/>
                      <w:kern w:val="0"/>
                      <w:vertAlign w:val="superscript"/>
                      <w14:textFill>
                        <w14:solidFill>
                          <w14:schemeClr w14:val="tx1"/>
                        </w14:solidFill>
                      </w14:textFill>
                    </w:rPr>
                    <w:t>3</w:t>
                  </w:r>
                  <w:r>
                    <w:rPr>
                      <w:rFonts w:eastAsiaTheme="minorEastAsia"/>
                      <w:color w:val="000000" w:themeColor="text1"/>
                      <w:kern w:val="0"/>
                      <w14:textFill>
                        <w14:solidFill>
                          <w14:schemeClr w14:val="tx1"/>
                        </w14:solidFill>
                      </w14:textFill>
                    </w:rPr>
                    <w:t>）</w:t>
                  </w:r>
                </w:p>
              </w:tc>
              <w:tc>
                <w:tcPr>
                  <w:tcW w:w="1625" w:type="dxa"/>
                  <w:vMerge w:val="restart"/>
                  <w:vAlign w:val="center"/>
                </w:tcPr>
                <w:p w14:paraId="72613F63">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监测浓度范围/（mg/m</w:t>
                  </w:r>
                  <w:r>
                    <w:rPr>
                      <w:rFonts w:eastAsiaTheme="minorEastAsia"/>
                      <w:color w:val="000000" w:themeColor="text1"/>
                      <w:kern w:val="0"/>
                      <w:vertAlign w:val="superscript"/>
                      <w14:textFill>
                        <w14:solidFill>
                          <w14:schemeClr w14:val="tx1"/>
                        </w14:solidFill>
                      </w14:textFill>
                    </w:rPr>
                    <w:t>3</w:t>
                  </w:r>
                  <w:r>
                    <w:rPr>
                      <w:rFonts w:eastAsiaTheme="minorEastAsia"/>
                      <w:color w:val="000000" w:themeColor="text1"/>
                      <w:kern w:val="0"/>
                      <w14:textFill>
                        <w14:solidFill>
                          <w14:schemeClr w14:val="tx1"/>
                        </w14:solidFill>
                      </w14:textFill>
                    </w:rPr>
                    <w:t>）</w:t>
                  </w:r>
                </w:p>
              </w:tc>
              <w:tc>
                <w:tcPr>
                  <w:tcW w:w="1123" w:type="dxa"/>
                  <w:vMerge w:val="restart"/>
                  <w:vAlign w:val="center"/>
                </w:tcPr>
                <w:p w14:paraId="17C9C083">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最大浓度占标率（%）</w:t>
                  </w:r>
                </w:p>
              </w:tc>
              <w:tc>
                <w:tcPr>
                  <w:tcW w:w="1077" w:type="dxa"/>
                  <w:vMerge w:val="restart"/>
                  <w:vAlign w:val="center"/>
                </w:tcPr>
                <w:p w14:paraId="31EB2BB2">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超标率（%）</w:t>
                  </w:r>
                </w:p>
              </w:tc>
              <w:tc>
                <w:tcPr>
                  <w:tcW w:w="764" w:type="dxa"/>
                  <w:vMerge w:val="restart"/>
                  <w:vAlign w:val="center"/>
                </w:tcPr>
                <w:p w14:paraId="25F817CB">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达标情况</w:t>
                  </w:r>
                </w:p>
              </w:tc>
            </w:tr>
            <w:tr w14:paraId="70E77FB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02" w:type="dxa"/>
                  <w:vMerge w:val="continue"/>
                  <w:vAlign w:val="center"/>
                </w:tcPr>
                <w:p w14:paraId="05438A2C">
                  <w:pPr>
                    <w:widowControl/>
                    <w:jc w:val="left"/>
                    <w:rPr>
                      <w:rFonts w:eastAsiaTheme="minorEastAsia"/>
                      <w:color w:val="000000" w:themeColor="text1"/>
                      <w:kern w:val="0"/>
                      <w:szCs w:val="21"/>
                      <w14:textFill>
                        <w14:solidFill>
                          <w14:schemeClr w14:val="tx1"/>
                        </w14:solidFill>
                      </w14:textFill>
                    </w:rPr>
                  </w:pPr>
                </w:p>
              </w:tc>
              <w:tc>
                <w:tcPr>
                  <w:tcW w:w="843" w:type="dxa"/>
                  <w:vMerge w:val="continue"/>
                  <w:vAlign w:val="center"/>
                </w:tcPr>
                <w:p w14:paraId="0B186A04">
                  <w:pPr>
                    <w:widowControl/>
                    <w:jc w:val="left"/>
                    <w:rPr>
                      <w:rFonts w:eastAsiaTheme="minorEastAsia"/>
                      <w:color w:val="000000" w:themeColor="text1"/>
                      <w:kern w:val="0"/>
                      <w:szCs w:val="21"/>
                      <w14:textFill>
                        <w14:solidFill>
                          <w14:schemeClr w14:val="tx1"/>
                        </w14:solidFill>
                      </w14:textFill>
                    </w:rPr>
                  </w:pPr>
                </w:p>
              </w:tc>
              <w:tc>
                <w:tcPr>
                  <w:tcW w:w="966" w:type="dxa"/>
                  <w:vMerge w:val="continue"/>
                  <w:vAlign w:val="center"/>
                </w:tcPr>
                <w:p w14:paraId="42A7DF7D">
                  <w:pPr>
                    <w:widowControl/>
                    <w:jc w:val="left"/>
                    <w:rPr>
                      <w:rFonts w:eastAsiaTheme="minorEastAsia"/>
                      <w:color w:val="000000" w:themeColor="text1"/>
                      <w:kern w:val="0"/>
                      <w:szCs w:val="21"/>
                      <w14:textFill>
                        <w14:solidFill>
                          <w14:schemeClr w14:val="tx1"/>
                        </w14:solidFill>
                      </w14:textFill>
                    </w:rPr>
                  </w:pPr>
                </w:p>
              </w:tc>
              <w:tc>
                <w:tcPr>
                  <w:tcW w:w="1337" w:type="dxa"/>
                  <w:vMerge w:val="continue"/>
                  <w:vAlign w:val="center"/>
                </w:tcPr>
                <w:p w14:paraId="3D35958D">
                  <w:pPr>
                    <w:widowControl/>
                    <w:jc w:val="left"/>
                    <w:rPr>
                      <w:rFonts w:eastAsiaTheme="minorEastAsia"/>
                      <w:color w:val="000000" w:themeColor="text1"/>
                      <w:kern w:val="0"/>
                      <w:szCs w:val="21"/>
                      <w14:textFill>
                        <w14:solidFill>
                          <w14:schemeClr w14:val="tx1"/>
                        </w14:solidFill>
                      </w14:textFill>
                    </w:rPr>
                  </w:pPr>
                </w:p>
              </w:tc>
              <w:tc>
                <w:tcPr>
                  <w:tcW w:w="1625" w:type="dxa"/>
                  <w:vMerge w:val="continue"/>
                  <w:vAlign w:val="center"/>
                </w:tcPr>
                <w:p w14:paraId="4BB72594">
                  <w:pPr>
                    <w:widowControl/>
                    <w:jc w:val="left"/>
                    <w:rPr>
                      <w:rFonts w:eastAsiaTheme="minorEastAsia"/>
                      <w:color w:val="000000" w:themeColor="text1"/>
                      <w:kern w:val="0"/>
                      <w:szCs w:val="21"/>
                      <w14:textFill>
                        <w14:solidFill>
                          <w14:schemeClr w14:val="tx1"/>
                        </w14:solidFill>
                      </w14:textFill>
                    </w:rPr>
                  </w:pPr>
                </w:p>
              </w:tc>
              <w:tc>
                <w:tcPr>
                  <w:tcW w:w="1123" w:type="dxa"/>
                  <w:vMerge w:val="continue"/>
                  <w:vAlign w:val="center"/>
                </w:tcPr>
                <w:p w14:paraId="4C29730F">
                  <w:pPr>
                    <w:widowControl/>
                    <w:jc w:val="left"/>
                    <w:rPr>
                      <w:rFonts w:eastAsiaTheme="minorEastAsia"/>
                      <w:color w:val="000000" w:themeColor="text1"/>
                      <w:kern w:val="0"/>
                      <w:szCs w:val="21"/>
                      <w14:textFill>
                        <w14:solidFill>
                          <w14:schemeClr w14:val="tx1"/>
                        </w14:solidFill>
                      </w14:textFill>
                    </w:rPr>
                  </w:pPr>
                </w:p>
              </w:tc>
              <w:tc>
                <w:tcPr>
                  <w:tcW w:w="1077" w:type="dxa"/>
                  <w:vMerge w:val="continue"/>
                  <w:vAlign w:val="center"/>
                </w:tcPr>
                <w:p w14:paraId="6D2FED8C">
                  <w:pPr>
                    <w:widowControl/>
                    <w:jc w:val="left"/>
                    <w:rPr>
                      <w:rFonts w:eastAsiaTheme="minorEastAsia"/>
                      <w:color w:val="000000" w:themeColor="text1"/>
                      <w:kern w:val="0"/>
                      <w:szCs w:val="21"/>
                      <w14:textFill>
                        <w14:solidFill>
                          <w14:schemeClr w14:val="tx1"/>
                        </w14:solidFill>
                      </w14:textFill>
                    </w:rPr>
                  </w:pPr>
                </w:p>
              </w:tc>
              <w:tc>
                <w:tcPr>
                  <w:tcW w:w="764" w:type="dxa"/>
                  <w:vMerge w:val="continue"/>
                  <w:vAlign w:val="center"/>
                </w:tcPr>
                <w:p w14:paraId="62B911AA">
                  <w:pPr>
                    <w:widowControl/>
                    <w:jc w:val="left"/>
                    <w:rPr>
                      <w:rFonts w:eastAsiaTheme="minorEastAsia"/>
                      <w:color w:val="000000" w:themeColor="text1"/>
                      <w:kern w:val="0"/>
                      <w:szCs w:val="21"/>
                      <w14:textFill>
                        <w14:solidFill>
                          <w14:schemeClr w14:val="tx1"/>
                        </w14:solidFill>
                      </w14:textFill>
                    </w:rPr>
                  </w:pPr>
                </w:p>
              </w:tc>
            </w:tr>
            <w:tr w14:paraId="30BC7BD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539" w:hRule="atLeast"/>
                <w:jc w:val="center"/>
              </w:trPr>
              <w:tc>
                <w:tcPr>
                  <w:tcW w:w="902" w:type="dxa"/>
                  <w:vMerge w:val="restart"/>
                  <w:vAlign w:val="center"/>
                </w:tcPr>
                <w:p w14:paraId="7C1AC0CD">
                  <w:pPr>
                    <w:widowControl/>
                    <w:jc w:val="center"/>
                    <w:textAlignment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14:textFill>
                        <w14:solidFill>
                          <w14:schemeClr w14:val="tx1"/>
                        </w14:solidFill>
                      </w14:textFill>
                    </w:rPr>
                    <w:t>当季主导风向下风向1#</w:t>
                  </w:r>
                </w:p>
              </w:tc>
              <w:tc>
                <w:tcPr>
                  <w:tcW w:w="843" w:type="dxa"/>
                  <w:vAlign w:val="center"/>
                </w:tcPr>
                <w:p w14:paraId="29638377">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TSP</w:t>
                  </w:r>
                </w:p>
              </w:tc>
              <w:tc>
                <w:tcPr>
                  <w:tcW w:w="966" w:type="dxa"/>
                  <w:vAlign w:val="center"/>
                </w:tcPr>
                <w:p w14:paraId="69B743F8">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24h</w:t>
                  </w:r>
                </w:p>
              </w:tc>
              <w:tc>
                <w:tcPr>
                  <w:tcW w:w="1337" w:type="dxa"/>
                  <w:vAlign w:val="center"/>
                </w:tcPr>
                <w:p w14:paraId="36B775D5">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0.3</w:t>
                  </w:r>
                </w:p>
              </w:tc>
              <w:tc>
                <w:tcPr>
                  <w:tcW w:w="1625" w:type="dxa"/>
                  <w:vAlign w:val="center"/>
                </w:tcPr>
                <w:p w14:paraId="37304612">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0.097~0.105</w:t>
                  </w:r>
                </w:p>
              </w:tc>
              <w:tc>
                <w:tcPr>
                  <w:tcW w:w="1123" w:type="dxa"/>
                  <w:vAlign w:val="center"/>
                </w:tcPr>
                <w:p w14:paraId="51FCE446">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sz w:val="22"/>
                      <w:szCs w:val="22"/>
                      <w14:textFill>
                        <w14:solidFill>
                          <w14:schemeClr w14:val="tx1"/>
                        </w14:solidFill>
                      </w14:textFill>
                    </w:rPr>
                    <w:t>35</w:t>
                  </w:r>
                </w:p>
              </w:tc>
              <w:tc>
                <w:tcPr>
                  <w:tcW w:w="1077" w:type="dxa"/>
                  <w:vAlign w:val="center"/>
                </w:tcPr>
                <w:p w14:paraId="6DCE330F">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w:t>
                  </w:r>
                </w:p>
              </w:tc>
              <w:tc>
                <w:tcPr>
                  <w:tcW w:w="764" w:type="dxa"/>
                  <w:vAlign w:val="center"/>
                </w:tcPr>
                <w:p w14:paraId="1A89BA4A">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达标</w:t>
                  </w:r>
                </w:p>
              </w:tc>
            </w:tr>
            <w:tr w14:paraId="651625A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2" w:type="dxa"/>
                  <w:vMerge w:val="continue"/>
                  <w:vAlign w:val="center"/>
                </w:tcPr>
                <w:p w14:paraId="49E750C7">
                  <w:pPr>
                    <w:widowControl/>
                    <w:jc w:val="left"/>
                    <w:rPr>
                      <w:rFonts w:eastAsiaTheme="minorEastAsia"/>
                      <w:color w:val="000000" w:themeColor="text1"/>
                      <w:kern w:val="0"/>
                      <w:szCs w:val="21"/>
                      <w14:textFill>
                        <w14:solidFill>
                          <w14:schemeClr w14:val="tx1"/>
                        </w14:solidFill>
                      </w14:textFill>
                    </w:rPr>
                  </w:pPr>
                </w:p>
              </w:tc>
              <w:tc>
                <w:tcPr>
                  <w:tcW w:w="843" w:type="dxa"/>
                  <w:vMerge w:val="restart"/>
                  <w:vAlign w:val="center"/>
                </w:tcPr>
                <w:p w14:paraId="4A12B730">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氮氧化物</w:t>
                  </w:r>
                </w:p>
              </w:tc>
              <w:tc>
                <w:tcPr>
                  <w:tcW w:w="966" w:type="dxa"/>
                  <w:vAlign w:val="center"/>
                </w:tcPr>
                <w:p w14:paraId="4B0A7E8F">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24h</w:t>
                  </w:r>
                </w:p>
              </w:tc>
              <w:tc>
                <w:tcPr>
                  <w:tcW w:w="1337" w:type="dxa"/>
                  <w:vAlign w:val="center"/>
                </w:tcPr>
                <w:p w14:paraId="6CA610C8">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0.1</w:t>
                  </w:r>
                </w:p>
              </w:tc>
              <w:tc>
                <w:tcPr>
                  <w:tcW w:w="1625" w:type="dxa"/>
                  <w:vAlign w:val="center"/>
                </w:tcPr>
                <w:p w14:paraId="39DECAE2">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0.018-0.023</w:t>
                  </w:r>
                </w:p>
              </w:tc>
              <w:tc>
                <w:tcPr>
                  <w:tcW w:w="1123" w:type="dxa"/>
                  <w:vAlign w:val="center"/>
                </w:tcPr>
                <w:p w14:paraId="331A0E41">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sz w:val="22"/>
                      <w:szCs w:val="22"/>
                      <w14:textFill>
                        <w14:solidFill>
                          <w14:schemeClr w14:val="tx1"/>
                        </w14:solidFill>
                      </w14:textFill>
                    </w:rPr>
                    <w:t>23</w:t>
                  </w:r>
                </w:p>
              </w:tc>
              <w:tc>
                <w:tcPr>
                  <w:tcW w:w="1077" w:type="dxa"/>
                  <w:vAlign w:val="center"/>
                </w:tcPr>
                <w:p w14:paraId="09A19867">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w:t>
                  </w:r>
                </w:p>
              </w:tc>
              <w:tc>
                <w:tcPr>
                  <w:tcW w:w="764" w:type="dxa"/>
                  <w:vAlign w:val="center"/>
                </w:tcPr>
                <w:p w14:paraId="17605128">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达标</w:t>
                  </w:r>
                </w:p>
              </w:tc>
            </w:tr>
            <w:tr w14:paraId="1DE7901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2" w:type="dxa"/>
                  <w:vMerge w:val="continue"/>
                  <w:vAlign w:val="center"/>
                </w:tcPr>
                <w:p w14:paraId="1DB035E4">
                  <w:pPr>
                    <w:widowControl/>
                    <w:jc w:val="left"/>
                    <w:rPr>
                      <w:rFonts w:eastAsiaTheme="minorEastAsia"/>
                      <w:color w:val="000000" w:themeColor="text1"/>
                      <w:kern w:val="0"/>
                      <w:szCs w:val="21"/>
                      <w14:textFill>
                        <w14:solidFill>
                          <w14:schemeClr w14:val="tx1"/>
                        </w14:solidFill>
                      </w14:textFill>
                    </w:rPr>
                  </w:pPr>
                </w:p>
              </w:tc>
              <w:tc>
                <w:tcPr>
                  <w:tcW w:w="843" w:type="dxa"/>
                  <w:vMerge w:val="continue"/>
                  <w:vAlign w:val="center"/>
                </w:tcPr>
                <w:p w14:paraId="0C102FB7">
                  <w:pPr>
                    <w:widowControl/>
                    <w:jc w:val="left"/>
                    <w:rPr>
                      <w:rFonts w:eastAsiaTheme="minorEastAsia"/>
                      <w:color w:val="000000" w:themeColor="text1"/>
                      <w:kern w:val="0"/>
                      <w:szCs w:val="21"/>
                      <w14:textFill>
                        <w14:solidFill>
                          <w14:schemeClr w14:val="tx1"/>
                        </w14:solidFill>
                      </w14:textFill>
                    </w:rPr>
                  </w:pPr>
                </w:p>
              </w:tc>
              <w:tc>
                <w:tcPr>
                  <w:tcW w:w="966" w:type="dxa"/>
                  <w:vAlign w:val="center"/>
                </w:tcPr>
                <w:p w14:paraId="640348AF">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1h</w:t>
                  </w:r>
                </w:p>
              </w:tc>
              <w:tc>
                <w:tcPr>
                  <w:tcW w:w="1337" w:type="dxa"/>
                  <w:vAlign w:val="center"/>
                </w:tcPr>
                <w:p w14:paraId="6D084D2B">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0.25</w:t>
                  </w:r>
                </w:p>
              </w:tc>
              <w:tc>
                <w:tcPr>
                  <w:tcW w:w="1625" w:type="dxa"/>
                  <w:vAlign w:val="center"/>
                </w:tcPr>
                <w:p w14:paraId="72856487">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0.027-0.029</w:t>
                  </w:r>
                </w:p>
              </w:tc>
              <w:tc>
                <w:tcPr>
                  <w:tcW w:w="1123" w:type="dxa"/>
                  <w:vAlign w:val="center"/>
                </w:tcPr>
                <w:p w14:paraId="026E7D44">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sz w:val="22"/>
                      <w:szCs w:val="22"/>
                      <w14:textFill>
                        <w14:solidFill>
                          <w14:schemeClr w14:val="tx1"/>
                        </w14:solidFill>
                      </w14:textFill>
                    </w:rPr>
                    <w:t>11.6</w:t>
                  </w:r>
                </w:p>
              </w:tc>
              <w:tc>
                <w:tcPr>
                  <w:tcW w:w="1077" w:type="dxa"/>
                  <w:vAlign w:val="center"/>
                </w:tcPr>
                <w:p w14:paraId="63C854AB">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w:t>
                  </w:r>
                </w:p>
              </w:tc>
              <w:tc>
                <w:tcPr>
                  <w:tcW w:w="764" w:type="dxa"/>
                  <w:vAlign w:val="center"/>
                </w:tcPr>
                <w:p w14:paraId="17652275">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达标</w:t>
                  </w:r>
                </w:p>
              </w:tc>
            </w:tr>
            <w:tr w14:paraId="0FEDF09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637" w:type="dxa"/>
                  <w:gridSpan w:val="8"/>
                  <w:vAlign w:val="center"/>
                </w:tcPr>
                <w:p w14:paraId="578E7A12">
                  <w:pPr>
                    <w:widowControl/>
                    <w:jc w:val="center"/>
                    <w:textAlignment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注：秋季主导风向为西北风，本项目于西南侧较近的村庄（东沟村）设置监测点</w:t>
                  </w:r>
                </w:p>
              </w:tc>
            </w:tr>
          </w:tbl>
          <w:p w14:paraId="3633817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由监测结果可知，项目区域内TSP日均值、氮氧化物日均值及小时值均符合</w:t>
            </w:r>
            <w:r>
              <w:rPr>
                <w:rFonts w:eastAsiaTheme="minorEastAsia"/>
                <w:color w:val="000000" w:themeColor="text1"/>
                <w:spacing w:val="10"/>
                <w14:textFill>
                  <w14:solidFill>
                    <w14:schemeClr w14:val="tx1"/>
                  </w14:solidFill>
                </w14:textFill>
              </w:rPr>
              <w:t>《环</w:t>
            </w:r>
            <w:r>
              <w:rPr>
                <w:rFonts w:eastAsiaTheme="minorEastAsia"/>
                <w:color w:val="000000" w:themeColor="text1"/>
                <w:spacing w:val="8"/>
                <w14:textFill>
                  <w14:solidFill>
                    <w14:schemeClr w14:val="tx1"/>
                  </w14:solidFill>
                </w14:textFill>
              </w:rPr>
              <w:t>境空气质量标准》</w:t>
            </w:r>
            <w:r>
              <w:rPr>
                <w:rFonts w:eastAsiaTheme="minorEastAsia"/>
                <w:color w:val="000000" w:themeColor="text1"/>
                <w:spacing w:val="4"/>
                <w14:textFill>
                  <w14:solidFill>
                    <w14:schemeClr w14:val="tx1"/>
                  </w14:solidFill>
                </w14:textFill>
              </w:rPr>
              <w:t>（</w:t>
            </w:r>
            <w:r>
              <w:rPr>
                <w:rFonts w:eastAsiaTheme="minorEastAsia"/>
                <w:color w:val="000000" w:themeColor="text1"/>
                <w14:textFill>
                  <w14:solidFill>
                    <w14:schemeClr w14:val="tx1"/>
                  </w14:solidFill>
                </w14:textFill>
              </w:rPr>
              <w:t xml:space="preserve">GB </w:t>
            </w:r>
            <w:r>
              <w:rPr>
                <w:rFonts w:eastAsiaTheme="minorEastAsia"/>
                <w:color w:val="000000" w:themeColor="text1"/>
                <w:spacing w:val="4"/>
                <w14:textFill>
                  <w14:solidFill>
                    <w14:schemeClr w14:val="tx1"/>
                  </w14:solidFill>
                </w14:textFill>
              </w:rPr>
              <w:t>3095-2026）中</w:t>
            </w:r>
            <w:r>
              <w:rPr>
                <w:rFonts w:eastAsiaTheme="minorEastAsia"/>
                <w:color w:val="0000FF"/>
                <w:spacing w:val="4"/>
              </w:rPr>
              <w:t>过渡阶段</w:t>
            </w:r>
            <w:r>
              <w:rPr>
                <w:rFonts w:eastAsiaTheme="minorEastAsia"/>
                <w:color w:val="000000" w:themeColor="text1"/>
                <w:spacing w:val="4"/>
                <w14:textFill>
                  <w14:solidFill>
                    <w14:schemeClr w14:val="tx1"/>
                  </w14:solidFill>
                </w14:textFill>
              </w:rPr>
              <w:t>二级标准。</w:t>
            </w:r>
          </w:p>
          <w:p w14:paraId="70FB477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2、地表水环境</w:t>
            </w:r>
          </w:p>
          <w:p w14:paraId="72F17CC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项目东侧</w:t>
            </w:r>
            <w:r>
              <w:rPr>
                <w:rFonts w:eastAsiaTheme="minorEastAsia"/>
                <w:color w:val="0000FF"/>
              </w:rPr>
              <w:t>41m</w:t>
            </w:r>
            <w:r>
              <w:rPr>
                <w:rFonts w:eastAsiaTheme="minorEastAsia"/>
                <w:color w:val="000000" w:themeColor="text1"/>
                <w14:textFill>
                  <w14:solidFill>
                    <w14:schemeClr w14:val="tx1"/>
                  </w14:solidFill>
                </w14:textFill>
              </w:rPr>
              <w:t>为小凌河，本项目脱硫废水进入废水沉淀池和氧化池处理后全部回用，无生产废水排放。</w:t>
            </w:r>
          </w:p>
          <w:p w14:paraId="354C51A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若在事故状况下脱硫废水进入小凌河，会导致水体pH值异常、盐分升高，对河流水质和水生生态系统造成污染。本项目脱硫系统配套沉淀池和氧化池位于烘干车间1层，距离小凌河约</w:t>
            </w:r>
            <w:r>
              <w:rPr>
                <w:rFonts w:eastAsiaTheme="minorEastAsia"/>
                <w:color w:val="0000FF"/>
              </w:rPr>
              <w:t>43m</w:t>
            </w:r>
            <w:r>
              <w:rPr>
                <w:rFonts w:eastAsiaTheme="minorEastAsia"/>
                <w:color w:val="000000" w:themeColor="text1"/>
                <w14:textFill>
                  <w14:solidFill>
                    <w14:schemeClr w14:val="tx1"/>
                  </w14:solidFill>
                </w14:textFill>
              </w:rPr>
              <w:t>，且有车间阻挡，只要发生事故后及时处理，不会通过地表径流或垂直入渗的途径对小凌河造成污染。</w:t>
            </w:r>
          </w:p>
          <w:p w14:paraId="4BE4730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生活废水依托朝阳县瓦房子镇宏兴锰矿化粪池，定期清掏不外排。本项目无废水外排，不对地表水进行环境影响评价。</w:t>
            </w:r>
          </w:p>
          <w:p w14:paraId="161D3F0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根据朝阳市生态环境局发布的《朝阳市生态环境质量公报（2025年）》，2025年，大凌河</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朝阳段</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、小凌河、青龙河、老哈河水质</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优</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。16个地表水监测断面中，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优、良</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br w:type="column"/>
            </w:r>
            <w:r>
              <w:rPr>
                <w:rFonts w:eastAsiaTheme="minorEastAsia"/>
                <w:color w:val="000000" w:themeColor="text1"/>
                <w14:textFill>
                  <w14:solidFill>
                    <w14:schemeClr w14:val="tx1"/>
                  </w14:solidFill>
                </w14:textFill>
              </w:rPr>
              <w:t>水质断面占100%，无轻、中、重度污染河流。与</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十三五</w:t>
            </w:r>
            <w:r>
              <w:rPr>
                <w:rFonts w:eastAsiaTheme="minorEastAsia"/>
                <w:color w:val="000000" w:themeColor="text1"/>
                <w14:textFill>
                  <w14:solidFill>
                    <w14:schemeClr w14:val="tx1"/>
                  </w14:solidFill>
                </w14:textFill>
              </w:rPr>
              <w:br w:type="column"/>
            </w:r>
            <w:r>
              <w:rPr>
                <w:rFonts w:eastAsiaTheme="minorEastAsia"/>
                <w:color w:val="000000" w:themeColor="text1"/>
                <w14:textFill>
                  <w14:solidFill>
                    <w14:schemeClr w14:val="tx1"/>
                  </w14:solidFill>
                </w14:textFill>
              </w:rPr>
              <w:t>末期</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相比，大凌河支流中凉水河水质明显改善，大凌河西支、老哈河水质有所改善，第二牡牛河水质有所下降，其它河流水质稳定，无明显变化。</w:t>
            </w:r>
          </w:p>
          <w:p w14:paraId="7B0738C4">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表3-3 朝阳市2025年河流断面各月份及年均水质考核类别</w:t>
            </w:r>
          </w:p>
          <w:tbl>
            <w:tblPr>
              <w:tblStyle w:val="36"/>
              <w:tblW w:w="8637"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312"/>
              <w:gridCol w:w="1418"/>
              <w:gridCol w:w="1842"/>
              <w:gridCol w:w="1276"/>
              <w:gridCol w:w="1092"/>
            </w:tblGrid>
            <w:tr w14:paraId="5E23E35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double" w:color="auto" w:sz="4" w:space="0"/>
                    <w:bottom w:val="single" w:color="auto" w:sz="4" w:space="0"/>
                  </w:tcBorders>
                  <w:shd w:val="clear" w:color="auto" w:fill="auto"/>
                  <w:vAlign w:val="center"/>
                </w:tcPr>
                <w:p w14:paraId="5F19BFDF">
                  <w:pPr>
                    <w:pStyle w:val="48"/>
                    <w:rPr>
                      <w:kern w:val="0"/>
                      <w:sz w:val="18"/>
                      <w:szCs w:val="18"/>
                    </w:rPr>
                  </w:pPr>
                  <w:r>
                    <w:t>序号</w:t>
                  </w:r>
                </w:p>
              </w:tc>
              <w:tc>
                <w:tcPr>
                  <w:tcW w:w="2312" w:type="dxa"/>
                  <w:tcBorders>
                    <w:top w:val="double" w:color="auto" w:sz="4" w:space="0"/>
                    <w:bottom w:val="single" w:color="auto" w:sz="4" w:space="0"/>
                  </w:tcBorders>
                  <w:shd w:val="clear" w:color="auto" w:fill="auto"/>
                  <w:vAlign w:val="center"/>
                </w:tcPr>
                <w:p w14:paraId="79E2B3D6">
                  <w:pPr>
                    <w:pStyle w:val="48"/>
                  </w:pPr>
                  <w:r>
                    <w:t>断面名称</w:t>
                  </w:r>
                </w:p>
              </w:tc>
              <w:tc>
                <w:tcPr>
                  <w:tcW w:w="1418" w:type="dxa"/>
                  <w:tcBorders>
                    <w:top w:val="double" w:color="auto" w:sz="4" w:space="0"/>
                    <w:bottom w:val="single" w:color="auto" w:sz="4" w:space="0"/>
                  </w:tcBorders>
                  <w:shd w:val="clear" w:color="auto" w:fill="auto"/>
                  <w:vAlign w:val="center"/>
                </w:tcPr>
                <w:p w14:paraId="091A132E">
                  <w:pPr>
                    <w:pStyle w:val="48"/>
                  </w:pPr>
                  <w:r>
                    <w:t>所属县区</w:t>
                  </w:r>
                </w:p>
              </w:tc>
              <w:tc>
                <w:tcPr>
                  <w:tcW w:w="1842" w:type="dxa"/>
                  <w:tcBorders>
                    <w:top w:val="double" w:color="auto" w:sz="4" w:space="0"/>
                    <w:bottom w:val="single" w:color="auto" w:sz="4" w:space="0"/>
                  </w:tcBorders>
                  <w:shd w:val="clear" w:color="auto" w:fill="auto"/>
                  <w:vAlign w:val="center"/>
                </w:tcPr>
                <w:p w14:paraId="485E77B2">
                  <w:pPr>
                    <w:pStyle w:val="48"/>
                  </w:pPr>
                  <w:r>
                    <w:t>所属河流</w:t>
                  </w:r>
                </w:p>
              </w:tc>
              <w:tc>
                <w:tcPr>
                  <w:tcW w:w="1276" w:type="dxa"/>
                  <w:tcBorders>
                    <w:top w:val="double" w:color="auto" w:sz="4" w:space="0"/>
                    <w:bottom w:val="single" w:color="auto" w:sz="4" w:space="0"/>
                  </w:tcBorders>
                  <w:shd w:val="clear" w:color="auto" w:fill="auto"/>
                  <w:vAlign w:val="center"/>
                </w:tcPr>
                <w:p w14:paraId="6B22B30A">
                  <w:pPr>
                    <w:pStyle w:val="48"/>
                  </w:pPr>
                  <w:r>
                    <w:t>考核标准</w:t>
                  </w:r>
                </w:p>
              </w:tc>
              <w:tc>
                <w:tcPr>
                  <w:tcW w:w="1092" w:type="dxa"/>
                  <w:tcBorders>
                    <w:top w:val="double" w:color="auto" w:sz="4" w:space="0"/>
                    <w:bottom w:val="single" w:color="auto" w:sz="4" w:space="0"/>
                  </w:tcBorders>
                  <w:shd w:val="clear" w:color="auto" w:fill="auto"/>
                  <w:vAlign w:val="center"/>
                </w:tcPr>
                <w:p w14:paraId="2D3B7C7F">
                  <w:pPr>
                    <w:pStyle w:val="48"/>
                  </w:pPr>
                  <w:r>
                    <w:t>年均水质</w:t>
                  </w:r>
                </w:p>
              </w:tc>
            </w:tr>
            <w:tr w14:paraId="0DA0ED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21D533DC">
                  <w:pPr>
                    <w:pStyle w:val="48"/>
                  </w:pPr>
                  <w:r>
                    <w:t>1</w:t>
                  </w:r>
                </w:p>
              </w:tc>
              <w:tc>
                <w:tcPr>
                  <w:tcW w:w="2312" w:type="dxa"/>
                  <w:tcBorders>
                    <w:top w:val="single" w:color="auto" w:sz="4" w:space="0"/>
                    <w:bottom w:val="single" w:color="auto" w:sz="4" w:space="0"/>
                  </w:tcBorders>
                  <w:shd w:val="clear" w:color="auto" w:fill="auto"/>
                  <w:vAlign w:val="center"/>
                </w:tcPr>
                <w:p w14:paraId="0B333BB1">
                  <w:pPr>
                    <w:pStyle w:val="48"/>
                  </w:pPr>
                  <w:r>
                    <w:t>忙牛河大桥</w:t>
                  </w:r>
                </w:p>
              </w:tc>
              <w:tc>
                <w:tcPr>
                  <w:tcW w:w="1418" w:type="dxa"/>
                  <w:tcBorders>
                    <w:top w:val="single" w:color="auto" w:sz="4" w:space="0"/>
                    <w:bottom w:val="single" w:color="auto" w:sz="4" w:space="0"/>
                  </w:tcBorders>
                  <w:shd w:val="clear" w:color="auto" w:fill="auto"/>
                  <w:vAlign w:val="center"/>
                </w:tcPr>
                <w:p w14:paraId="4785B4B1">
                  <w:pPr>
                    <w:pStyle w:val="48"/>
                  </w:pPr>
                  <w:r>
                    <w:t>北票市</w:t>
                  </w:r>
                </w:p>
              </w:tc>
              <w:tc>
                <w:tcPr>
                  <w:tcW w:w="1842" w:type="dxa"/>
                  <w:tcBorders>
                    <w:top w:val="single" w:color="auto" w:sz="4" w:space="0"/>
                    <w:bottom w:val="single" w:color="auto" w:sz="4" w:space="0"/>
                  </w:tcBorders>
                  <w:shd w:val="clear" w:color="auto" w:fill="auto"/>
                  <w:vAlign w:val="center"/>
                </w:tcPr>
                <w:p w14:paraId="6F71B766">
                  <w:pPr>
                    <w:pStyle w:val="48"/>
                  </w:pPr>
                  <w:r>
                    <w:t>忙牛河</w:t>
                  </w:r>
                </w:p>
              </w:tc>
              <w:tc>
                <w:tcPr>
                  <w:tcW w:w="1276" w:type="dxa"/>
                  <w:tcBorders>
                    <w:top w:val="single" w:color="auto" w:sz="4" w:space="0"/>
                    <w:bottom w:val="single" w:color="auto" w:sz="4" w:space="0"/>
                  </w:tcBorders>
                  <w:shd w:val="clear" w:color="auto" w:fill="auto"/>
                  <w:vAlign w:val="center"/>
                </w:tcPr>
                <w:p w14:paraId="7895C0BB">
                  <w:pPr>
                    <w:pStyle w:val="48"/>
                  </w:pPr>
                  <w:r>
                    <w:t>II</w:t>
                  </w:r>
                </w:p>
              </w:tc>
              <w:tc>
                <w:tcPr>
                  <w:tcW w:w="1092" w:type="dxa"/>
                  <w:tcBorders>
                    <w:top w:val="single" w:color="auto" w:sz="4" w:space="0"/>
                    <w:bottom w:val="single" w:color="auto" w:sz="4" w:space="0"/>
                  </w:tcBorders>
                  <w:shd w:val="clear" w:color="auto" w:fill="auto"/>
                  <w:vAlign w:val="center"/>
                </w:tcPr>
                <w:p w14:paraId="240FCFBB">
                  <w:pPr>
                    <w:pStyle w:val="48"/>
                  </w:pPr>
                  <w:r>
                    <w:t>II</w:t>
                  </w:r>
                </w:p>
              </w:tc>
            </w:tr>
            <w:tr w14:paraId="0A7252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trPr>
              <w:tc>
                <w:tcPr>
                  <w:tcW w:w="697" w:type="dxa"/>
                  <w:tcBorders>
                    <w:top w:val="single" w:color="auto" w:sz="4" w:space="0"/>
                    <w:bottom w:val="single" w:color="auto" w:sz="4" w:space="0"/>
                  </w:tcBorders>
                  <w:shd w:val="clear" w:color="auto" w:fill="auto"/>
                  <w:vAlign w:val="center"/>
                </w:tcPr>
                <w:p w14:paraId="71D3C73A">
                  <w:pPr>
                    <w:pStyle w:val="48"/>
                  </w:pPr>
                  <w:r>
                    <w:t>2</w:t>
                  </w:r>
                </w:p>
              </w:tc>
              <w:tc>
                <w:tcPr>
                  <w:tcW w:w="2312" w:type="dxa"/>
                  <w:tcBorders>
                    <w:top w:val="single" w:color="auto" w:sz="4" w:space="0"/>
                    <w:bottom w:val="single" w:color="auto" w:sz="4" w:space="0"/>
                  </w:tcBorders>
                  <w:shd w:val="clear" w:color="auto" w:fill="auto"/>
                  <w:vAlign w:val="center"/>
                </w:tcPr>
                <w:p w14:paraId="648EF620">
                  <w:pPr>
                    <w:pStyle w:val="48"/>
                  </w:pPr>
                  <w:r>
                    <w:t>白石</w:t>
                  </w:r>
                </w:p>
              </w:tc>
              <w:tc>
                <w:tcPr>
                  <w:tcW w:w="1418" w:type="dxa"/>
                  <w:tcBorders>
                    <w:top w:val="single" w:color="auto" w:sz="4" w:space="0"/>
                    <w:bottom w:val="single" w:color="auto" w:sz="4" w:space="0"/>
                  </w:tcBorders>
                  <w:shd w:val="clear" w:color="auto" w:fill="auto"/>
                  <w:vAlign w:val="center"/>
                </w:tcPr>
                <w:p w14:paraId="5B8525C8">
                  <w:pPr>
                    <w:pStyle w:val="48"/>
                  </w:pPr>
                  <w:r>
                    <w:t>北票市</w:t>
                  </w:r>
                </w:p>
              </w:tc>
              <w:tc>
                <w:tcPr>
                  <w:tcW w:w="1842" w:type="dxa"/>
                  <w:tcBorders>
                    <w:top w:val="single" w:color="auto" w:sz="4" w:space="0"/>
                    <w:bottom w:val="single" w:color="auto" w:sz="4" w:space="0"/>
                  </w:tcBorders>
                  <w:shd w:val="clear" w:color="auto" w:fill="auto"/>
                  <w:vAlign w:val="center"/>
                </w:tcPr>
                <w:p w14:paraId="1E0742AC">
                  <w:pPr>
                    <w:pStyle w:val="48"/>
                  </w:pPr>
                  <w:r>
                    <w:t>大凌河</w:t>
                  </w:r>
                </w:p>
              </w:tc>
              <w:tc>
                <w:tcPr>
                  <w:tcW w:w="1276" w:type="dxa"/>
                  <w:tcBorders>
                    <w:top w:val="single" w:color="auto" w:sz="4" w:space="0"/>
                    <w:bottom w:val="single" w:color="auto" w:sz="4" w:space="0"/>
                  </w:tcBorders>
                  <w:shd w:val="clear" w:color="auto" w:fill="auto"/>
                  <w:vAlign w:val="center"/>
                </w:tcPr>
                <w:p w14:paraId="1795923C">
                  <w:pPr>
                    <w:pStyle w:val="48"/>
                  </w:pPr>
                  <w:r>
                    <w:t>II</w:t>
                  </w:r>
                </w:p>
              </w:tc>
              <w:tc>
                <w:tcPr>
                  <w:tcW w:w="1092" w:type="dxa"/>
                  <w:tcBorders>
                    <w:top w:val="single" w:color="auto" w:sz="4" w:space="0"/>
                    <w:bottom w:val="single" w:color="auto" w:sz="4" w:space="0"/>
                  </w:tcBorders>
                  <w:shd w:val="clear" w:color="auto" w:fill="auto"/>
                  <w:vAlign w:val="center"/>
                </w:tcPr>
                <w:p w14:paraId="6017C1CA">
                  <w:pPr>
                    <w:pStyle w:val="48"/>
                  </w:pPr>
                  <w:r>
                    <w:t>II</w:t>
                  </w:r>
                </w:p>
              </w:tc>
            </w:tr>
            <w:tr w14:paraId="7E5690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5EE14152">
                  <w:pPr>
                    <w:pStyle w:val="48"/>
                  </w:pPr>
                  <w:r>
                    <w:t>3</w:t>
                  </w:r>
                </w:p>
              </w:tc>
              <w:tc>
                <w:tcPr>
                  <w:tcW w:w="2312" w:type="dxa"/>
                  <w:tcBorders>
                    <w:top w:val="single" w:color="auto" w:sz="4" w:space="0"/>
                    <w:bottom w:val="single" w:color="auto" w:sz="4" w:space="0"/>
                  </w:tcBorders>
                  <w:shd w:val="clear" w:color="auto" w:fill="auto"/>
                  <w:vAlign w:val="center"/>
                </w:tcPr>
                <w:p w14:paraId="0293D59D">
                  <w:pPr>
                    <w:pStyle w:val="48"/>
                  </w:pPr>
                  <w:r>
                    <w:t>虎头石</w:t>
                  </w:r>
                </w:p>
              </w:tc>
              <w:tc>
                <w:tcPr>
                  <w:tcW w:w="1418" w:type="dxa"/>
                  <w:tcBorders>
                    <w:top w:val="single" w:color="auto" w:sz="4" w:space="0"/>
                    <w:bottom w:val="single" w:color="auto" w:sz="4" w:space="0"/>
                  </w:tcBorders>
                  <w:shd w:val="clear" w:color="auto" w:fill="auto"/>
                  <w:vAlign w:val="center"/>
                </w:tcPr>
                <w:p w14:paraId="7C768DF2">
                  <w:pPr>
                    <w:pStyle w:val="48"/>
                  </w:pPr>
                  <w:r>
                    <w:t>凌源市</w:t>
                  </w:r>
                </w:p>
              </w:tc>
              <w:tc>
                <w:tcPr>
                  <w:tcW w:w="1842" w:type="dxa"/>
                  <w:tcBorders>
                    <w:top w:val="single" w:color="auto" w:sz="4" w:space="0"/>
                    <w:bottom w:val="single" w:color="auto" w:sz="4" w:space="0"/>
                  </w:tcBorders>
                  <w:shd w:val="clear" w:color="auto" w:fill="auto"/>
                  <w:vAlign w:val="center"/>
                </w:tcPr>
                <w:p w14:paraId="6B3079AB">
                  <w:pPr>
                    <w:pStyle w:val="48"/>
                  </w:pPr>
                  <w:r>
                    <w:t>青龙河</w:t>
                  </w:r>
                </w:p>
              </w:tc>
              <w:tc>
                <w:tcPr>
                  <w:tcW w:w="1276" w:type="dxa"/>
                  <w:tcBorders>
                    <w:top w:val="single" w:color="auto" w:sz="4" w:space="0"/>
                    <w:bottom w:val="single" w:color="auto" w:sz="4" w:space="0"/>
                  </w:tcBorders>
                  <w:shd w:val="clear" w:color="auto" w:fill="auto"/>
                  <w:vAlign w:val="center"/>
                </w:tcPr>
                <w:p w14:paraId="3DB89686">
                  <w:pPr>
                    <w:pStyle w:val="48"/>
                  </w:pPr>
                  <w:r>
                    <w:t>II</w:t>
                  </w:r>
                </w:p>
              </w:tc>
              <w:tc>
                <w:tcPr>
                  <w:tcW w:w="1092" w:type="dxa"/>
                  <w:tcBorders>
                    <w:top w:val="single" w:color="auto" w:sz="4" w:space="0"/>
                    <w:bottom w:val="single" w:color="auto" w:sz="4" w:space="0"/>
                  </w:tcBorders>
                  <w:shd w:val="clear" w:color="auto" w:fill="auto"/>
                  <w:vAlign w:val="center"/>
                </w:tcPr>
                <w:p w14:paraId="6D7360D4">
                  <w:pPr>
                    <w:pStyle w:val="48"/>
                  </w:pPr>
                  <w:r>
                    <w:t>II</w:t>
                  </w:r>
                </w:p>
              </w:tc>
            </w:tr>
            <w:tr w14:paraId="6262F6D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59E56B81">
                  <w:pPr>
                    <w:pStyle w:val="48"/>
                  </w:pPr>
                  <w:r>
                    <w:t>4</w:t>
                  </w:r>
                </w:p>
              </w:tc>
              <w:tc>
                <w:tcPr>
                  <w:tcW w:w="2312" w:type="dxa"/>
                  <w:tcBorders>
                    <w:top w:val="single" w:color="auto" w:sz="4" w:space="0"/>
                    <w:bottom w:val="single" w:color="auto" w:sz="4" w:space="0"/>
                  </w:tcBorders>
                  <w:shd w:val="clear" w:color="auto" w:fill="auto"/>
                  <w:vAlign w:val="center"/>
                </w:tcPr>
                <w:p w14:paraId="515A2262">
                  <w:pPr>
                    <w:pStyle w:val="48"/>
                  </w:pPr>
                  <w:r>
                    <w:t>大凌河西支入河口</w:t>
                  </w:r>
                </w:p>
              </w:tc>
              <w:tc>
                <w:tcPr>
                  <w:tcW w:w="1418" w:type="dxa"/>
                  <w:tcBorders>
                    <w:top w:val="single" w:color="auto" w:sz="4" w:space="0"/>
                    <w:bottom w:val="single" w:color="auto" w:sz="4" w:space="0"/>
                  </w:tcBorders>
                  <w:shd w:val="clear" w:color="auto" w:fill="auto"/>
                  <w:vAlign w:val="center"/>
                </w:tcPr>
                <w:p w14:paraId="09E5E05F">
                  <w:pPr>
                    <w:pStyle w:val="48"/>
                  </w:pPr>
                  <w:r>
                    <w:t>凌源市</w:t>
                  </w:r>
                </w:p>
              </w:tc>
              <w:tc>
                <w:tcPr>
                  <w:tcW w:w="1842" w:type="dxa"/>
                  <w:tcBorders>
                    <w:top w:val="single" w:color="auto" w:sz="4" w:space="0"/>
                    <w:bottom w:val="single" w:color="auto" w:sz="4" w:space="0"/>
                  </w:tcBorders>
                  <w:shd w:val="clear" w:color="auto" w:fill="auto"/>
                  <w:vAlign w:val="center"/>
                </w:tcPr>
                <w:p w14:paraId="52DD5D06">
                  <w:pPr>
                    <w:pStyle w:val="48"/>
                  </w:pPr>
                  <w:r>
                    <w:t>大凌河西支</w:t>
                  </w:r>
                </w:p>
              </w:tc>
              <w:tc>
                <w:tcPr>
                  <w:tcW w:w="1276" w:type="dxa"/>
                  <w:tcBorders>
                    <w:top w:val="single" w:color="auto" w:sz="4" w:space="0"/>
                    <w:bottom w:val="single" w:color="auto" w:sz="4" w:space="0"/>
                  </w:tcBorders>
                  <w:shd w:val="clear" w:color="auto" w:fill="auto"/>
                  <w:vAlign w:val="center"/>
                </w:tcPr>
                <w:p w14:paraId="11469815">
                  <w:pPr>
                    <w:pStyle w:val="48"/>
                  </w:pPr>
                  <w:r>
                    <w:t>III</w:t>
                  </w:r>
                </w:p>
              </w:tc>
              <w:tc>
                <w:tcPr>
                  <w:tcW w:w="1092" w:type="dxa"/>
                  <w:tcBorders>
                    <w:top w:val="single" w:color="auto" w:sz="4" w:space="0"/>
                    <w:bottom w:val="single" w:color="auto" w:sz="4" w:space="0"/>
                  </w:tcBorders>
                  <w:shd w:val="clear" w:color="auto" w:fill="auto"/>
                  <w:vAlign w:val="center"/>
                </w:tcPr>
                <w:p w14:paraId="5C451C7E">
                  <w:pPr>
                    <w:pStyle w:val="48"/>
                  </w:pPr>
                  <w:r>
                    <w:t>II</w:t>
                  </w:r>
                </w:p>
              </w:tc>
            </w:tr>
            <w:tr w14:paraId="6DC6CF9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09A3C975">
                  <w:pPr>
                    <w:pStyle w:val="48"/>
                  </w:pPr>
                  <w:r>
                    <w:t>5</w:t>
                  </w:r>
                </w:p>
              </w:tc>
              <w:tc>
                <w:tcPr>
                  <w:tcW w:w="2312" w:type="dxa"/>
                  <w:tcBorders>
                    <w:top w:val="single" w:color="auto" w:sz="4" w:space="0"/>
                    <w:bottom w:val="single" w:color="auto" w:sz="4" w:space="0"/>
                  </w:tcBorders>
                  <w:shd w:val="clear" w:color="auto" w:fill="auto"/>
                  <w:vAlign w:val="center"/>
                </w:tcPr>
                <w:p w14:paraId="6B7447F2">
                  <w:pPr>
                    <w:pStyle w:val="48"/>
                  </w:pPr>
                  <w:r>
                    <w:t>李家湾大桥</w:t>
                  </w:r>
                </w:p>
              </w:tc>
              <w:tc>
                <w:tcPr>
                  <w:tcW w:w="1418" w:type="dxa"/>
                  <w:tcBorders>
                    <w:top w:val="single" w:color="auto" w:sz="4" w:space="0"/>
                    <w:bottom w:val="single" w:color="auto" w:sz="4" w:space="0"/>
                  </w:tcBorders>
                  <w:shd w:val="clear" w:color="auto" w:fill="auto"/>
                  <w:vAlign w:val="center"/>
                </w:tcPr>
                <w:p w14:paraId="66F902D3">
                  <w:pPr>
                    <w:pStyle w:val="48"/>
                  </w:pPr>
                  <w:r>
                    <w:t>朝阳县</w:t>
                  </w:r>
                </w:p>
              </w:tc>
              <w:tc>
                <w:tcPr>
                  <w:tcW w:w="1842" w:type="dxa"/>
                  <w:tcBorders>
                    <w:top w:val="single" w:color="auto" w:sz="4" w:space="0"/>
                    <w:bottom w:val="single" w:color="auto" w:sz="4" w:space="0"/>
                  </w:tcBorders>
                  <w:shd w:val="clear" w:color="auto" w:fill="auto"/>
                  <w:vAlign w:val="center"/>
                </w:tcPr>
                <w:p w14:paraId="79EE58DA">
                  <w:pPr>
                    <w:pStyle w:val="48"/>
                  </w:pPr>
                  <w:r>
                    <w:t>老虎山河</w:t>
                  </w:r>
                </w:p>
              </w:tc>
              <w:tc>
                <w:tcPr>
                  <w:tcW w:w="1276" w:type="dxa"/>
                  <w:tcBorders>
                    <w:top w:val="single" w:color="auto" w:sz="4" w:space="0"/>
                    <w:bottom w:val="single" w:color="auto" w:sz="4" w:space="0"/>
                  </w:tcBorders>
                  <w:shd w:val="clear" w:color="auto" w:fill="auto"/>
                  <w:vAlign w:val="center"/>
                </w:tcPr>
                <w:p w14:paraId="47D39B3B">
                  <w:pPr>
                    <w:pStyle w:val="48"/>
                  </w:pPr>
                  <w:r>
                    <w:t>II</w:t>
                  </w:r>
                </w:p>
              </w:tc>
              <w:tc>
                <w:tcPr>
                  <w:tcW w:w="1092" w:type="dxa"/>
                  <w:tcBorders>
                    <w:top w:val="single" w:color="auto" w:sz="4" w:space="0"/>
                    <w:bottom w:val="single" w:color="auto" w:sz="4" w:space="0"/>
                  </w:tcBorders>
                  <w:shd w:val="clear" w:color="auto" w:fill="auto"/>
                  <w:vAlign w:val="center"/>
                </w:tcPr>
                <w:p w14:paraId="1BF6FFFA">
                  <w:pPr>
                    <w:pStyle w:val="48"/>
                  </w:pPr>
                  <w:r>
                    <w:t>II</w:t>
                  </w:r>
                </w:p>
              </w:tc>
            </w:tr>
            <w:tr w14:paraId="6C86838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7F17CA45">
                  <w:pPr>
                    <w:pStyle w:val="48"/>
                  </w:pPr>
                  <w:r>
                    <w:t>6</w:t>
                  </w:r>
                </w:p>
              </w:tc>
              <w:tc>
                <w:tcPr>
                  <w:tcW w:w="2312" w:type="dxa"/>
                  <w:tcBorders>
                    <w:top w:val="single" w:color="auto" w:sz="4" w:space="0"/>
                    <w:bottom w:val="single" w:color="auto" w:sz="4" w:space="0"/>
                  </w:tcBorders>
                  <w:shd w:val="clear" w:color="auto" w:fill="auto"/>
                  <w:vAlign w:val="center"/>
                </w:tcPr>
                <w:p w14:paraId="4EB7AC3B">
                  <w:pPr>
                    <w:pStyle w:val="48"/>
                  </w:pPr>
                  <w:r>
                    <w:t>东山根</w:t>
                  </w:r>
                </w:p>
              </w:tc>
              <w:tc>
                <w:tcPr>
                  <w:tcW w:w="1418" w:type="dxa"/>
                  <w:tcBorders>
                    <w:top w:val="single" w:color="auto" w:sz="4" w:space="0"/>
                    <w:bottom w:val="single" w:color="auto" w:sz="4" w:space="0"/>
                  </w:tcBorders>
                  <w:shd w:val="clear" w:color="auto" w:fill="auto"/>
                  <w:vAlign w:val="center"/>
                </w:tcPr>
                <w:p w14:paraId="77573450">
                  <w:pPr>
                    <w:pStyle w:val="48"/>
                  </w:pPr>
                  <w:r>
                    <w:t>朝阳县</w:t>
                  </w:r>
                </w:p>
              </w:tc>
              <w:tc>
                <w:tcPr>
                  <w:tcW w:w="1842" w:type="dxa"/>
                  <w:tcBorders>
                    <w:top w:val="single" w:color="auto" w:sz="4" w:space="0"/>
                    <w:bottom w:val="single" w:color="auto" w:sz="4" w:space="0"/>
                  </w:tcBorders>
                  <w:shd w:val="clear" w:color="auto" w:fill="auto"/>
                  <w:vAlign w:val="center"/>
                </w:tcPr>
                <w:p w14:paraId="677EDBF1">
                  <w:pPr>
                    <w:pStyle w:val="48"/>
                  </w:pPr>
                  <w:r>
                    <w:t>小凌河</w:t>
                  </w:r>
                </w:p>
              </w:tc>
              <w:tc>
                <w:tcPr>
                  <w:tcW w:w="1276" w:type="dxa"/>
                  <w:tcBorders>
                    <w:top w:val="single" w:color="auto" w:sz="4" w:space="0"/>
                    <w:bottom w:val="single" w:color="auto" w:sz="4" w:space="0"/>
                  </w:tcBorders>
                  <w:shd w:val="clear" w:color="auto" w:fill="auto"/>
                  <w:vAlign w:val="center"/>
                </w:tcPr>
                <w:p w14:paraId="08C8A890">
                  <w:pPr>
                    <w:pStyle w:val="48"/>
                  </w:pPr>
                  <w:r>
                    <w:t>II</w:t>
                  </w:r>
                </w:p>
              </w:tc>
              <w:tc>
                <w:tcPr>
                  <w:tcW w:w="1092" w:type="dxa"/>
                  <w:tcBorders>
                    <w:top w:val="single" w:color="auto" w:sz="4" w:space="0"/>
                    <w:bottom w:val="single" w:color="auto" w:sz="4" w:space="0"/>
                  </w:tcBorders>
                  <w:shd w:val="clear" w:color="auto" w:fill="auto"/>
                  <w:vAlign w:val="center"/>
                </w:tcPr>
                <w:p w14:paraId="14F74108">
                  <w:pPr>
                    <w:pStyle w:val="48"/>
                  </w:pPr>
                  <w:r>
                    <w:t>II</w:t>
                  </w:r>
                </w:p>
              </w:tc>
            </w:tr>
            <w:tr w14:paraId="1FD1377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7F70D803">
                  <w:pPr>
                    <w:pStyle w:val="48"/>
                  </w:pPr>
                  <w:r>
                    <w:t>7</w:t>
                  </w:r>
                </w:p>
              </w:tc>
              <w:tc>
                <w:tcPr>
                  <w:tcW w:w="2312" w:type="dxa"/>
                  <w:tcBorders>
                    <w:top w:val="single" w:color="auto" w:sz="4" w:space="0"/>
                    <w:bottom w:val="single" w:color="auto" w:sz="4" w:space="0"/>
                  </w:tcBorders>
                  <w:shd w:val="clear" w:color="auto" w:fill="auto"/>
                  <w:vAlign w:val="center"/>
                </w:tcPr>
                <w:p w14:paraId="271BE29A">
                  <w:pPr>
                    <w:pStyle w:val="48"/>
                  </w:pPr>
                  <w:r>
                    <w:t>松岭门</w:t>
                  </w:r>
                </w:p>
              </w:tc>
              <w:tc>
                <w:tcPr>
                  <w:tcW w:w="1418" w:type="dxa"/>
                  <w:tcBorders>
                    <w:top w:val="single" w:color="auto" w:sz="4" w:space="0"/>
                    <w:bottom w:val="single" w:color="auto" w:sz="4" w:space="0"/>
                  </w:tcBorders>
                  <w:shd w:val="clear" w:color="auto" w:fill="auto"/>
                  <w:vAlign w:val="center"/>
                </w:tcPr>
                <w:p w14:paraId="73D0FCFE">
                  <w:pPr>
                    <w:pStyle w:val="48"/>
                  </w:pPr>
                  <w:r>
                    <w:t>朝阳县</w:t>
                  </w:r>
                </w:p>
              </w:tc>
              <w:tc>
                <w:tcPr>
                  <w:tcW w:w="1842" w:type="dxa"/>
                  <w:tcBorders>
                    <w:top w:val="single" w:color="auto" w:sz="4" w:space="0"/>
                    <w:bottom w:val="single" w:color="auto" w:sz="4" w:space="0"/>
                  </w:tcBorders>
                  <w:shd w:val="clear" w:color="auto" w:fill="auto"/>
                  <w:vAlign w:val="center"/>
                </w:tcPr>
                <w:p w14:paraId="33868E51">
                  <w:pPr>
                    <w:pStyle w:val="48"/>
                  </w:pPr>
                  <w:r>
                    <w:t>小凌河</w:t>
                  </w:r>
                </w:p>
              </w:tc>
              <w:tc>
                <w:tcPr>
                  <w:tcW w:w="1276" w:type="dxa"/>
                  <w:tcBorders>
                    <w:top w:val="single" w:color="auto" w:sz="4" w:space="0"/>
                    <w:bottom w:val="single" w:color="auto" w:sz="4" w:space="0"/>
                  </w:tcBorders>
                  <w:shd w:val="clear" w:color="auto" w:fill="auto"/>
                  <w:vAlign w:val="center"/>
                </w:tcPr>
                <w:p w14:paraId="4C0E7E96">
                  <w:pPr>
                    <w:pStyle w:val="48"/>
                  </w:pPr>
                  <w:r>
                    <w:t>II</w:t>
                  </w:r>
                </w:p>
              </w:tc>
              <w:tc>
                <w:tcPr>
                  <w:tcW w:w="1092" w:type="dxa"/>
                  <w:tcBorders>
                    <w:top w:val="single" w:color="auto" w:sz="4" w:space="0"/>
                    <w:bottom w:val="single" w:color="auto" w:sz="4" w:space="0"/>
                  </w:tcBorders>
                  <w:shd w:val="clear" w:color="auto" w:fill="auto"/>
                  <w:vAlign w:val="center"/>
                </w:tcPr>
                <w:p w14:paraId="631B0D11">
                  <w:pPr>
                    <w:pStyle w:val="48"/>
                  </w:pPr>
                  <w:r>
                    <w:t>II</w:t>
                  </w:r>
                </w:p>
              </w:tc>
            </w:tr>
            <w:tr w14:paraId="3AA029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3848C3F7">
                  <w:pPr>
                    <w:pStyle w:val="48"/>
                  </w:pPr>
                  <w:r>
                    <w:t>8</w:t>
                  </w:r>
                </w:p>
              </w:tc>
              <w:tc>
                <w:tcPr>
                  <w:tcW w:w="2312" w:type="dxa"/>
                  <w:tcBorders>
                    <w:top w:val="single" w:color="auto" w:sz="4" w:space="0"/>
                    <w:bottom w:val="single" w:color="auto" w:sz="4" w:space="0"/>
                  </w:tcBorders>
                  <w:shd w:val="clear" w:color="auto" w:fill="auto"/>
                  <w:vAlign w:val="center"/>
                </w:tcPr>
                <w:p w14:paraId="5A92B35F">
                  <w:pPr>
                    <w:pStyle w:val="48"/>
                  </w:pPr>
                  <w:r>
                    <w:t>侯杨杖子村西</w:t>
                  </w:r>
                </w:p>
              </w:tc>
              <w:tc>
                <w:tcPr>
                  <w:tcW w:w="1418" w:type="dxa"/>
                  <w:tcBorders>
                    <w:top w:val="single" w:color="auto" w:sz="4" w:space="0"/>
                    <w:bottom w:val="single" w:color="auto" w:sz="4" w:space="0"/>
                  </w:tcBorders>
                  <w:shd w:val="clear" w:color="auto" w:fill="auto"/>
                  <w:vAlign w:val="center"/>
                </w:tcPr>
                <w:p w14:paraId="48F818C8">
                  <w:pPr>
                    <w:pStyle w:val="48"/>
                  </w:pPr>
                  <w:r>
                    <w:t>建平县</w:t>
                  </w:r>
                </w:p>
              </w:tc>
              <w:tc>
                <w:tcPr>
                  <w:tcW w:w="1842" w:type="dxa"/>
                  <w:tcBorders>
                    <w:top w:val="single" w:color="auto" w:sz="4" w:space="0"/>
                    <w:bottom w:val="single" w:color="auto" w:sz="4" w:space="0"/>
                  </w:tcBorders>
                  <w:shd w:val="clear" w:color="auto" w:fill="auto"/>
                  <w:vAlign w:val="center"/>
                </w:tcPr>
                <w:p w14:paraId="70DB7F41">
                  <w:pPr>
                    <w:pStyle w:val="48"/>
                  </w:pPr>
                  <w:r>
                    <w:t>蹦河</w:t>
                  </w:r>
                </w:p>
              </w:tc>
              <w:tc>
                <w:tcPr>
                  <w:tcW w:w="1276" w:type="dxa"/>
                  <w:tcBorders>
                    <w:top w:val="single" w:color="auto" w:sz="4" w:space="0"/>
                    <w:bottom w:val="single" w:color="auto" w:sz="4" w:space="0"/>
                  </w:tcBorders>
                  <w:shd w:val="clear" w:color="auto" w:fill="auto"/>
                  <w:vAlign w:val="center"/>
                </w:tcPr>
                <w:p w14:paraId="2FADCF35">
                  <w:pPr>
                    <w:pStyle w:val="48"/>
                  </w:pPr>
                  <w:r>
                    <w:t>III</w:t>
                  </w:r>
                </w:p>
              </w:tc>
              <w:tc>
                <w:tcPr>
                  <w:tcW w:w="1092" w:type="dxa"/>
                  <w:tcBorders>
                    <w:top w:val="single" w:color="auto" w:sz="4" w:space="0"/>
                    <w:bottom w:val="single" w:color="auto" w:sz="4" w:space="0"/>
                  </w:tcBorders>
                  <w:shd w:val="clear" w:color="auto" w:fill="auto"/>
                  <w:vAlign w:val="center"/>
                </w:tcPr>
                <w:p w14:paraId="39F301FD">
                  <w:pPr>
                    <w:pStyle w:val="48"/>
                  </w:pPr>
                  <w:r>
                    <w:t>II</w:t>
                  </w:r>
                </w:p>
              </w:tc>
            </w:tr>
            <w:tr w14:paraId="177A5E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2D6B4809">
                  <w:pPr>
                    <w:pStyle w:val="48"/>
                  </w:pPr>
                  <w:r>
                    <w:t>9</w:t>
                  </w:r>
                </w:p>
              </w:tc>
              <w:tc>
                <w:tcPr>
                  <w:tcW w:w="2312" w:type="dxa"/>
                  <w:tcBorders>
                    <w:top w:val="single" w:color="auto" w:sz="4" w:space="0"/>
                    <w:bottom w:val="single" w:color="auto" w:sz="4" w:space="0"/>
                  </w:tcBorders>
                  <w:shd w:val="clear" w:color="auto" w:fill="auto"/>
                  <w:vAlign w:val="center"/>
                </w:tcPr>
                <w:p w14:paraId="07B73C9E">
                  <w:pPr>
                    <w:pStyle w:val="48"/>
                  </w:pPr>
                  <w:r>
                    <w:t>大北海</w:t>
                  </w:r>
                </w:p>
              </w:tc>
              <w:tc>
                <w:tcPr>
                  <w:tcW w:w="1418" w:type="dxa"/>
                  <w:tcBorders>
                    <w:top w:val="single" w:color="auto" w:sz="4" w:space="0"/>
                    <w:bottom w:val="single" w:color="auto" w:sz="4" w:space="0"/>
                  </w:tcBorders>
                  <w:shd w:val="clear" w:color="auto" w:fill="auto"/>
                  <w:vAlign w:val="center"/>
                </w:tcPr>
                <w:p w14:paraId="1B9D277B">
                  <w:pPr>
                    <w:pStyle w:val="48"/>
                  </w:pPr>
                  <w:r>
                    <w:t>建平县</w:t>
                  </w:r>
                </w:p>
              </w:tc>
              <w:tc>
                <w:tcPr>
                  <w:tcW w:w="1842" w:type="dxa"/>
                  <w:tcBorders>
                    <w:top w:val="single" w:color="auto" w:sz="4" w:space="0"/>
                    <w:bottom w:val="single" w:color="auto" w:sz="4" w:space="0"/>
                  </w:tcBorders>
                  <w:shd w:val="clear" w:color="auto" w:fill="auto"/>
                  <w:vAlign w:val="center"/>
                </w:tcPr>
                <w:p w14:paraId="7700685B">
                  <w:pPr>
                    <w:pStyle w:val="48"/>
                  </w:pPr>
                  <w:r>
                    <w:t>老哈河</w:t>
                  </w:r>
                </w:p>
              </w:tc>
              <w:tc>
                <w:tcPr>
                  <w:tcW w:w="1276" w:type="dxa"/>
                  <w:tcBorders>
                    <w:top w:val="single" w:color="auto" w:sz="4" w:space="0"/>
                    <w:bottom w:val="single" w:color="auto" w:sz="4" w:space="0"/>
                  </w:tcBorders>
                  <w:shd w:val="clear" w:color="auto" w:fill="auto"/>
                  <w:vAlign w:val="center"/>
                </w:tcPr>
                <w:p w14:paraId="65B0609E">
                  <w:pPr>
                    <w:pStyle w:val="48"/>
                  </w:pPr>
                  <w:r>
                    <w:t>IV</w:t>
                  </w:r>
                </w:p>
              </w:tc>
              <w:tc>
                <w:tcPr>
                  <w:tcW w:w="1092" w:type="dxa"/>
                  <w:tcBorders>
                    <w:top w:val="single" w:color="auto" w:sz="4" w:space="0"/>
                    <w:bottom w:val="single" w:color="auto" w:sz="4" w:space="0"/>
                  </w:tcBorders>
                  <w:shd w:val="clear" w:color="auto" w:fill="auto"/>
                  <w:vAlign w:val="center"/>
                </w:tcPr>
                <w:p w14:paraId="3A778D74">
                  <w:pPr>
                    <w:pStyle w:val="48"/>
                  </w:pPr>
                  <w:r>
                    <w:t>III</w:t>
                  </w:r>
                </w:p>
              </w:tc>
            </w:tr>
            <w:tr w14:paraId="4284F6A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4C969902">
                  <w:pPr>
                    <w:pStyle w:val="48"/>
                  </w:pPr>
                  <w:r>
                    <w:t>10</w:t>
                  </w:r>
                </w:p>
              </w:tc>
              <w:tc>
                <w:tcPr>
                  <w:tcW w:w="2312" w:type="dxa"/>
                  <w:tcBorders>
                    <w:top w:val="single" w:color="auto" w:sz="4" w:space="0"/>
                    <w:bottom w:val="single" w:color="auto" w:sz="4" w:space="0"/>
                  </w:tcBorders>
                  <w:shd w:val="clear" w:color="auto" w:fill="auto"/>
                  <w:vAlign w:val="center"/>
                </w:tcPr>
                <w:p w14:paraId="4878AF34">
                  <w:pPr>
                    <w:pStyle w:val="48"/>
                  </w:pPr>
                  <w:r>
                    <w:t>水泉村桥</w:t>
                  </w:r>
                </w:p>
              </w:tc>
              <w:tc>
                <w:tcPr>
                  <w:tcW w:w="1418" w:type="dxa"/>
                  <w:tcBorders>
                    <w:top w:val="single" w:color="auto" w:sz="4" w:space="0"/>
                    <w:bottom w:val="single" w:color="auto" w:sz="4" w:space="0"/>
                  </w:tcBorders>
                  <w:shd w:val="clear" w:color="auto" w:fill="auto"/>
                  <w:vAlign w:val="center"/>
                </w:tcPr>
                <w:p w14:paraId="58E630AF">
                  <w:pPr>
                    <w:pStyle w:val="48"/>
                  </w:pPr>
                  <w:r>
                    <w:t>建平县</w:t>
                  </w:r>
                </w:p>
              </w:tc>
              <w:tc>
                <w:tcPr>
                  <w:tcW w:w="1842" w:type="dxa"/>
                  <w:tcBorders>
                    <w:top w:val="single" w:color="auto" w:sz="4" w:space="0"/>
                    <w:bottom w:val="single" w:color="auto" w:sz="4" w:space="0"/>
                  </w:tcBorders>
                  <w:shd w:val="clear" w:color="auto" w:fill="auto"/>
                  <w:vAlign w:val="center"/>
                </w:tcPr>
                <w:p w14:paraId="11E69EC4">
                  <w:pPr>
                    <w:pStyle w:val="48"/>
                  </w:pPr>
                  <w:r>
                    <w:t>第二忙牛河</w:t>
                  </w:r>
                </w:p>
              </w:tc>
              <w:tc>
                <w:tcPr>
                  <w:tcW w:w="1276" w:type="dxa"/>
                  <w:tcBorders>
                    <w:top w:val="single" w:color="auto" w:sz="4" w:space="0"/>
                    <w:bottom w:val="single" w:color="auto" w:sz="4" w:space="0"/>
                  </w:tcBorders>
                  <w:shd w:val="clear" w:color="auto" w:fill="auto"/>
                  <w:vAlign w:val="center"/>
                </w:tcPr>
                <w:p w14:paraId="57657BF9">
                  <w:pPr>
                    <w:pStyle w:val="48"/>
                  </w:pPr>
                  <w:r>
                    <w:t>III</w:t>
                  </w:r>
                </w:p>
              </w:tc>
              <w:tc>
                <w:tcPr>
                  <w:tcW w:w="1092" w:type="dxa"/>
                  <w:tcBorders>
                    <w:top w:val="single" w:color="auto" w:sz="4" w:space="0"/>
                    <w:bottom w:val="single" w:color="auto" w:sz="4" w:space="0"/>
                  </w:tcBorders>
                  <w:shd w:val="clear" w:color="auto" w:fill="auto"/>
                  <w:vAlign w:val="center"/>
                </w:tcPr>
                <w:p w14:paraId="6B51F731">
                  <w:pPr>
                    <w:pStyle w:val="48"/>
                  </w:pPr>
                  <w:r>
                    <w:t>III</w:t>
                  </w:r>
                </w:p>
              </w:tc>
            </w:tr>
            <w:tr w14:paraId="23ABA5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01F85000">
                  <w:pPr>
                    <w:pStyle w:val="48"/>
                  </w:pPr>
                  <w:r>
                    <w:t>11</w:t>
                  </w:r>
                </w:p>
              </w:tc>
              <w:tc>
                <w:tcPr>
                  <w:tcW w:w="2312" w:type="dxa"/>
                  <w:tcBorders>
                    <w:top w:val="single" w:color="auto" w:sz="4" w:space="0"/>
                    <w:bottom w:val="single" w:color="auto" w:sz="4" w:space="0"/>
                  </w:tcBorders>
                  <w:shd w:val="clear" w:color="auto" w:fill="auto"/>
                  <w:vAlign w:val="center"/>
                </w:tcPr>
                <w:p w14:paraId="2E21BADC">
                  <w:pPr>
                    <w:pStyle w:val="48"/>
                  </w:pPr>
                  <w:r>
                    <w:t>北洞村</w:t>
                  </w:r>
                </w:p>
              </w:tc>
              <w:tc>
                <w:tcPr>
                  <w:tcW w:w="1418" w:type="dxa"/>
                  <w:tcBorders>
                    <w:top w:val="single" w:color="auto" w:sz="4" w:space="0"/>
                    <w:bottom w:val="single" w:color="auto" w:sz="4" w:space="0"/>
                  </w:tcBorders>
                  <w:shd w:val="clear" w:color="auto" w:fill="auto"/>
                  <w:vAlign w:val="center"/>
                </w:tcPr>
                <w:p w14:paraId="5F0A5FDE">
                  <w:pPr>
                    <w:pStyle w:val="48"/>
                  </w:pPr>
                  <w:r>
                    <w:t>喀左县</w:t>
                  </w:r>
                </w:p>
              </w:tc>
              <w:tc>
                <w:tcPr>
                  <w:tcW w:w="1842" w:type="dxa"/>
                  <w:tcBorders>
                    <w:top w:val="single" w:color="auto" w:sz="4" w:space="0"/>
                    <w:bottom w:val="single" w:color="auto" w:sz="4" w:space="0"/>
                  </w:tcBorders>
                  <w:shd w:val="clear" w:color="auto" w:fill="auto"/>
                  <w:vAlign w:val="center"/>
                </w:tcPr>
                <w:p w14:paraId="2C0C9F3E">
                  <w:pPr>
                    <w:pStyle w:val="48"/>
                  </w:pPr>
                  <w:r>
                    <w:t>大凌河</w:t>
                  </w:r>
                </w:p>
              </w:tc>
              <w:tc>
                <w:tcPr>
                  <w:tcW w:w="1276" w:type="dxa"/>
                  <w:tcBorders>
                    <w:top w:val="single" w:color="auto" w:sz="4" w:space="0"/>
                    <w:bottom w:val="single" w:color="auto" w:sz="4" w:space="0"/>
                  </w:tcBorders>
                  <w:shd w:val="clear" w:color="auto" w:fill="auto"/>
                  <w:vAlign w:val="center"/>
                </w:tcPr>
                <w:p w14:paraId="7B45CDF5">
                  <w:pPr>
                    <w:pStyle w:val="48"/>
                  </w:pPr>
                  <w:r>
                    <w:t>III</w:t>
                  </w:r>
                </w:p>
              </w:tc>
              <w:tc>
                <w:tcPr>
                  <w:tcW w:w="1092" w:type="dxa"/>
                  <w:tcBorders>
                    <w:top w:val="single" w:color="auto" w:sz="4" w:space="0"/>
                    <w:bottom w:val="single" w:color="auto" w:sz="4" w:space="0"/>
                  </w:tcBorders>
                  <w:shd w:val="clear" w:color="auto" w:fill="auto"/>
                  <w:vAlign w:val="center"/>
                </w:tcPr>
                <w:p w14:paraId="3FFB384C">
                  <w:pPr>
                    <w:pStyle w:val="48"/>
                  </w:pPr>
                  <w:r>
                    <w:t>II</w:t>
                  </w:r>
                </w:p>
              </w:tc>
            </w:tr>
            <w:tr w14:paraId="5B5E6CE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0AE7138E">
                  <w:pPr>
                    <w:pStyle w:val="48"/>
                  </w:pPr>
                  <w:r>
                    <w:t>12</w:t>
                  </w:r>
                </w:p>
              </w:tc>
              <w:tc>
                <w:tcPr>
                  <w:tcW w:w="2312" w:type="dxa"/>
                  <w:tcBorders>
                    <w:top w:val="single" w:color="auto" w:sz="4" w:space="0"/>
                    <w:bottom w:val="single" w:color="auto" w:sz="4" w:space="0"/>
                  </w:tcBorders>
                  <w:shd w:val="clear" w:color="auto" w:fill="auto"/>
                  <w:vAlign w:val="center"/>
                </w:tcPr>
                <w:p w14:paraId="5DE5D46C">
                  <w:pPr>
                    <w:pStyle w:val="48"/>
                  </w:pPr>
                  <w:r>
                    <w:t>凌鸿大桥</w:t>
                  </w:r>
                </w:p>
              </w:tc>
              <w:tc>
                <w:tcPr>
                  <w:tcW w:w="1418" w:type="dxa"/>
                  <w:tcBorders>
                    <w:top w:val="single" w:color="auto" w:sz="4" w:space="0"/>
                    <w:bottom w:val="single" w:color="auto" w:sz="4" w:space="0"/>
                  </w:tcBorders>
                  <w:shd w:val="clear" w:color="auto" w:fill="auto"/>
                  <w:vAlign w:val="center"/>
                </w:tcPr>
                <w:p w14:paraId="55132905">
                  <w:pPr>
                    <w:pStyle w:val="48"/>
                  </w:pPr>
                  <w:r>
                    <w:t>市本级</w:t>
                  </w:r>
                </w:p>
              </w:tc>
              <w:tc>
                <w:tcPr>
                  <w:tcW w:w="1842" w:type="dxa"/>
                  <w:tcBorders>
                    <w:top w:val="single" w:color="auto" w:sz="4" w:space="0"/>
                    <w:bottom w:val="single" w:color="auto" w:sz="4" w:space="0"/>
                  </w:tcBorders>
                  <w:shd w:val="clear" w:color="auto" w:fill="auto"/>
                  <w:vAlign w:val="center"/>
                </w:tcPr>
                <w:p w14:paraId="5B199356">
                  <w:pPr>
                    <w:pStyle w:val="48"/>
                  </w:pPr>
                  <w:r>
                    <w:t>大凌河</w:t>
                  </w:r>
                </w:p>
              </w:tc>
              <w:tc>
                <w:tcPr>
                  <w:tcW w:w="1276" w:type="dxa"/>
                  <w:tcBorders>
                    <w:top w:val="single" w:color="auto" w:sz="4" w:space="0"/>
                    <w:bottom w:val="single" w:color="auto" w:sz="4" w:space="0"/>
                  </w:tcBorders>
                  <w:shd w:val="clear" w:color="auto" w:fill="auto"/>
                </w:tcPr>
                <w:p w14:paraId="7F362101">
                  <w:pPr>
                    <w:pStyle w:val="48"/>
                  </w:pPr>
                  <w:r>
                    <w:t>II</w:t>
                  </w:r>
                </w:p>
              </w:tc>
              <w:tc>
                <w:tcPr>
                  <w:tcW w:w="1092" w:type="dxa"/>
                  <w:tcBorders>
                    <w:top w:val="single" w:color="auto" w:sz="4" w:space="0"/>
                    <w:bottom w:val="single" w:color="auto" w:sz="4" w:space="0"/>
                  </w:tcBorders>
                  <w:shd w:val="clear" w:color="auto" w:fill="auto"/>
                </w:tcPr>
                <w:p w14:paraId="5A9D309A">
                  <w:pPr>
                    <w:pStyle w:val="48"/>
                  </w:pPr>
                  <w:r>
                    <w:t>II</w:t>
                  </w:r>
                </w:p>
              </w:tc>
            </w:tr>
            <w:tr w14:paraId="477D585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single" w:color="auto" w:sz="4" w:space="0"/>
                  </w:tcBorders>
                  <w:shd w:val="clear" w:color="auto" w:fill="auto"/>
                  <w:vAlign w:val="center"/>
                </w:tcPr>
                <w:p w14:paraId="50855F91">
                  <w:pPr>
                    <w:pStyle w:val="48"/>
                  </w:pPr>
                  <w:r>
                    <w:t>13</w:t>
                  </w:r>
                </w:p>
              </w:tc>
              <w:tc>
                <w:tcPr>
                  <w:tcW w:w="2312" w:type="dxa"/>
                  <w:tcBorders>
                    <w:top w:val="single" w:color="auto" w:sz="4" w:space="0"/>
                    <w:bottom w:val="single" w:color="auto" w:sz="4" w:space="0"/>
                  </w:tcBorders>
                  <w:shd w:val="clear" w:color="auto" w:fill="auto"/>
                  <w:vAlign w:val="center"/>
                </w:tcPr>
                <w:p w14:paraId="27B0229B">
                  <w:pPr>
                    <w:pStyle w:val="48"/>
                  </w:pPr>
                  <w:r>
                    <w:t>章吉营</w:t>
                  </w:r>
                </w:p>
              </w:tc>
              <w:tc>
                <w:tcPr>
                  <w:tcW w:w="1418" w:type="dxa"/>
                  <w:tcBorders>
                    <w:top w:val="single" w:color="auto" w:sz="4" w:space="0"/>
                    <w:bottom w:val="single" w:color="auto" w:sz="4" w:space="0"/>
                  </w:tcBorders>
                  <w:shd w:val="clear" w:color="auto" w:fill="auto"/>
                  <w:vAlign w:val="center"/>
                </w:tcPr>
                <w:p w14:paraId="2B2C617D">
                  <w:pPr>
                    <w:pStyle w:val="48"/>
                  </w:pPr>
                  <w:r>
                    <w:t>市本级</w:t>
                  </w:r>
                </w:p>
              </w:tc>
              <w:tc>
                <w:tcPr>
                  <w:tcW w:w="1842" w:type="dxa"/>
                  <w:tcBorders>
                    <w:top w:val="single" w:color="auto" w:sz="4" w:space="0"/>
                    <w:bottom w:val="single" w:color="auto" w:sz="4" w:space="0"/>
                  </w:tcBorders>
                  <w:shd w:val="clear" w:color="auto" w:fill="auto"/>
                  <w:vAlign w:val="center"/>
                </w:tcPr>
                <w:p w14:paraId="60A4AF55">
                  <w:pPr>
                    <w:pStyle w:val="48"/>
                  </w:pPr>
                  <w:r>
                    <w:t>大凌河</w:t>
                  </w:r>
                </w:p>
              </w:tc>
              <w:tc>
                <w:tcPr>
                  <w:tcW w:w="1276" w:type="dxa"/>
                  <w:tcBorders>
                    <w:top w:val="single" w:color="auto" w:sz="4" w:space="0"/>
                    <w:bottom w:val="single" w:color="auto" w:sz="4" w:space="0"/>
                  </w:tcBorders>
                  <w:shd w:val="clear" w:color="auto" w:fill="auto"/>
                  <w:vAlign w:val="center"/>
                </w:tcPr>
                <w:p w14:paraId="28E72F30">
                  <w:pPr>
                    <w:pStyle w:val="48"/>
                  </w:pPr>
                  <w:r>
                    <w:t>III</w:t>
                  </w:r>
                </w:p>
              </w:tc>
              <w:tc>
                <w:tcPr>
                  <w:tcW w:w="1092" w:type="dxa"/>
                  <w:tcBorders>
                    <w:top w:val="single" w:color="auto" w:sz="4" w:space="0"/>
                    <w:bottom w:val="single" w:color="auto" w:sz="4" w:space="0"/>
                  </w:tcBorders>
                  <w:shd w:val="clear" w:color="auto" w:fill="auto"/>
                  <w:vAlign w:val="center"/>
                </w:tcPr>
                <w:p w14:paraId="480A2013">
                  <w:pPr>
                    <w:pStyle w:val="48"/>
                  </w:pPr>
                  <w:r>
                    <w:t>II</w:t>
                  </w:r>
                </w:p>
              </w:tc>
            </w:tr>
            <w:tr w14:paraId="2E5842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dxa"/>
                  <w:tcBorders>
                    <w:top w:val="single" w:color="auto" w:sz="4" w:space="0"/>
                    <w:bottom w:val="double" w:color="auto" w:sz="4" w:space="0"/>
                  </w:tcBorders>
                  <w:shd w:val="clear" w:color="auto" w:fill="auto"/>
                  <w:vAlign w:val="center"/>
                </w:tcPr>
                <w:p w14:paraId="2EB3AAFF">
                  <w:pPr>
                    <w:pStyle w:val="48"/>
                  </w:pPr>
                  <w:r>
                    <w:t>14</w:t>
                  </w:r>
                </w:p>
              </w:tc>
              <w:tc>
                <w:tcPr>
                  <w:tcW w:w="2312" w:type="dxa"/>
                  <w:tcBorders>
                    <w:top w:val="single" w:color="auto" w:sz="4" w:space="0"/>
                    <w:bottom w:val="double" w:color="auto" w:sz="4" w:space="0"/>
                  </w:tcBorders>
                  <w:shd w:val="clear" w:color="auto" w:fill="auto"/>
                  <w:vAlign w:val="center"/>
                </w:tcPr>
                <w:p w14:paraId="3DB3CFDB">
                  <w:pPr>
                    <w:pStyle w:val="48"/>
                  </w:pPr>
                  <w:r>
                    <w:t>下凉水河</w:t>
                  </w:r>
                </w:p>
              </w:tc>
              <w:tc>
                <w:tcPr>
                  <w:tcW w:w="1418" w:type="dxa"/>
                  <w:tcBorders>
                    <w:top w:val="single" w:color="auto" w:sz="4" w:space="0"/>
                    <w:bottom w:val="double" w:color="auto" w:sz="4" w:space="0"/>
                  </w:tcBorders>
                  <w:shd w:val="clear" w:color="auto" w:fill="auto"/>
                  <w:vAlign w:val="center"/>
                </w:tcPr>
                <w:p w14:paraId="3639C885">
                  <w:pPr>
                    <w:pStyle w:val="48"/>
                  </w:pPr>
                  <w:r>
                    <w:t>北票市</w:t>
                  </w:r>
                </w:p>
              </w:tc>
              <w:tc>
                <w:tcPr>
                  <w:tcW w:w="1842" w:type="dxa"/>
                  <w:tcBorders>
                    <w:top w:val="single" w:color="auto" w:sz="4" w:space="0"/>
                    <w:bottom w:val="double" w:color="auto" w:sz="4" w:space="0"/>
                  </w:tcBorders>
                  <w:shd w:val="clear" w:color="auto" w:fill="auto"/>
                  <w:vAlign w:val="center"/>
                </w:tcPr>
                <w:p w14:paraId="61CE667D">
                  <w:pPr>
                    <w:pStyle w:val="48"/>
                  </w:pPr>
                  <w:r>
                    <w:t>凉水河</w:t>
                  </w:r>
                </w:p>
              </w:tc>
              <w:tc>
                <w:tcPr>
                  <w:tcW w:w="1276" w:type="dxa"/>
                  <w:tcBorders>
                    <w:top w:val="single" w:color="auto" w:sz="4" w:space="0"/>
                    <w:bottom w:val="double" w:color="auto" w:sz="4" w:space="0"/>
                  </w:tcBorders>
                  <w:shd w:val="clear" w:color="auto" w:fill="auto"/>
                  <w:vAlign w:val="center"/>
                </w:tcPr>
                <w:p w14:paraId="463EB0E3">
                  <w:pPr>
                    <w:pStyle w:val="48"/>
                  </w:pPr>
                  <w:r>
                    <w:t>III</w:t>
                  </w:r>
                </w:p>
              </w:tc>
              <w:tc>
                <w:tcPr>
                  <w:tcW w:w="1092" w:type="dxa"/>
                  <w:tcBorders>
                    <w:top w:val="single" w:color="auto" w:sz="4" w:space="0"/>
                    <w:bottom w:val="double" w:color="auto" w:sz="4" w:space="0"/>
                  </w:tcBorders>
                  <w:shd w:val="clear" w:color="auto" w:fill="auto"/>
                  <w:vAlign w:val="center"/>
                </w:tcPr>
                <w:p w14:paraId="6E14C862">
                  <w:pPr>
                    <w:pStyle w:val="48"/>
                  </w:pPr>
                  <w:r>
                    <w:t>II</w:t>
                  </w:r>
                </w:p>
              </w:tc>
            </w:tr>
          </w:tbl>
          <w:p w14:paraId="0AF170D5">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3、声环境</w:t>
            </w:r>
          </w:p>
          <w:p w14:paraId="6B8252F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本项目边界外周边50米范围内不存在声环境保护目标，无需进行声环境质量现状监测。</w:t>
            </w:r>
          </w:p>
          <w:p w14:paraId="01B6121F">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4、生态环境</w:t>
            </w:r>
          </w:p>
          <w:p w14:paraId="40E1E5E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本项目位于辽宁省朝阳市朝阳县瓦房子镇上三家子村（</w:t>
            </w:r>
            <w:r>
              <w:rPr>
                <w:rFonts w:eastAsiaTheme="minorEastAsia"/>
                <w:color w:val="000000"/>
              </w:rPr>
              <w:t>朝阳县瓦房子镇宏兴锰矿厂区内</w:t>
            </w:r>
            <w:r>
              <w:rPr>
                <w:rFonts w:eastAsiaTheme="minorEastAsia"/>
                <w:color w:val="000000" w:themeColor="text1"/>
                <w14:textFill>
                  <w14:solidFill>
                    <w14:schemeClr w14:val="tx1"/>
                  </w14:solidFill>
                </w14:textFill>
              </w:rPr>
              <w:t>），租用</w:t>
            </w:r>
            <w:r>
              <w:rPr>
                <w:rFonts w:eastAsiaTheme="minorEastAsia"/>
                <w:color w:val="000000"/>
              </w:rPr>
              <w:t>朝阳县瓦房子镇宏兴锰矿</w:t>
            </w:r>
            <w:r>
              <w:rPr>
                <w:rFonts w:eastAsiaTheme="minorEastAsia"/>
                <w:color w:val="000000" w:themeColor="text1"/>
                <w14:textFill>
                  <w14:solidFill>
                    <w14:schemeClr w14:val="tx1"/>
                  </w14:solidFill>
                </w14:textFill>
              </w:rPr>
              <w:t>厂区内场地，占地均位于朝阳县瓦房子镇工业园区内。根据《建设项目环境影响报告表编制技术指南（污染影响类）（试行）》仅对占地范围内进行调查。</w:t>
            </w:r>
            <w:r>
              <w:rPr>
                <w:rFonts w:eastAsiaTheme="minorEastAsia"/>
                <w:color w:val="0000FF"/>
              </w:rPr>
              <w:t>调查范围内无耕地（包括基本农田）、林地（包括公益林）分布等保护目标分布，</w:t>
            </w:r>
            <w:r>
              <w:rPr>
                <w:rFonts w:eastAsiaTheme="minorEastAsia"/>
                <w:color w:val="000000" w:themeColor="text1"/>
                <w14:textFill>
                  <w14:solidFill>
                    <w14:schemeClr w14:val="tx1"/>
                  </w14:solidFill>
                </w14:textFill>
              </w:rPr>
              <w:t>无自然保护区、风景名胜区、文化遗产保护区、世界文化自然遗产和森林公园、地质公园、湿地公园等生态环境保护目标。</w:t>
            </w:r>
          </w:p>
          <w:p w14:paraId="353CF8E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5、电磁辐射</w:t>
            </w:r>
          </w:p>
          <w:p w14:paraId="7F2592A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本项目不涉及。</w:t>
            </w:r>
          </w:p>
          <w:p w14:paraId="5F78F21A">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6、地下水、土壤环境</w:t>
            </w:r>
          </w:p>
          <w:p w14:paraId="3DECC80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排放废气污染物主要为颗粒物、二氧化硫和氮氧化物，无《有毒有害大气污染物名录》中污染物，生产工序颗粒物通过针对性措施处理后排放的颗粒物、二氧化硫及氮氧化物量较小，通过大气沉降对土壤影响较小。本项目脱硫废水中和沉淀后全部回用，无生产废水外排，生活污水依托朝阳县瓦房子镇宏兴锰矿化粪池，定期清掏。所在厂界外500米范围内不存在地下水集中式饮用水水源</w:t>
            </w:r>
            <w:r>
              <w:rPr>
                <w:rFonts w:eastAsiaTheme="minorEastAsia"/>
                <w:color w:val="0000FF"/>
              </w:rPr>
              <w:t>、分散式水井和</w:t>
            </w:r>
            <w:r>
              <w:rPr>
                <w:rFonts w:eastAsiaTheme="minorEastAsia"/>
                <w:color w:val="000000" w:themeColor="text1"/>
                <w14:textFill>
                  <w14:solidFill>
                    <w14:schemeClr w14:val="tx1"/>
                  </w14:solidFill>
                </w14:textFill>
              </w:rPr>
              <w:t>热水、矿泉水、温泉等特殊地下水资源。项目对地下水、土壤环境影响程度较小，故不开展地下水、土壤环境质量现状调查。</w:t>
            </w:r>
          </w:p>
        </w:tc>
      </w:tr>
      <w:tr w14:paraId="7034C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dxa"/>
            <w:tcBorders>
              <w:top w:val="single" w:color="auto" w:sz="4" w:space="0"/>
              <w:left w:val="single" w:color="auto" w:sz="8" w:space="0"/>
              <w:bottom w:val="single" w:color="auto" w:sz="4" w:space="0"/>
              <w:right w:val="single" w:color="auto" w:sz="4" w:space="0"/>
            </w:tcBorders>
            <w:vAlign w:val="center"/>
          </w:tcPr>
          <w:p w14:paraId="04DCF35E">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环境</w:t>
            </w:r>
          </w:p>
          <w:p w14:paraId="2B710529">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保护</w:t>
            </w:r>
          </w:p>
          <w:p w14:paraId="29DFCF96">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目标</w:t>
            </w:r>
          </w:p>
        </w:tc>
        <w:tc>
          <w:tcPr>
            <w:tcW w:w="8940" w:type="dxa"/>
            <w:tcBorders>
              <w:top w:val="single" w:color="auto" w:sz="4" w:space="0"/>
              <w:left w:val="nil"/>
              <w:bottom w:val="single" w:color="auto" w:sz="4" w:space="0"/>
              <w:right w:val="single" w:color="auto" w:sz="8" w:space="0"/>
            </w:tcBorders>
            <w:vAlign w:val="center"/>
          </w:tcPr>
          <w:p w14:paraId="0A2B713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1、大气环境</w:t>
            </w:r>
          </w:p>
          <w:p w14:paraId="3FA39FB4">
            <w:pPr>
              <w:pStyle w:val="65"/>
              <w:ind w:firstLine="480"/>
              <w:rPr>
                <w:rFonts w:eastAsiaTheme="minorEastAsia"/>
                <w:color w:val="000000" w:themeColor="text1"/>
                <w:sz w:val="21"/>
                <w:szCs w:val="21"/>
                <w14:textFill>
                  <w14:solidFill>
                    <w14:schemeClr w14:val="tx1"/>
                  </w14:solidFill>
                </w14:textFill>
              </w:rPr>
            </w:pPr>
            <w:r>
              <w:rPr>
                <w:rFonts w:eastAsiaTheme="minorEastAsia"/>
                <w:color w:val="000000" w:themeColor="text1"/>
                <w14:textFill>
                  <w14:solidFill>
                    <w14:schemeClr w14:val="tx1"/>
                  </w14:solidFill>
                </w14:textFill>
              </w:rPr>
              <w:t>建设项目所在厂界外500米范围内大气环境保护目标为西南侧的东沟和北侧的上三家子村，具体环境保护目标见下表。</w:t>
            </w:r>
          </w:p>
          <w:p w14:paraId="033289DF">
            <w:pPr>
              <w:pStyle w:val="92"/>
              <w:ind w:left="210"/>
              <w:rPr>
                <w:rFonts w:eastAsiaTheme="minorEastAsia"/>
                <w:color w:val="000000" w:themeColor="text1"/>
                <w14:textFill>
                  <w14:solidFill>
                    <w14:schemeClr w14:val="tx1"/>
                  </w14:solidFill>
                </w14:textFill>
              </w:rPr>
            </w:pPr>
            <w:r>
              <w:rPr>
                <w:rFonts w:eastAsiaTheme="minorEastAsia"/>
                <w:color w:val="000000" w:themeColor="text1"/>
                <w:spacing w:val="16"/>
                <w14:textFill>
                  <w14:solidFill>
                    <w14:schemeClr w14:val="tx1"/>
                  </w14:solidFill>
                </w14:textFill>
              </w:rPr>
              <w:t>表3-4</w:t>
            </w:r>
            <w:r>
              <w:rPr>
                <w:rFonts w:eastAsiaTheme="minorEastAsia"/>
                <w:color w:val="000000" w:themeColor="text1"/>
                <w14:textFill>
                  <w14:solidFill>
                    <w14:schemeClr w14:val="tx1"/>
                  </w14:solidFill>
                </w14:textFill>
              </w:rPr>
              <w:t>环境空气保护目标一览表</w:t>
            </w:r>
          </w:p>
          <w:tbl>
            <w:tblPr>
              <w:tblStyle w:val="35"/>
              <w:tblW w:w="4950" w:type="pct"/>
              <w:jc w:val="center"/>
              <w:tblBorders>
                <w:top w:val="double" w:color="auto" w:sz="6" w:space="0"/>
                <w:left w:val="none" w:color="auto" w:sz="0" w:space="0"/>
                <w:bottom w:val="double" w:color="auto" w:sz="6"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5"/>
              <w:gridCol w:w="1705"/>
              <w:gridCol w:w="1629"/>
              <w:gridCol w:w="1065"/>
              <w:gridCol w:w="952"/>
              <w:gridCol w:w="737"/>
              <w:gridCol w:w="810"/>
              <w:gridCol w:w="774"/>
            </w:tblGrid>
            <w:tr w14:paraId="08055C77">
              <w:tblPrEx>
                <w:tblBorders>
                  <w:top w:val="double" w:color="auto" w:sz="6" w:space="0"/>
                  <w:left w:val="none" w:color="auto" w:sz="0" w:space="0"/>
                  <w:bottom w:val="doub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5" w:type="dxa"/>
                  <w:vMerge w:val="restart"/>
                  <w:noWrap/>
                  <w:vAlign w:val="center"/>
                </w:tcPr>
                <w:p w14:paraId="44DFDC72">
                  <w:pPr>
                    <w:pStyle w:val="48"/>
                  </w:pPr>
                  <w:r>
                    <w:t>名称</w:t>
                  </w:r>
                </w:p>
              </w:tc>
              <w:tc>
                <w:tcPr>
                  <w:tcW w:w="3334" w:type="dxa"/>
                  <w:gridSpan w:val="2"/>
                  <w:noWrap/>
                  <w:vAlign w:val="center"/>
                </w:tcPr>
                <w:p w14:paraId="5B18D03D">
                  <w:pPr>
                    <w:pStyle w:val="48"/>
                  </w:pPr>
                  <w:r>
                    <w:t>经纬度坐标</w:t>
                  </w:r>
                </w:p>
              </w:tc>
              <w:tc>
                <w:tcPr>
                  <w:tcW w:w="1065" w:type="dxa"/>
                  <w:vMerge w:val="restart"/>
                  <w:noWrap/>
                  <w:vAlign w:val="center"/>
                </w:tcPr>
                <w:p w14:paraId="61F9A84C">
                  <w:pPr>
                    <w:pStyle w:val="48"/>
                  </w:pPr>
                  <w:r>
                    <w:t>户数/人数</w:t>
                  </w:r>
                </w:p>
              </w:tc>
              <w:tc>
                <w:tcPr>
                  <w:tcW w:w="952" w:type="dxa"/>
                  <w:vMerge w:val="restart"/>
                  <w:noWrap/>
                  <w:vAlign w:val="center"/>
                </w:tcPr>
                <w:p w14:paraId="41BA5A47">
                  <w:pPr>
                    <w:pStyle w:val="48"/>
                  </w:pPr>
                  <w:r>
                    <w:t>保护</w:t>
                  </w:r>
                </w:p>
                <w:p w14:paraId="25263A80">
                  <w:pPr>
                    <w:pStyle w:val="48"/>
                  </w:pPr>
                  <w:r>
                    <w:t>性质</w:t>
                  </w:r>
                </w:p>
              </w:tc>
              <w:tc>
                <w:tcPr>
                  <w:tcW w:w="737" w:type="dxa"/>
                  <w:vMerge w:val="restart"/>
                  <w:noWrap/>
                  <w:vAlign w:val="center"/>
                </w:tcPr>
                <w:p w14:paraId="469EF8C5">
                  <w:pPr>
                    <w:pStyle w:val="48"/>
                  </w:pPr>
                  <w:r>
                    <w:t>环境功能区</w:t>
                  </w:r>
                </w:p>
              </w:tc>
              <w:tc>
                <w:tcPr>
                  <w:tcW w:w="810" w:type="dxa"/>
                  <w:vMerge w:val="restart"/>
                  <w:noWrap/>
                  <w:vAlign w:val="center"/>
                </w:tcPr>
                <w:p w14:paraId="5BBA8737">
                  <w:pPr>
                    <w:pStyle w:val="48"/>
                  </w:pPr>
                  <w:r>
                    <w:t>相对厂址方向</w:t>
                  </w:r>
                </w:p>
              </w:tc>
              <w:tc>
                <w:tcPr>
                  <w:tcW w:w="774" w:type="dxa"/>
                  <w:vMerge w:val="restart"/>
                  <w:noWrap/>
                  <w:vAlign w:val="center"/>
                </w:tcPr>
                <w:p w14:paraId="1DE2272B">
                  <w:pPr>
                    <w:pStyle w:val="48"/>
                  </w:pPr>
                  <w:r>
                    <w:t>相对厂界距离/m</w:t>
                  </w:r>
                </w:p>
              </w:tc>
            </w:tr>
            <w:tr w14:paraId="02C69E4C">
              <w:tblPrEx>
                <w:tblBorders>
                  <w:top w:val="double" w:color="auto" w:sz="6" w:space="0"/>
                  <w:left w:val="none" w:color="auto" w:sz="0" w:space="0"/>
                  <w:bottom w:val="doub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5" w:type="dxa"/>
                  <w:vMerge w:val="continue"/>
                  <w:noWrap/>
                  <w:vAlign w:val="center"/>
                </w:tcPr>
                <w:p w14:paraId="50B8EB6A">
                  <w:pPr>
                    <w:widowControl/>
                    <w:jc w:val="left"/>
                    <w:rPr>
                      <w:rFonts w:eastAsiaTheme="minorEastAsia"/>
                      <w:color w:val="000000" w:themeColor="text1"/>
                      <w:szCs w:val="21"/>
                      <w14:textFill>
                        <w14:solidFill>
                          <w14:schemeClr w14:val="tx1"/>
                        </w14:solidFill>
                      </w14:textFill>
                    </w:rPr>
                  </w:pPr>
                </w:p>
              </w:tc>
              <w:tc>
                <w:tcPr>
                  <w:tcW w:w="1705" w:type="dxa"/>
                  <w:noWrap/>
                  <w:vAlign w:val="center"/>
                </w:tcPr>
                <w:p w14:paraId="612C2576">
                  <w:pPr>
                    <w:pStyle w:val="48"/>
                  </w:pPr>
                  <w:r>
                    <w:t>经度</w:t>
                  </w:r>
                </w:p>
                <w:p w14:paraId="75A6058B">
                  <w:pPr>
                    <w:pStyle w:val="48"/>
                  </w:pPr>
                  <w:r>
                    <w:t>（东经）</w:t>
                  </w:r>
                </w:p>
              </w:tc>
              <w:tc>
                <w:tcPr>
                  <w:tcW w:w="1629" w:type="dxa"/>
                  <w:noWrap/>
                  <w:vAlign w:val="center"/>
                </w:tcPr>
                <w:p w14:paraId="7D2F91FD">
                  <w:pPr>
                    <w:pStyle w:val="48"/>
                  </w:pPr>
                  <w:r>
                    <w:t>纬度</w:t>
                  </w:r>
                </w:p>
                <w:p w14:paraId="250097B7">
                  <w:pPr>
                    <w:pStyle w:val="48"/>
                  </w:pPr>
                  <w:r>
                    <w:t>（北纬）</w:t>
                  </w:r>
                </w:p>
              </w:tc>
              <w:tc>
                <w:tcPr>
                  <w:tcW w:w="1065" w:type="dxa"/>
                  <w:vMerge w:val="continue"/>
                  <w:noWrap/>
                  <w:vAlign w:val="center"/>
                </w:tcPr>
                <w:p w14:paraId="22C90440">
                  <w:pPr>
                    <w:widowControl/>
                    <w:jc w:val="left"/>
                    <w:rPr>
                      <w:rFonts w:eastAsiaTheme="minorEastAsia"/>
                      <w:color w:val="000000" w:themeColor="text1"/>
                      <w:szCs w:val="21"/>
                      <w14:textFill>
                        <w14:solidFill>
                          <w14:schemeClr w14:val="tx1"/>
                        </w14:solidFill>
                      </w14:textFill>
                    </w:rPr>
                  </w:pPr>
                </w:p>
              </w:tc>
              <w:tc>
                <w:tcPr>
                  <w:tcW w:w="952" w:type="dxa"/>
                  <w:vMerge w:val="continue"/>
                  <w:noWrap/>
                  <w:vAlign w:val="center"/>
                </w:tcPr>
                <w:p w14:paraId="14B4CAA4">
                  <w:pPr>
                    <w:widowControl/>
                    <w:jc w:val="left"/>
                    <w:rPr>
                      <w:rFonts w:eastAsiaTheme="minorEastAsia"/>
                      <w:color w:val="000000" w:themeColor="text1"/>
                      <w:szCs w:val="21"/>
                      <w14:textFill>
                        <w14:solidFill>
                          <w14:schemeClr w14:val="tx1"/>
                        </w14:solidFill>
                      </w14:textFill>
                    </w:rPr>
                  </w:pPr>
                </w:p>
              </w:tc>
              <w:tc>
                <w:tcPr>
                  <w:tcW w:w="737" w:type="dxa"/>
                  <w:vMerge w:val="continue"/>
                  <w:noWrap/>
                  <w:vAlign w:val="center"/>
                </w:tcPr>
                <w:p w14:paraId="76CEC2AD">
                  <w:pPr>
                    <w:widowControl/>
                    <w:jc w:val="left"/>
                    <w:rPr>
                      <w:rFonts w:eastAsiaTheme="minorEastAsia"/>
                      <w:color w:val="000000" w:themeColor="text1"/>
                      <w:szCs w:val="21"/>
                      <w14:textFill>
                        <w14:solidFill>
                          <w14:schemeClr w14:val="tx1"/>
                        </w14:solidFill>
                      </w14:textFill>
                    </w:rPr>
                  </w:pPr>
                </w:p>
              </w:tc>
              <w:tc>
                <w:tcPr>
                  <w:tcW w:w="810" w:type="dxa"/>
                  <w:vMerge w:val="continue"/>
                  <w:noWrap/>
                  <w:vAlign w:val="center"/>
                </w:tcPr>
                <w:p w14:paraId="750F6387">
                  <w:pPr>
                    <w:widowControl/>
                    <w:jc w:val="left"/>
                    <w:rPr>
                      <w:rFonts w:eastAsiaTheme="minorEastAsia"/>
                      <w:color w:val="000000" w:themeColor="text1"/>
                      <w:szCs w:val="21"/>
                      <w14:textFill>
                        <w14:solidFill>
                          <w14:schemeClr w14:val="tx1"/>
                        </w14:solidFill>
                      </w14:textFill>
                    </w:rPr>
                  </w:pPr>
                </w:p>
              </w:tc>
              <w:tc>
                <w:tcPr>
                  <w:tcW w:w="774" w:type="dxa"/>
                  <w:vMerge w:val="continue"/>
                  <w:noWrap/>
                  <w:vAlign w:val="center"/>
                </w:tcPr>
                <w:p w14:paraId="6A6A1578">
                  <w:pPr>
                    <w:widowControl/>
                    <w:jc w:val="left"/>
                    <w:rPr>
                      <w:rFonts w:eastAsiaTheme="minorEastAsia"/>
                      <w:color w:val="000000" w:themeColor="text1"/>
                      <w:szCs w:val="21"/>
                      <w14:textFill>
                        <w14:solidFill>
                          <w14:schemeClr w14:val="tx1"/>
                        </w14:solidFill>
                      </w14:textFill>
                    </w:rPr>
                  </w:pPr>
                </w:p>
              </w:tc>
            </w:tr>
            <w:tr w14:paraId="2250BD6B">
              <w:tblPrEx>
                <w:tblBorders>
                  <w:top w:val="double" w:color="auto" w:sz="6" w:space="0"/>
                  <w:left w:val="none" w:color="auto" w:sz="0" w:space="0"/>
                  <w:bottom w:val="doub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5" w:type="dxa"/>
                  <w:noWrap/>
                  <w:vAlign w:val="center"/>
                </w:tcPr>
                <w:p w14:paraId="18B38D33">
                  <w:pPr>
                    <w:pStyle w:val="48"/>
                  </w:pPr>
                  <w:r>
                    <w:t>东沟</w:t>
                  </w:r>
                </w:p>
              </w:tc>
              <w:tc>
                <w:tcPr>
                  <w:tcW w:w="1705" w:type="dxa"/>
                  <w:noWrap/>
                  <w:vAlign w:val="center"/>
                </w:tcPr>
                <w:p w14:paraId="3B3C8ADD">
                  <w:pPr>
                    <w:pStyle w:val="48"/>
                  </w:pPr>
                  <w:r>
                    <w:t>120°8′37.754"</w:t>
                  </w:r>
                </w:p>
              </w:tc>
              <w:tc>
                <w:tcPr>
                  <w:tcW w:w="1629" w:type="dxa"/>
                  <w:noWrap/>
                  <w:vAlign w:val="center"/>
                </w:tcPr>
                <w:p w14:paraId="1CA806A5">
                  <w:pPr>
                    <w:pStyle w:val="48"/>
                  </w:pPr>
                  <w:r>
                    <w:t>41°5′12.769"</w:t>
                  </w:r>
                </w:p>
              </w:tc>
              <w:tc>
                <w:tcPr>
                  <w:tcW w:w="1065" w:type="dxa"/>
                  <w:noWrap/>
                  <w:vAlign w:val="center"/>
                </w:tcPr>
                <w:p w14:paraId="7513B0EB">
                  <w:pPr>
                    <w:pStyle w:val="48"/>
                  </w:pPr>
                  <w:r>
                    <w:t>116/349</w:t>
                  </w:r>
                </w:p>
              </w:tc>
              <w:tc>
                <w:tcPr>
                  <w:tcW w:w="952" w:type="dxa"/>
                  <w:noWrap/>
                  <w:vAlign w:val="center"/>
                </w:tcPr>
                <w:p w14:paraId="0F77246E">
                  <w:pPr>
                    <w:pStyle w:val="48"/>
                  </w:pPr>
                  <w:r>
                    <w:t>居民</w:t>
                  </w:r>
                </w:p>
              </w:tc>
              <w:tc>
                <w:tcPr>
                  <w:tcW w:w="737" w:type="dxa"/>
                  <w:noWrap/>
                  <w:vAlign w:val="center"/>
                </w:tcPr>
                <w:p w14:paraId="68BD4994">
                  <w:pPr>
                    <w:pStyle w:val="48"/>
                  </w:pPr>
                  <w:r>
                    <w:t>2类区</w:t>
                  </w:r>
                </w:p>
              </w:tc>
              <w:tc>
                <w:tcPr>
                  <w:tcW w:w="810" w:type="dxa"/>
                  <w:noWrap/>
                  <w:vAlign w:val="center"/>
                </w:tcPr>
                <w:p w14:paraId="40BCA6C1">
                  <w:pPr>
                    <w:pStyle w:val="48"/>
                  </w:pPr>
                  <w:r>
                    <w:t>西南</w:t>
                  </w:r>
                </w:p>
              </w:tc>
              <w:tc>
                <w:tcPr>
                  <w:tcW w:w="774" w:type="dxa"/>
                  <w:noWrap/>
                  <w:vAlign w:val="center"/>
                </w:tcPr>
                <w:p w14:paraId="20561AD9">
                  <w:pPr>
                    <w:pStyle w:val="48"/>
                    <w:rPr>
                      <w:color w:val="0000FF"/>
                    </w:rPr>
                  </w:pPr>
                  <w:r>
                    <w:rPr>
                      <w:color w:val="0000FF"/>
                    </w:rPr>
                    <w:t>404</w:t>
                  </w:r>
                </w:p>
              </w:tc>
            </w:tr>
            <w:tr w14:paraId="3036127B">
              <w:tblPrEx>
                <w:tblBorders>
                  <w:top w:val="double" w:color="auto" w:sz="6" w:space="0"/>
                  <w:left w:val="none" w:color="auto" w:sz="0" w:space="0"/>
                  <w:bottom w:val="doub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5" w:type="dxa"/>
                  <w:noWrap/>
                  <w:vAlign w:val="center"/>
                </w:tcPr>
                <w:p w14:paraId="0E7F6965">
                  <w:pPr>
                    <w:pStyle w:val="48"/>
                  </w:pPr>
                  <w:r>
                    <w:t>上三家子村</w:t>
                  </w:r>
                </w:p>
              </w:tc>
              <w:tc>
                <w:tcPr>
                  <w:tcW w:w="1705" w:type="dxa"/>
                  <w:noWrap/>
                  <w:vAlign w:val="center"/>
                </w:tcPr>
                <w:p w14:paraId="48FB1205">
                  <w:pPr>
                    <w:pStyle w:val="48"/>
                  </w:pPr>
                  <w:r>
                    <w:t>120°8′55.54"</w:t>
                  </w:r>
                </w:p>
              </w:tc>
              <w:tc>
                <w:tcPr>
                  <w:tcW w:w="1629" w:type="dxa"/>
                  <w:noWrap/>
                  <w:vAlign w:val="center"/>
                </w:tcPr>
                <w:p w14:paraId="62EF2AD9">
                  <w:pPr>
                    <w:pStyle w:val="48"/>
                  </w:pPr>
                  <w:r>
                    <w:t>41°5′36.271"</w:t>
                  </w:r>
                </w:p>
              </w:tc>
              <w:tc>
                <w:tcPr>
                  <w:tcW w:w="1065" w:type="dxa"/>
                  <w:noWrap/>
                  <w:vAlign w:val="center"/>
                </w:tcPr>
                <w:p w14:paraId="0C4BA94B">
                  <w:pPr>
                    <w:pStyle w:val="48"/>
                  </w:pPr>
                  <w:r>
                    <w:t>186/557</w:t>
                  </w:r>
                </w:p>
              </w:tc>
              <w:tc>
                <w:tcPr>
                  <w:tcW w:w="952" w:type="dxa"/>
                  <w:noWrap/>
                  <w:vAlign w:val="center"/>
                </w:tcPr>
                <w:p w14:paraId="4DAA4949">
                  <w:pPr>
                    <w:pStyle w:val="48"/>
                  </w:pPr>
                  <w:r>
                    <w:t>居民</w:t>
                  </w:r>
                </w:p>
              </w:tc>
              <w:tc>
                <w:tcPr>
                  <w:tcW w:w="737" w:type="dxa"/>
                  <w:noWrap/>
                  <w:vAlign w:val="center"/>
                </w:tcPr>
                <w:p w14:paraId="18CA415A">
                  <w:pPr>
                    <w:pStyle w:val="48"/>
                  </w:pPr>
                  <w:r>
                    <w:t>2类区</w:t>
                  </w:r>
                </w:p>
              </w:tc>
              <w:tc>
                <w:tcPr>
                  <w:tcW w:w="810" w:type="dxa"/>
                  <w:noWrap/>
                  <w:vAlign w:val="center"/>
                </w:tcPr>
                <w:p w14:paraId="2239C648">
                  <w:pPr>
                    <w:pStyle w:val="48"/>
                  </w:pPr>
                  <w:r>
                    <w:t>北</w:t>
                  </w:r>
                </w:p>
              </w:tc>
              <w:tc>
                <w:tcPr>
                  <w:tcW w:w="774" w:type="dxa"/>
                  <w:noWrap/>
                  <w:vAlign w:val="center"/>
                </w:tcPr>
                <w:p w14:paraId="1D786E8E">
                  <w:pPr>
                    <w:pStyle w:val="48"/>
                    <w:rPr>
                      <w:color w:val="0000FF"/>
                    </w:rPr>
                  </w:pPr>
                  <w:r>
                    <w:rPr>
                      <w:color w:val="0000FF"/>
                    </w:rPr>
                    <w:t>382</w:t>
                  </w:r>
                </w:p>
              </w:tc>
            </w:tr>
          </w:tbl>
          <w:p w14:paraId="256FCACF">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2、地表水环境</w:t>
            </w:r>
          </w:p>
          <w:p w14:paraId="4CC41DAC">
            <w:pPr>
              <w:pStyle w:val="65"/>
              <w:ind w:firstLine="504"/>
              <w:rPr>
                <w:rFonts w:eastAsiaTheme="minorEastAsia"/>
                <w:color w:val="000000" w:themeColor="text1"/>
                <w:spacing w:val="12"/>
                <w14:textFill>
                  <w14:solidFill>
                    <w14:schemeClr w14:val="tx1"/>
                  </w14:solidFill>
                </w14:textFill>
              </w:rPr>
            </w:pPr>
            <w:r>
              <w:rPr>
                <w:rFonts w:eastAsiaTheme="minorEastAsia"/>
                <w:color w:val="000000" w:themeColor="text1"/>
                <w:spacing w:val="12"/>
                <w14:textFill>
                  <w14:solidFill>
                    <w14:schemeClr w14:val="tx1"/>
                  </w14:solidFill>
                </w14:textFill>
              </w:rPr>
              <w:t>项目东侧</w:t>
            </w:r>
            <w:r>
              <w:rPr>
                <w:rFonts w:eastAsiaTheme="minorEastAsia"/>
                <w:color w:val="0000FF"/>
                <w:spacing w:val="12"/>
              </w:rPr>
              <w:t>41m</w:t>
            </w:r>
            <w:r>
              <w:rPr>
                <w:rFonts w:eastAsiaTheme="minorEastAsia"/>
                <w:color w:val="000000" w:themeColor="text1"/>
                <w:spacing w:val="12"/>
                <w14:textFill>
                  <w14:solidFill>
                    <w14:schemeClr w14:val="tx1"/>
                  </w14:solidFill>
                </w14:textFill>
              </w:rPr>
              <w:t>为小凌河，但本项目脱硫废水进入废水沉淀池中和沉淀后全部回用，无生产废水排放，生活废水依托朝阳县瓦房子镇宏兴锰矿化粪池，定期清掏不外排。本项目无废水外排，不对地表水进行环境影响评价。</w:t>
            </w:r>
          </w:p>
          <w:p w14:paraId="1AB32B5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3、声环境</w:t>
            </w:r>
          </w:p>
          <w:p w14:paraId="6692C35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本项目边界外周边50米范围内不存在声环境保护目标。</w:t>
            </w:r>
          </w:p>
          <w:p w14:paraId="275C711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4、地下水环境</w:t>
            </w:r>
          </w:p>
          <w:p w14:paraId="206B57B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位于辽宁省朝阳市朝阳县瓦房子镇上三家子村（朝阳县瓦房子镇宏兴锰矿厂区内），占地均位于朝阳县瓦房子镇工业园区内。所在厂界外500米范围内不存在地下水集中式饮用水水源和热水、矿泉水、温泉等特殊地下水资源。</w:t>
            </w:r>
          </w:p>
          <w:p w14:paraId="5110276C">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5、生态环境</w:t>
            </w:r>
          </w:p>
          <w:p w14:paraId="73C5395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本项目位于辽宁省朝阳市朝阳县瓦房子镇上三家子村（朝阳县瓦房子镇宏兴锰矿厂区内），租用朝阳县瓦房子镇宏兴锰矿厂区内场地，占地均位于朝阳县瓦房子镇工业园区内。</w:t>
            </w:r>
            <w:r>
              <w:rPr>
                <w:rFonts w:eastAsiaTheme="minorEastAsia"/>
                <w:color w:val="0000FF"/>
              </w:rPr>
              <w:t>且用地范围内无耕地（包括基本农田）、林地（包括公益林）分布等保护目标分布，</w:t>
            </w:r>
            <w:r>
              <w:rPr>
                <w:rFonts w:eastAsiaTheme="minorEastAsia"/>
                <w:color w:val="000000" w:themeColor="text1"/>
                <w14:textFill>
                  <w14:solidFill>
                    <w14:schemeClr w14:val="tx1"/>
                  </w14:solidFill>
                </w14:textFill>
              </w:rPr>
              <w:t>无自然保护区、风景名胜区、文化遗产保护区、世界文化自然遗产和森林公园、地质公园、湿地公园等生态环境保护目标。</w:t>
            </w:r>
          </w:p>
        </w:tc>
      </w:tr>
      <w:tr w14:paraId="56A99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6" w:type="dxa"/>
            <w:tcBorders>
              <w:top w:val="single" w:color="auto" w:sz="4" w:space="0"/>
              <w:left w:val="single" w:color="auto" w:sz="8" w:space="0"/>
              <w:bottom w:val="single" w:color="auto" w:sz="4" w:space="0"/>
              <w:right w:val="single" w:color="auto" w:sz="4" w:space="0"/>
            </w:tcBorders>
            <w:tcMar>
              <w:top w:w="0" w:type="dxa"/>
              <w:left w:w="28" w:type="dxa"/>
              <w:bottom w:w="0" w:type="dxa"/>
              <w:right w:w="28" w:type="dxa"/>
            </w:tcMar>
            <w:vAlign w:val="center"/>
          </w:tcPr>
          <w:p w14:paraId="338A6B24">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污染</w:t>
            </w:r>
          </w:p>
          <w:p w14:paraId="603D063D">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物排</w:t>
            </w:r>
          </w:p>
          <w:p w14:paraId="20253AEA">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放控</w:t>
            </w:r>
          </w:p>
          <w:p w14:paraId="4F51D3EF">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指标</w:t>
            </w:r>
          </w:p>
          <w:p w14:paraId="113C691E">
            <w:pPr>
              <w:pStyle w:val="129"/>
              <w:ind w:firstLine="48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准</w:t>
            </w:r>
          </w:p>
        </w:tc>
        <w:tc>
          <w:tcPr>
            <w:tcW w:w="8940" w:type="dxa"/>
            <w:tcBorders>
              <w:top w:val="single" w:color="auto" w:sz="4" w:space="0"/>
              <w:left w:val="nil"/>
              <w:bottom w:val="single" w:color="auto" w:sz="4" w:space="0"/>
              <w:right w:val="single" w:color="auto" w:sz="8" w:space="0"/>
            </w:tcBorders>
            <w:vAlign w:val="center"/>
          </w:tcPr>
          <w:p w14:paraId="55996FF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1、废气</w:t>
            </w:r>
          </w:p>
          <w:p w14:paraId="7A68A52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（1）施工期</w:t>
            </w:r>
          </w:p>
          <w:p w14:paraId="1B93B36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施工期扬尘执行《辽宁省施工及堆料场地扬尘排放标准》（DB21/2642-2016）中排放限值要求。</w:t>
            </w:r>
          </w:p>
          <w:p w14:paraId="0C55B310">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表3-5施工期扬尘排放标准</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4100"/>
              <w:gridCol w:w="2749"/>
            </w:tblGrid>
            <w:tr w14:paraId="74315E6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cantSplit/>
                <w:trHeight w:val="407" w:hRule="atLeast"/>
                <w:jc w:val="center"/>
              </w:trPr>
              <w:tc>
                <w:tcPr>
                  <w:tcW w:w="1788" w:type="dxa"/>
                  <w:vMerge w:val="restart"/>
                  <w:tcBorders>
                    <w:top w:val="double" w:color="auto" w:sz="2" w:space="0"/>
                    <w:left w:val="nil"/>
                    <w:bottom w:val="single" w:color="auto" w:sz="4" w:space="0"/>
                    <w:right w:val="single" w:color="auto" w:sz="4" w:space="0"/>
                  </w:tcBorders>
                  <w:vAlign w:val="center"/>
                </w:tcPr>
                <w:p w14:paraId="4EC314F9">
                  <w:pPr>
                    <w:pStyle w:val="48"/>
                    <w:rPr>
                      <w:kern w:val="0"/>
                    </w:rPr>
                  </w:pPr>
                  <w:r>
                    <w:t>污染物名称</w:t>
                  </w:r>
                </w:p>
              </w:tc>
              <w:tc>
                <w:tcPr>
                  <w:tcW w:w="4100" w:type="dxa"/>
                  <w:vMerge w:val="restart"/>
                  <w:tcBorders>
                    <w:top w:val="double" w:color="auto" w:sz="2" w:space="0"/>
                    <w:left w:val="nil"/>
                    <w:bottom w:val="single" w:color="auto" w:sz="4" w:space="0"/>
                    <w:right w:val="single" w:color="auto" w:sz="4" w:space="0"/>
                  </w:tcBorders>
                  <w:vAlign w:val="center"/>
                </w:tcPr>
                <w:p w14:paraId="2D087C16">
                  <w:pPr>
                    <w:pStyle w:val="48"/>
                  </w:pPr>
                  <w:r>
                    <w:t>浓度限值（连续5min平均浓度）mg/m</w:t>
                  </w:r>
                  <w:r>
                    <w:rPr>
                      <w:vertAlign w:val="superscript"/>
                    </w:rPr>
                    <w:t>3</w:t>
                  </w:r>
                </w:p>
              </w:tc>
              <w:tc>
                <w:tcPr>
                  <w:tcW w:w="2749" w:type="dxa"/>
                  <w:vMerge w:val="restart"/>
                  <w:tcBorders>
                    <w:top w:val="double" w:color="auto" w:sz="2" w:space="0"/>
                    <w:left w:val="nil"/>
                    <w:bottom w:val="single" w:color="auto" w:sz="4" w:space="0"/>
                    <w:right w:val="nil"/>
                  </w:tcBorders>
                  <w:vAlign w:val="center"/>
                </w:tcPr>
                <w:p w14:paraId="398D137C">
                  <w:pPr>
                    <w:pStyle w:val="48"/>
                  </w:pPr>
                  <w:r>
                    <w:t>区域</w:t>
                  </w:r>
                </w:p>
              </w:tc>
            </w:tr>
            <w:tr w14:paraId="3FA9AA1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cantSplit/>
                <w:trHeight w:val="312" w:hRule="atLeast"/>
                <w:jc w:val="center"/>
              </w:trPr>
              <w:tc>
                <w:tcPr>
                  <w:tcW w:w="1788" w:type="dxa"/>
                  <w:vMerge w:val="continue"/>
                  <w:tcBorders>
                    <w:top w:val="double" w:color="auto" w:sz="2" w:space="0"/>
                    <w:left w:val="nil"/>
                    <w:bottom w:val="single" w:color="auto" w:sz="4" w:space="0"/>
                    <w:right w:val="single" w:color="auto" w:sz="4" w:space="0"/>
                  </w:tcBorders>
                  <w:vAlign w:val="center"/>
                </w:tcPr>
                <w:p w14:paraId="25006865">
                  <w:pPr>
                    <w:widowControl/>
                    <w:jc w:val="left"/>
                    <w:rPr>
                      <w:rFonts w:eastAsiaTheme="minorEastAsia"/>
                      <w:color w:val="000000" w:themeColor="text1"/>
                      <w:kern w:val="0"/>
                      <w:szCs w:val="21"/>
                      <w14:textFill>
                        <w14:solidFill>
                          <w14:schemeClr w14:val="tx1"/>
                        </w14:solidFill>
                      </w14:textFill>
                    </w:rPr>
                  </w:pPr>
                </w:p>
              </w:tc>
              <w:tc>
                <w:tcPr>
                  <w:tcW w:w="4100" w:type="dxa"/>
                  <w:vMerge w:val="continue"/>
                  <w:tcBorders>
                    <w:top w:val="double" w:color="auto" w:sz="2" w:space="0"/>
                    <w:left w:val="nil"/>
                    <w:bottom w:val="single" w:color="auto" w:sz="4" w:space="0"/>
                    <w:right w:val="single" w:color="auto" w:sz="4" w:space="0"/>
                  </w:tcBorders>
                  <w:vAlign w:val="center"/>
                </w:tcPr>
                <w:p w14:paraId="1BB1BAA4">
                  <w:pPr>
                    <w:widowControl/>
                    <w:jc w:val="left"/>
                    <w:rPr>
                      <w:rFonts w:eastAsiaTheme="minorEastAsia"/>
                      <w:color w:val="000000" w:themeColor="text1"/>
                      <w:szCs w:val="21"/>
                      <w14:textFill>
                        <w14:solidFill>
                          <w14:schemeClr w14:val="tx1"/>
                        </w14:solidFill>
                      </w14:textFill>
                    </w:rPr>
                  </w:pPr>
                </w:p>
              </w:tc>
              <w:tc>
                <w:tcPr>
                  <w:tcW w:w="2749" w:type="dxa"/>
                  <w:vMerge w:val="continue"/>
                  <w:tcBorders>
                    <w:top w:val="double" w:color="auto" w:sz="2" w:space="0"/>
                    <w:left w:val="nil"/>
                    <w:bottom w:val="single" w:color="auto" w:sz="4" w:space="0"/>
                    <w:right w:val="nil"/>
                  </w:tcBorders>
                  <w:vAlign w:val="center"/>
                </w:tcPr>
                <w:p w14:paraId="0C51F827">
                  <w:pPr>
                    <w:widowControl/>
                    <w:jc w:val="left"/>
                    <w:rPr>
                      <w:rFonts w:eastAsiaTheme="minorEastAsia"/>
                      <w:color w:val="000000" w:themeColor="text1"/>
                      <w:szCs w:val="21"/>
                      <w14:textFill>
                        <w14:solidFill>
                          <w14:schemeClr w14:val="tx1"/>
                        </w14:solidFill>
                      </w14:textFill>
                    </w:rPr>
                  </w:pPr>
                </w:p>
              </w:tc>
            </w:tr>
            <w:tr w14:paraId="53D5851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788" w:type="dxa"/>
                  <w:tcBorders>
                    <w:top w:val="single" w:color="auto" w:sz="4" w:space="0"/>
                    <w:left w:val="nil"/>
                    <w:bottom w:val="double" w:color="auto" w:sz="2" w:space="0"/>
                    <w:right w:val="single" w:color="auto" w:sz="4" w:space="0"/>
                  </w:tcBorders>
                  <w:vAlign w:val="center"/>
                </w:tcPr>
                <w:p w14:paraId="6AEEF77D">
                  <w:pPr>
                    <w:pStyle w:val="48"/>
                    <w:rPr>
                      <w:kern w:val="0"/>
                    </w:rPr>
                  </w:pPr>
                  <w:r>
                    <w:t>颗粒物（TSP）</w:t>
                  </w:r>
                </w:p>
              </w:tc>
              <w:tc>
                <w:tcPr>
                  <w:tcW w:w="4100" w:type="dxa"/>
                  <w:tcBorders>
                    <w:top w:val="single" w:color="auto" w:sz="4" w:space="0"/>
                    <w:left w:val="nil"/>
                    <w:bottom w:val="double" w:color="auto" w:sz="2" w:space="0"/>
                    <w:right w:val="single" w:color="auto" w:sz="4" w:space="0"/>
                  </w:tcBorders>
                  <w:vAlign w:val="center"/>
                </w:tcPr>
                <w:p w14:paraId="6C996D05">
                  <w:pPr>
                    <w:pStyle w:val="48"/>
                  </w:pPr>
                  <w:r>
                    <w:t>1.0</w:t>
                  </w:r>
                </w:p>
              </w:tc>
              <w:tc>
                <w:tcPr>
                  <w:tcW w:w="2749" w:type="dxa"/>
                  <w:tcBorders>
                    <w:top w:val="single" w:color="auto" w:sz="4" w:space="0"/>
                    <w:left w:val="nil"/>
                    <w:bottom w:val="double" w:color="auto" w:sz="2" w:space="0"/>
                    <w:right w:val="nil"/>
                  </w:tcBorders>
                  <w:vAlign w:val="center"/>
                </w:tcPr>
                <w:p w14:paraId="54F84756">
                  <w:pPr>
                    <w:pStyle w:val="48"/>
                  </w:pPr>
                  <w:r>
                    <w:t>郊区及农村地区</w:t>
                  </w:r>
                </w:p>
              </w:tc>
            </w:tr>
          </w:tbl>
          <w:p w14:paraId="415F647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（2）运营期</w:t>
            </w:r>
          </w:p>
          <w:p w14:paraId="039E5ABD">
            <w:pPr>
              <w:pStyle w:val="65"/>
              <w:ind w:firstLine="480"/>
              <w:rPr>
                <w:rFonts w:eastAsiaTheme="minorEastAsia"/>
                <w:color w:val="0000FF"/>
              </w:rPr>
            </w:pPr>
            <w:r>
              <w:rPr>
                <w:rFonts w:eastAsiaTheme="minorEastAsia"/>
                <w:color w:val="0000FF"/>
              </w:rPr>
              <w:t>本项目使用高炉煤气进行烘干，烘干产生的颗粒物通过排气筒DA001排放，执行《工业炉窑大气污染物排放标准》</w:t>
            </w:r>
            <w:r>
              <w:rPr>
                <w:rFonts w:hint="eastAsia" w:eastAsiaTheme="minorEastAsia"/>
                <w:color w:val="0000FF"/>
              </w:rPr>
              <w:t>（</w:t>
            </w:r>
            <w:r>
              <w:rPr>
                <w:rFonts w:eastAsiaTheme="minorEastAsia"/>
                <w:color w:val="0000FF"/>
              </w:rPr>
              <w:t>GB 9078-1996</w:t>
            </w:r>
            <w:r>
              <w:rPr>
                <w:rFonts w:hint="eastAsia" w:eastAsiaTheme="minorEastAsia"/>
                <w:color w:val="0000FF"/>
              </w:rPr>
              <w:t>）</w:t>
            </w:r>
            <w:r>
              <w:rPr>
                <w:rFonts w:eastAsiaTheme="minorEastAsia"/>
                <w:color w:val="0000FF"/>
              </w:rPr>
              <w:t>表2中干燥炉窑二级标准（颗粒物≤200mg/m</w:t>
            </w:r>
            <w:r>
              <w:rPr>
                <w:rFonts w:eastAsiaTheme="minorEastAsia"/>
                <w:color w:val="0000FF"/>
                <w:vertAlign w:val="superscript"/>
              </w:rPr>
              <w:t>3</w:t>
            </w:r>
            <w:r>
              <w:rPr>
                <w:rFonts w:eastAsiaTheme="minorEastAsia"/>
                <w:color w:val="0000FF"/>
              </w:rPr>
              <w:t>）；烘干产生的二氧化硫及氮氧化物执行《大气污染物综合排放标准》（GB16297-1996）表2中15m高排气筒二级标准（SO</w:t>
            </w:r>
            <w:r>
              <w:rPr>
                <w:rFonts w:eastAsiaTheme="minorEastAsia"/>
                <w:color w:val="0000FF"/>
                <w:vertAlign w:val="subscript"/>
              </w:rPr>
              <w:t>2</w:t>
            </w:r>
            <w:r>
              <w:rPr>
                <w:rFonts w:eastAsiaTheme="minorEastAsia"/>
                <w:color w:val="0000FF"/>
              </w:rPr>
              <w:t>≤550mg/m</w:t>
            </w:r>
            <w:r>
              <w:rPr>
                <w:rFonts w:eastAsiaTheme="minorEastAsia"/>
                <w:color w:val="0000FF"/>
                <w:vertAlign w:val="superscript"/>
              </w:rPr>
              <w:t>3</w:t>
            </w:r>
            <w:r>
              <w:rPr>
                <w:rFonts w:eastAsiaTheme="minorEastAsia"/>
                <w:color w:val="0000FF"/>
              </w:rPr>
              <w:t>、NOx≤240mg/m</w:t>
            </w:r>
            <w:r>
              <w:rPr>
                <w:rFonts w:eastAsiaTheme="minorEastAsia"/>
                <w:color w:val="0000FF"/>
                <w:vertAlign w:val="superscript"/>
              </w:rPr>
              <w:t>3</w:t>
            </w:r>
            <w:r>
              <w:rPr>
                <w:rFonts w:eastAsiaTheme="minorEastAsia"/>
                <w:color w:val="0000FF"/>
              </w:rPr>
              <w:t>）。</w:t>
            </w:r>
          </w:p>
          <w:p w14:paraId="6D0BC3E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投料、混料、造球、烘干卸料共用一个排气筒DA002，执行《大气污染物综合排放标准》（GB 16297-1996）中120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浓度限值及3.5kg/h的最高允许排放速率。</w:t>
            </w:r>
          </w:p>
          <w:p w14:paraId="7767341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无组织排放监控点位置（有车间厂房）执行《工业炉窑大气污染物排放标准》（GB 9078-1996）中5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的限值。</w:t>
            </w:r>
          </w:p>
          <w:p w14:paraId="4D45E84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厂界无组织排放颗粒物执行</w:t>
            </w:r>
            <w:r>
              <w:rPr>
                <w:rFonts w:eastAsiaTheme="minorEastAsia"/>
                <w:color w:val="000000" w:themeColor="text1"/>
                <w:kern w:val="0"/>
                <w14:textFill>
                  <w14:solidFill>
                    <w14:schemeClr w14:val="tx1"/>
                  </w14:solidFill>
                </w14:textFill>
              </w:rPr>
              <w:t>《大气污染物综合排放标准》（GB 16297-1996）</w:t>
            </w:r>
            <w:r>
              <w:rPr>
                <w:rFonts w:eastAsiaTheme="minorEastAsia"/>
                <w:color w:val="000000" w:themeColor="text1"/>
                <w14:textFill>
                  <w14:solidFill>
                    <w14:schemeClr w14:val="tx1"/>
                  </w14:solidFill>
                </w14:textFill>
              </w:rPr>
              <w:t>中现有和新建企业大气污染物无组织排放监控浓度1.0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限值。</w:t>
            </w:r>
          </w:p>
          <w:p w14:paraId="0DEC3C11">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表3-6废气污染物排放标准</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134"/>
              <w:gridCol w:w="1276"/>
              <w:gridCol w:w="1275"/>
              <w:gridCol w:w="1560"/>
              <w:gridCol w:w="1977"/>
            </w:tblGrid>
            <w:tr w14:paraId="6C367CA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33" w:hRule="atLeast"/>
                <w:jc w:val="center"/>
              </w:trPr>
              <w:tc>
                <w:tcPr>
                  <w:tcW w:w="1415" w:type="dxa"/>
                  <w:tcBorders>
                    <w:top w:val="double" w:color="auto" w:sz="2" w:space="0"/>
                    <w:left w:val="nil"/>
                    <w:bottom w:val="single" w:color="auto" w:sz="4" w:space="0"/>
                    <w:right w:val="single" w:color="auto" w:sz="4" w:space="0"/>
                  </w:tcBorders>
                  <w:vAlign w:val="center"/>
                </w:tcPr>
                <w:p w14:paraId="3AC916F7">
                  <w:pPr>
                    <w:pStyle w:val="48"/>
                  </w:pPr>
                  <w:r>
                    <w:t>环节</w:t>
                  </w:r>
                </w:p>
              </w:tc>
              <w:tc>
                <w:tcPr>
                  <w:tcW w:w="1134" w:type="dxa"/>
                  <w:tcBorders>
                    <w:top w:val="double" w:color="auto" w:sz="2" w:space="0"/>
                    <w:left w:val="single" w:color="auto" w:sz="4" w:space="0"/>
                    <w:bottom w:val="single" w:color="auto" w:sz="4" w:space="0"/>
                    <w:right w:val="single" w:color="auto" w:sz="4" w:space="0"/>
                  </w:tcBorders>
                  <w:vAlign w:val="center"/>
                </w:tcPr>
                <w:p w14:paraId="4F82E3D0">
                  <w:pPr>
                    <w:pStyle w:val="48"/>
                  </w:pPr>
                  <w:r>
                    <w:t>污染物名称</w:t>
                  </w:r>
                </w:p>
              </w:tc>
              <w:tc>
                <w:tcPr>
                  <w:tcW w:w="1276" w:type="dxa"/>
                  <w:tcBorders>
                    <w:top w:val="double" w:color="auto" w:sz="2" w:space="0"/>
                    <w:left w:val="single" w:color="auto" w:sz="4" w:space="0"/>
                    <w:bottom w:val="single" w:color="auto" w:sz="4" w:space="0"/>
                    <w:right w:val="single" w:color="auto" w:sz="4" w:space="0"/>
                  </w:tcBorders>
                  <w:vAlign w:val="center"/>
                </w:tcPr>
                <w:p w14:paraId="6B6A737C">
                  <w:pPr>
                    <w:pStyle w:val="48"/>
                  </w:pPr>
                  <w:r>
                    <w:t>最高允许排放浓度mg/m</w:t>
                  </w:r>
                  <w:r>
                    <w:rPr>
                      <w:vertAlign w:val="superscript"/>
                    </w:rPr>
                    <w:t>3</w:t>
                  </w:r>
                </w:p>
              </w:tc>
              <w:tc>
                <w:tcPr>
                  <w:tcW w:w="1275" w:type="dxa"/>
                  <w:tcBorders>
                    <w:top w:val="double" w:color="auto" w:sz="2" w:space="0"/>
                    <w:left w:val="single" w:color="auto" w:sz="4" w:space="0"/>
                    <w:bottom w:val="single" w:color="auto" w:sz="4" w:space="0"/>
                    <w:right w:val="single" w:color="auto" w:sz="4" w:space="0"/>
                  </w:tcBorders>
                  <w:vAlign w:val="center"/>
                </w:tcPr>
                <w:p w14:paraId="6DDD3C7A">
                  <w:pPr>
                    <w:pStyle w:val="48"/>
                  </w:pPr>
                  <w:r>
                    <w:t>最高允许排放速率（kg/h）</w:t>
                  </w:r>
                </w:p>
              </w:tc>
              <w:tc>
                <w:tcPr>
                  <w:tcW w:w="1560" w:type="dxa"/>
                  <w:tcBorders>
                    <w:top w:val="double" w:color="auto" w:sz="2" w:space="0"/>
                    <w:left w:val="single" w:color="auto" w:sz="4" w:space="0"/>
                    <w:bottom w:val="single" w:color="auto" w:sz="4" w:space="0"/>
                    <w:right w:val="single" w:color="auto" w:sz="4" w:space="0"/>
                  </w:tcBorders>
                  <w:vAlign w:val="center"/>
                </w:tcPr>
                <w:p w14:paraId="5B660BD4">
                  <w:pPr>
                    <w:pStyle w:val="48"/>
                  </w:pPr>
                  <w:r>
                    <w:t>无组织排放监控限值浓度限值mg/m</w:t>
                  </w:r>
                  <w:r>
                    <w:rPr>
                      <w:vertAlign w:val="superscript"/>
                    </w:rPr>
                    <w:t>3</w:t>
                  </w:r>
                </w:p>
              </w:tc>
              <w:tc>
                <w:tcPr>
                  <w:tcW w:w="1977" w:type="dxa"/>
                  <w:tcBorders>
                    <w:top w:val="double" w:color="auto" w:sz="2" w:space="0"/>
                    <w:left w:val="single" w:color="auto" w:sz="4" w:space="0"/>
                    <w:bottom w:val="single" w:color="auto" w:sz="4" w:space="0"/>
                    <w:right w:val="nil"/>
                  </w:tcBorders>
                  <w:vAlign w:val="center"/>
                </w:tcPr>
                <w:p w14:paraId="74E0B96D">
                  <w:pPr>
                    <w:pStyle w:val="48"/>
                  </w:pPr>
                  <w:r>
                    <w:t>标准来源</w:t>
                  </w:r>
                </w:p>
              </w:tc>
            </w:tr>
            <w:tr w14:paraId="73E78EA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tcBorders>
                    <w:top w:val="single" w:color="auto" w:sz="4" w:space="0"/>
                    <w:left w:val="nil"/>
                    <w:bottom w:val="single" w:color="auto" w:sz="4" w:space="0"/>
                    <w:right w:val="single" w:color="auto" w:sz="4" w:space="0"/>
                  </w:tcBorders>
                  <w:vAlign w:val="center"/>
                </w:tcPr>
                <w:p w14:paraId="015864BE">
                  <w:pPr>
                    <w:pStyle w:val="48"/>
                  </w:pPr>
                  <w:r>
                    <w:t>投料、混料、造球、烘干卸料</w:t>
                  </w:r>
                </w:p>
              </w:tc>
              <w:tc>
                <w:tcPr>
                  <w:tcW w:w="1134" w:type="dxa"/>
                  <w:tcBorders>
                    <w:top w:val="single" w:color="auto" w:sz="4" w:space="0"/>
                    <w:left w:val="single" w:color="auto" w:sz="4" w:space="0"/>
                    <w:bottom w:val="single" w:color="auto" w:sz="4" w:space="0"/>
                    <w:right w:val="single" w:color="auto" w:sz="4" w:space="0"/>
                  </w:tcBorders>
                  <w:vAlign w:val="center"/>
                </w:tcPr>
                <w:p w14:paraId="371D7350">
                  <w:pPr>
                    <w:pStyle w:val="48"/>
                  </w:pPr>
                  <w:r>
                    <w:t>颗粒物</w:t>
                  </w:r>
                </w:p>
              </w:tc>
              <w:tc>
                <w:tcPr>
                  <w:tcW w:w="1276" w:type="dxa"/>
                  <w:tcBorders>
                    <w:top w:val="single" w:color="auto" w:sz="4" w:space="0"/>
                    <w:left w:val="single" w:color="auto" w:sz="4" w:space="0"/>
                    <w:bottom w:val="single" w:color="auto" w:sz="4" w:space="0"/>
                    <w:right w:val="single" w:color="auto" w:sz="4" w:space="0"/>
                  </w:tcBorders>
                  <w:vAlign w:val="center"/>
                </w:tcPr>
                <w:p w14:paraId="7FDD96EE">
                  <w:pPr>
                    <w:pStyle w:val="48"/>
                  </w:pPr>
                  <w:r>
                    <w:t>120</w:t>
                  </w:r>
                </w:p>
              </w:tc>
              <w:tc>
                <w:tcPr>
                  <w:tcW w:w="1275" w:type="dxa"/>
                  <w:tcBorders>
                    <w:top w:val="single" w:color="auto" w:sz="4" w:space="0"/>
                    <w:left w:val="single" w:color="auto" w:sz="4" w:space="0"/>
                    <w:bottom w:val="single" w:color="auto" w:sz="4" w:space="0"/>
                    <w:right w:val="single" w:color="auto" w:sz="4" w:space="0"/>
                  </w:tcBorders>
                  <w:vAlign w:val="center"/>
                </w:tcPr>
                <w:p w14:paraId="72F43014">
                  <w:pPr>
                    <w:pStyle w:val="48"/>
                  </w:pPr>
                  <w:r>
                    <w:t>3.5</w:t>
                  </w:r>
                </w:p>
              </w:tc>
              <w:tc>
                <w:tcPr>
                  <w:tcW w:w="1560" w:type="dxa"/>
                  <w:tcBorders>
                    <w:top w:val="single" w:color="auto" w:sz="4" w:space="0"/>
                    <w:left w:val="single" w:color="auto" w:sz="4" w:space="0"/>
                    <w:bottom w:val="single" w:color="auto" w:sz="4" w:space="0"/>
                    <w:right w:val="single" w:color="auto" w:sz="4" w:space="0"/>
                  </w:tcBorders>
                  <w:vAlign w:val="center"/>
                </w:tcPr>
                <w:p w14:paraId="1CE566C7">
                  <w:pPr>
                    <w:pStyle w:val="48"/>
                  </w:pPr>
                  <w:r>
                    <w:t>-</w:t>
                  </w:r>
                </w:p>
              </w:tc>
              <w:tc>
                <w:tcPr>
                  <w:tcW w:w="1977" w:type="dxa"/>
                  <w:tcBorders>
                    <w:top w:val="single" w:color="auto" w:sz="4" w:space="0"/>
                    <w:left w:val="single" w:color="auto" w:sz="4" w:space="0"/>
                    <w:bottom w:val="single" w:color="auto" w:sz="4" w:space="0"/>
                    <w:right w:val="nil"/>
                  </w:tcBorders>
                  <w:vAlign w:val="center"/>
                </w:tcPr>
                <w:p w14:paraId="27A4AF58">
                  <w:pPr>
                    <w:pStyle w:val="48"/>
                  </w:pPr>
                  <w:r>
                    <w:t>《大气污染物综合排放标准》（GB 16297-1996）表2中15m高排气筒排放标准限值</w:t>
                  </w:r>
                </w:p>
              </w:tc>
            </w:tr>
            <w:tr w14:paraId="41A783E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vMerge w:val="restart"/>
                  <w:tcBorders>
                    <w:top w:val="single" w:color="auto" w:sz="4" w:space="0"/>
                    <w:left w:val="nil"/>
                    <w:bottom w:val="single" w:color="auto" w:sz="4" w:space="0"/>
                    <w:right w:val="single" w:color="auto" w:sz="4" w:space="0"/>
                  </w:tcBorders>
                  <w:vAlign w:val="center"/>
                </w:tcPr>
                <w:p w14:paraId="15583B51">
                  <w:pPr>
                    <w:pStyle w:val="48"/>
                  </w:pPr>
                  <w:r>
                    <w:t>烘干</w:t>
                  </w:r>
                </w:p>
              </w:tc>
              <w:tc>
                <w:tcPr>
                  <w:tcW w:w="1134" w:type="dxa"/>
                  <w:tcBorders>
                    <w:top w:val="single" w:color="auto" w:sz="4" w:space="0"/>
                    <w:left w:val="single" w:color="auto" w:sz="4" w:space="0"/>
                    <w:bottom w:val="single" w:color="auto" w:sz="4" w:space="0"/>
                    <w:right w:val="single" w:color="auto" w:sz="4" w:space="0"/>
                  </w:tcBorders>
                  <w:vAlign w:val="center"/>
                </w:tcPr>
                <w:p w14:paraId="74E85123">
                  <w:pPr>
                    <w:pStyle w:val="48"/>
                  </w:pPr>
                  <w:r>
                    <w:t>颗粒物</w:t>
                  </w:r>
                </w:p>
              </w:tc>
              <w:tc>
                <w:tcPr>
                  <w:tcW w:w="1276" w:type="dxa"/>
                  <w:tcBorders>
                    <w:top w:val="single" w:color="auto" w:sz="4" w:space="0"/>
                    <w:left w:val="single" w:color="auto" w:sz="4" w:space="0"/>
                    <w:bottom w:val="single" w:color="auto" w:sz="4" w:space="0"/>
                    <w:right w:val="single" w:color="auto" w:sz="4" w:space="0"/>
                  </w:tcBorders>
                  <w:vAlign w:val="center"/>
                </w:tcPr>
                <w:p w14:paraId="0F7DAD32">
                  <w:pPr>
                    <w:pStyle w:val="48"/>
                  </w:pPr>
                  <w:r>
                    <w:rPr>
                      <w:color w:val="0000FF"/>
                    </w:rPr>
                    <w:t>200</w:t>
                  </w:r>
                </w:p>
              </w:tc>
              <w:tc>
                <w:tcPr>
                  <w:tcW w:w="1275" w:type="dxa"/>
                  <w:tcBorders>
                    <w:top w:val="single" w:color="auto" w:sz="4" w:space="0"/>
                    <w:left w:val="single" w:color="auto" w:sz="4" w:space="0"/>
                    <w:bottom w:val="single" w:color="auto" w:sz="4" w:space="0"/>
                    <w:right w:val="single" w:color="auto" w:sz="4" w:space="0"/>
                  </w:tcBorders>
                  <w:vAlign w:val="center"/>
                </w:tcPr>
                <w:p w14:paraId="636A05D8">
                  <w:pPr>
                    <w:pStyle w:val="48"/>
                  </w:pPr>
                  <w:r>
                    <w:t>-</w:t>
                  </w:r>
                </w:p>
              </w:tc>
              <w:tc>
                <w:tcPr>
                  <w:tcW w:w="1560" w:type="dxa"/>
                  <w:tcBorders>
                    <w:top w:val="single" w:color="auto" w:sz="4" w:space="0"/>
                    <w:left w:val="single" w:color="auto" w:sz="4" w:space="0"/>
                    <w:bottom w:val="single" w:color="auto" w:sz="4" w:space="0"/>
                    <w:right w:val="single" w:color="auto" w:sz="4" w:space="0"/>
                  </w:tcBorders>
                  <w:vAlign w:val="center"/>
                </w:tcPr>
                <w:p w14:paraId="756F0F86">
                  <w:pPr>
                    <w:pStyle w:val="48"/>
                  </w:pPr>
                  <w:r>
                    <w:t>-</w:t>
                  </w:r>
                </w:p>
              </w:tc>
              <w:tc>
                <w:tcPr>
                  <w:tcW w:w="1977" w:type="dxa"/>
                  <w:tcBorders>
                    <w:top w:val="single" w:color="auto" w:sz="4" w:space="0"/>
                    <w:left w:val="single" w:color="auto" w:sz="4" w:space="0"/>
                    <w:bottom w:val="single" w:color="auto" w:sz="4" w:space="0"/>
                    <w:right w:val="nil"/>
                  </w:tcBorders>
                  <w:vAlign w:val="center"/>
                </w:tcPr>
                <w:p w14:paraId="40B382A3">
                  <w:pPr>
                    <w:pStyle w:val="48"/>
                    <w:rPr>
                      <w:color w:val="0000FF"/>
                    </w:rPr>
                  </w:pPr>
                  <w:r>
                    <w:rPr>
                      <w:color w:val="0000FF"/>
                    </w:rPr>
                    <w:t>《工业炉窑大气污染物排放标准》</w:t>
                  </w:r>
                  <w:r>
                    <w:rPr>
                      <w:rFonts w:hint="eastAsia"/>
                      <w:color w:val="0000FF"/>
                    </w:rPr>
                    <w:t>（</w:t>
                  </w:r>
                  <w:r>
                    <w:rPr>
                      <w:color w:val="0000FF"/>
                    </w:rPr>
                    <w:t>GB 9078-1996</w:t>
                  </w:r>
                  <w:r>
                    <w:rPr>
                      <w:rFonts w:hint="eastAsia"/>
                      <w:color w:val="0000FF"/>
                    </w:rPr>
                    <w:t>）</w:t>
                  </w:r>
                  <w:r>
                    <w:rPr>
                      <w:color w:val="0000FF"/>
                    </w:rPr>
                    <w:t>表2中</w:t>
                  </w:r>
                  <w:r>
                    <w:rPr>
                      <w:rFonts w:hint="eastAsia"/>
                      <w:color w:val="0000FF"/>
                    </w:rPr>
                    <w:t>“</w:t>
                  </w:r>
                  <w:r>
                    <w:rPr>
                      <w:color w:val="0000FF"/>
                    </w:rPr>
                    <w:t>干燥炉、窑</w:t>
                  </w:r>
                  <w:r>
                    <w:rPr>
                      <w:rFonts w:hint="eastAsia"/>
                      <w:color w:val="0000FF"/>
                    </w:rPr>
                    <w:t>”</w:t>
                  </w:r>
                  <w:r>
                    <w:rPr>
                      <w:color w:val="0000FF"/>
                    </w:rPr>
                    <w:t>二级标准</w:t>
                  </w:r>
                </w:p>
              </w:tc>
            </w:tr>
            <w:tr w14:paraId="4BB3CAE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vMerge w:val="continue"/>
                  <w:tcBorders>
                    <w:top w:val="single" w:color="auto" w:sz="4" w:space="0"/>
                    <w:left w:val="nil"/>
                    <w:bottom w:val="single" w:color="auto" w:sz="4" w:space="0"/>
                    <w:right w:val="single" w:color="auto" w:sz="4" w:space="0"/>
                  </w:tcBorders>
                  <w:vAlign w:val="center"/>
                </w:tcPr>
                <w:p w14:paraId="527C02D8">
                  <w:pPr>
                    <w:widowControl/>
                    <w:jc w:val="left"/>
                    <w:rPr>
                      <w:rFonts w:eastAsiaTheme="minorEastAsia"/>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A85EEB5">
                  <w:pPr>
                    <w:pStyle w:val="48"/>
                  </w:pPr>
                  <w:r>
                    <w:t>二氧化硫</w:t>
                  </w:r>
                </w:p>
              </w:tc>
              <w:tc>
                <w:tcPr>
                  <w:tcW w:w="1276" w:type="dxa"/>
                  <w:tcBorders>
                    <w:top w:val="single" w:color="auto" w:sz="4" w:space="0"/>
                    <w:left w:val="single" w:color="auto" w:sz="4" w:space="0"/>
                    <w:bottom w:val="single" w:color="auto" w:sz="4" w:space="0"/>
                    <w:right w:val="single" w:color="auto" w:sz="4" w:space="0"/>
                  </w:tcBorders>
                  <w:vAlign w:val="center"/>
                </w:tcPr>
                <w:p w14:paraId="7F239893">
                  <w:pPr>
                    <w:pStyle w:val="48"/>
                    <w:rPr>
                      <w:color w:val="0000FF"/>
                    </w:rPr>
                  </w:pPr>
                  <w:r>
                    <w:rPr>
                      <w:color w:val="0000FF"/>
                    </w:rPr>
                    <w:t>550</w:t>
                  </w:r>
                </w:p>
              </w:tc>
              <w:tc>
                <w:tcPr>
                  <w:tcW w:w="1275" w:type="dxa"/>
                  <w:tcBorders>
                    <w:top w:val="single" w:color="auto" w:sz="4" w:space="0"/>
                    <w:left w:val="single" w:color="auto" w:sz="4" w:space="0"/>
                    <w:bottom w:val="single" w:color="auto" w:sz="4" w:space="0"/>
                    <w:right w:val="single" w:color="auto" w:sz="4" w:space="0"/>
                  </w:tcBorders>
                  <w:vAlign w:val="center"/>
                </w:tcPr>
                <w:p w14:paraId="13A1454D">
                  <w:pPr>
                    <w:pStyle w:val="48"/>
                    <w:rPr>
                      <w:color w:val="0000FF"/>
                    </w:rPr>
                  </w:pPr>
                  <w:r>
                    <w:rPr>
                      <w:color w:val="0000FF"/>
                    </w:rPr>
                    <w:t>2.6</w:t>
                  </w:r>
                </w:p>
              </w:tc>
              <w:tc>
                <w:tcPr>
                  <w:tcW w:w="1560" w:type="dxa"/>
                  <w:tcBorders>
                    <w:top w:val="single" w:color="auto" w:sz="4" w:space="0"/>
                    <w:left w:val="single" w:color="auto" w:sz="4" w:space="0"/>
                    <w:bottom w:val="single" w:color="auto" w:sz="4" w:space="0"/>
                    <w:right w:val="single" w:color="auto" w:sz="4" w:space="0"/>
                  </w:tcBorders>
                  <w:vAlign w:val="center"/>
                </w:tcPr>
                <w:p w14:paraId="2CEC653A">
                  <w:pPr>
                    <w:pStyle w:val="48"/>
                  </w:pPr>
                  <w:r>
                    <w:t>-</w:t>
                  </w:r>
                </w:p>
              </w:tc>
              <w:tc>
                <w:tcPr>
                  <w:tcW w:w="1977" w:type="dxa"/>
                  <w:vMerge w:val="restart"/>
                  <w:tcBorders>
                    <w:top w:val="single" w:color="auto" w:sz="4" w:space="0"/>
                    <w:left w:val="single" w:color="auto" w:sz="4" w:space="0"/>
                    <w:right w:val="nil"/>
                  </w:tcBorders>
                  <w:vAlign w:val="center"/>
                </w:tcPr>
                <w:p w14:paraId="03F43C23">
                  <w:pPr>
                    <w:widowControl/>
                    <w:jc w:val="left"/>
                    <w:rPr>
                      <w:rFonts w:eastAsiaTheme="minorEastAsia"/>
                      <w:color w:val="0000FF"/>
                      <w:szCs w:val="21"/>
                    </w:rPr>
                  </w:pPr>
                  <w:r>
                    <w:rPr>
                      <w:rFonts w:eastAsiaTheme="minorEastAsia"/>
                      <w:color w:val="0000FF"/>
                    </w:rPr>
                    <w:t>《大气污染物综合排放标准》（GB16297-1996）表2中15m高排气筒二级标准</w:t>
                  </w:r>
                </w:p>
              </w:tc>
            </w:tr>
            <w:tr w14:paraId="3F8F253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vMerge w:val="continue"/>
                  <w:tcBorders>
                    <w:top w:val="single" w:color="auto" w:sz="4" w:space="0"/>
                    <w:left w:val="nil"/>
                    <w:bottom w:val="single" w:color="auto" w:sz="4" w:space="0"/>
                    <w:right w:val="single" w:color="auto" w:sz="4" w:space="0"/>
                  </w:tcBorders>
                  <w:vAlign w:val="center"/>
                </w:tcPr>
                <w:p w14:paraId="4B7CD97D">
                  <w:pPr>
                    <w:widowControl/>
                    <w:jc w:val="left"/>
                    <w:rPr>
                      <w:rFonts w:eastAsiaTheme="minorEastAsia"/>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FB05FC3">
                  <w:pPr>
                    <w:pStyle w:val="48"/>
                  </w:pPr>
                  <w:r>
                    <w:t>氮氧化物</w:t>
                  </w:r>
                </w:p>
              </w:tc>
              <w:tc>
                <w:tcPr>
                  <w:tcW w:w="1276" w:type="dxa"/>
                  <w:tcBorders>
                    <w:top w:val="single" w:color="auto" w:sz="4" w:space="0"/>
                    <w:left w:val="single" w:color="auto" w:sz="4" w:space="0"/>
                    <w:bottom w:val="single" w:color="auto" w:sz="4" w:space="0"/>
                    <w:right w:val="single" w:color="auto" w:sz="4" w:space="0"/>
                  </w:tcBorders>
                  <w:vAlign w:val="center"/>
                </w:tcPr>
                <w:p w14:paraId="7C567D06">
                  <w:pPr>
                    <w:pStyle w:val="48"/>
                    <w:rPr>
                      <w:color w:val="0000FF"/>
                    </w:rPr>
                  </w:pPr>
                  <w:r>
                    <w:rPr>
                      <w:color w:val="0000FF"/>
                    </w:rPr>
                    <w:t>240</w:t>
                  </w:r>
                </w:p>
              </w:tc>
              <w:tc>
                <w:tcPr>
                  <w:tcW w:w="1275" w:type="dxa"/>
                  <w:tcBorders>
                    <w:top w:val="single" w:color="auto" w:sz="4" w:space="0"/>
                    <w:left w:val="single" w:color="auto" w:sz="4" w:space="0"/>
                    <w:bottom w:val="single" w:color="auto" w:sz="4" w:space="0"/>
                    <w:right w:val="single" w:color="auto" w:sz="4" w:space="0"/>
                  </w:tcBorders>
                  <w:vAlign w:val="center"/>
                </w:tcPr>
                <w:p w14:paraId="1D07506F">
                  <w:pPr>
                    <w:pStyle w:val="48"/>
                    <w:rPr>
                      <w:color w:val="0000FF"/>
                    </w:rPr>
                  </w:pPr>
                  <w:r>
                    <w:rPr>
                      <w:color w:val="0000FF"/>
                    </w:rPr>
                    <w:t>0.77</w:t>
                  </w:r>
                </w:p>
              </w:tc>
              <w:tc>
                <w:tcPr>
                  <w:tcW w:w="1560" w:type="dxa"/>
                  <w:tcBorders>
                    <w:top w:val="single" w:color="auto" w:sz="4" w:space="0"/>
                    <w:left w:val="single" w:color="auto" w:sz="4" w:space="0"/>
                    <w:bottom w:val="single" w:color="auto" w:sz="4" w:space="0"/>
                    <w:right w:val="single" w:color="auto" w:sz="4" w:space="0"/>
                  </w:tcBorders>
                  <w:vAlign w:val="center"/>
                </w:tcPr>
                <w:p w14:paraId="3CA5728A">
                  <w:pPr>
                    <w:pStyle w:val="48"/>
                  </w:pPr>
                  <w:r>
                    <w:t>-</w:t>
                  </w:r>
                </w:p>
              </w:tc>
              <w:tc>
                <w:tcPr>
                  <w:tcW w:w="1977" w:type="dxa"/>
                  <w:vMerge w:val="continue"/>
                  <w:tcBorders>
                    <w:left w:val="single" w:color="auto" w:sz="4" w:space="0"/>
                    <w:bottom w:val="single" w:color="auto" w:sz="4" w:space="0"/>
                    <w:right w:val="nil"/>
                  </w:tcBorders>
                  <w:vAlign w:val="center"/>
                </w:tcPr>
                <w:p w14:paraId="3227E529">
                  <w:pPr>
                    <w:widowControl/>
                    <w:jc w:val="left"/>
                    <w:rPr>
                      <w:rFonts w:eastAsiaTheme="minorEastAsia"/>
                      <w:color w:val="000000" w:themeColor="text1"/>
                      <w:szCs w:val="21"/>
                      <w14:textFill>
                        <w14:solidFill>
                          <w14:schemeClr w14:val="tx1"/>
                        </w14:solidFill>
                      </w14:textFill>
                    </w:rPr>
                  </w:pPr>
                </w:p>
              </w:tc>
            </w:tr>
            <w:tr w14:paraId="37C4B22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tcBorders>
                    <w:top w:val="single" w:color="auto" w:sz="4" w:space="0"/>
                    <w:left w:val="nil"/>
                    <w:bottom w:val="single" w:color="auto" w:sz="4" w:space="0"/>
                    <w:right w:val="single" w:color="auto" w:sz="4" w:space="0"/>
                  </w:tcBorders>
                  <w:vAlign w:val="center"/>
                </w:tcPr>
                <w:p w14:paraId="7194A312">
                  <w:pPr>
                    <w:pStyle w:val="48"/>
                  </w:pPr>
                  <w:r>
                    <w:t>无组织排放监控点位置（烘干车间西北侧入口外侧）</w:t>
                  </w:r>
                </w:p>
              </w:tc>
              <w:tc>
                <w:tcPr>
                  <w:tcW w:w="1134" w:type="dxa"/>
                  <w:tcBorders>
                    <w:top w:val="single" w:color="auto" w:sz="4" w:space="0"/>
                    <w:left w:val="single" w:color="auto" w:sz="4" w:space="0"/>
                    <w:bottom w:val="single" w:color="auto" w:sz="4" w:space="0"/>
                    <w:right w:val="single" w:color="auto" w:sz="4" w:space="0"/>
                  </w:tcBorders>
                  <w:vAlign w:val="center"/>
                </w:tcPr>
                <w:p w14:paraId="6E40EACA">
                  <w:pPr>
                    <w:pStyle w:val="48"/>
                  </w:pPr>
                  <w:r>
                    <w:t>颗粒物</w:t>
                  </w:r>
                </w:p>
              </w:tc>
              <w:tc>
                <w:tcPr>
                  <w:tcW w:w="1276" w:type="dxa"/>
                  <w:tcBorders>
                    <w:top w:val="single" w:color="auto" w:sz="4" w:space="0"/>
                    <w:left w:val="single" w:color="auto" w:sz="4" w:space="0"/>
                    <w:bottom w:val="single" w:color="auto" w:sz="4" w:space="0"/>
                    <w:right w:val="single" w:color="auto" w:sz="4" w:space="0"/>
                  </w:tcBorders>
                  <w:vAlign w:val="center"/>
                </w:tcPr>
                <w:p w14:paraId="4B7C2DF6">
                  <w:pPr>
                    <w:pStyle w:val="48"/>
                  </w:pPr>
                  <w:r>
                    <w:t>-</w:t>
                  </w:r>
                </w:p>
              </w:tc>
              <w:tc>
                <w:tcPr>
                  <w:tcW w:w="1275" w:type="dxa"/>
                  <w:tcBorders>
                    <w:top w:val="single" w:color="auto" w:sz="4" w:space="0"/>
                    <w:left w:val="single" w:color="auto" w:sz="4" w:space="0"/>
                    <w:bottom w:val="single" w:color="auto" w:sz="4" w:space="0"/>
                    <w:right w:val="single" w:color="auto" w:sz="4" w:space="0"/>
                  </w:tcBorders>
                  <w:vAlign w:val="center"/>
                </w:tcPr>
                <w:p w14:paraId="75FC0377">
                  <w:pPr>
                    <w:pStyle w:val="48"/>
                  </w:pPr>
                  <w:r>
                    <w:t>-</w:t>
                  </w:r>
                </w:p>
              </w:tc>
              <w:tc>
                <w:tcPr>
                  <w:tcW w:w="1560" w:type="dxa"/>
                  <w:tcBorders>
                    <w:top w:val="single" w:color="auto" w:sz="4" w:space="0"/>
                    <w:left w:val="single" w:color="auto" w:sz="4" w:space="0"/>
                    <w:bottom w:val="single" w:color="auto" w:sz="4" w:space="0"/>
                    <w:right w:val="single" w:color="auto" w:sz="4" w:space="0"/>
                  </w:tcBorders>
                  <w:vAlign w:val="center"/>
                </w:tcPr>
                <w:p w14:paraId="601DE8E9">
                  <w:pPr>
                    <w:pStyle w:val="48"/>
                  </w:pPr>
                  <w:r>
                    <w:t>5</w:t>
                  </w:r>
                </w:p>
              </w:tc>
              <w:tc>
                <w:tcPr>
                  <w:tcW w:w="1977" w:type="dxa"/>
                  <w:tcBorders>
                    <w:top w:val="single" w:color="auto" w:sz="4" w:space="0"/>
                    <w:left w:val="single" w:color="auto" w:sz="4" w:space="0"/>
                    <w:bottom w:val="single" w:color="auto" w:sz="4" w:space="0"/>
                    <w:right w:val="nil"/>
                  </w:tcBorders>
                  <w:vAlign w:val="center"/>
                </w:tcPr>
                <w:p w14:paraId="767D1612">
                  <w:pPr>
                    <w:pStyle w:val="48"/>
                  </w:pPr>
                  <w:r>
                    <w:t>《工业炉窑大气污染物排放标准》（GB 9078-1996）</w:t>
                  </w:r>
                </w:p>
              </w:tc>
            </w:tr>
            <w:tr w14:paraId="74F0A4D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415" w:type="dxa"/>
                  <w:tcBorders>
                    <w:top w:val="single" w:color="auto" w:sz="4" w:space="0"/>
                    <w:left w:val="nil"/>
                    <w:bottom w:val="double" w:color="auto" w:sz="2" w:space="0"/>
                    <w:right w:val="single" w:color="auto" w:sz="4" w:space="0"/>
                  </w:tcBorders>
                  <w:vAlign w:val="center"/>
                </w:tcPr>
                <w:p w14:paraId="0FF3D864">
                  <w:pPr>
                    <w:pStyle w:val="48"/>
                  </w:pPr>
                  <w:r>
                    <w:t>企业边界大气污染物</w:t>
                  </w:r>
                </w:p>
              </w:tc>
              <w:tc>
                <w:tcPr>
                  <w:tcW w:w="1134" w:type="dxa"/>
                  <w:tcBorders>
                    <w:top w:val="single" w:color="auto" w:sz="4" w:space="0"/>
                    <w:left w:val="single" w:color="auto" w:sz="4" w:space="0"/>
                    <w:bottom w:val="double" w:color="auto" w:sz="2" w:space="0"/>
                    <w:right w:val="single" w:color="auto" w:sz="4" w:space="0"/>
                  </w:tcBorders>
                  <w:vAlign w:val="center"/>
                </w:tcPr>
                <w:p w14:paraId="18C133B8">
                  <w:pPr>
                    <w:pStyle w:val="48"/>
                  </w:pPr>
                  <w:r>
                    <w:t>颗粒物</w:t>
                  </w:r>
                </w:p>
              </w:tc>
              <w:tc>
                <w:tcPr>
                  <w:tcW w:w="1276" w:type="dxa"/>
                  <w:tcBorders>
                    <w:top w:val="single" w:color="auto" w:sz="4" w:space="0"/>
                    <w:left w:val="single" w:color="auto" w:sz="4" w:space="0"/>
                    <w:bottom w:val="double" w:color="auto" w:sz="2" w:space="0"/>
                    <w:right w:val="single" w:color="auto" w:sz="4" w:space="0"/>
                  </w:tcBorders>
                  <w:vAlign w:val="center"/>
                </w:tcPr>
                <w:p w14:paraId="46E9E6F2">
                  <w:pPr>
                    <w:pStyle w:val="48"/>
                  </w:pPr>
                  <w:r>
                    <w:t>-</w:t>
                  </w:r>
                </w:p>
              </w:tc>
              <w:tc>
                <w:tcPr>
                  <w:tcW w:w="1275" w:type="dxa"/>
                  <w:tcBorders>
                    <w:top w:val="single" w:color="auto" w:sz="4" w:space="0"/>
                    <w:left w:val="single" w:color="auto" w:sz="4" w:space="0"/>
                    <w:bottom w:val="double" w:color="auto" w:sz="2" w:space="0"/>
                    <w:right w:val="single" w:color="auto" w:sz="4" w:space="0"/>
                  </w:tcBorders>
                  <w:vAlign w:val="center"/>
                </w:tcPr>
                <w:p w14:paraId="164DA83C">
                  <w:pPr>
                    <w:pStyle w:val="48"/>
                  </w:pPr>
                  <w:r>
                    <w:t>-</w:t>
                  </w:r>
                </w:p>
              </w:tc>
              <w:tc>
                <w:tcPr>
                  <w:tcW w:w="1560" w:type="dxa"/>
                  <w:tcBorders>
                    <w:top w:val="single" w:color="auto" w:sz="4" w:space="0"/>
                    <w:left w:val="single" w:color="auto" w:sz="4" w:space="0"/>
                    <w:bottom w:val="double" w:color="auto" w:sz="2" w:space="0"/>
                    <w:right w:val="single" w:color="auto" w:sz="4" w:space="0"/>
                  </w:tcBorders>
                  <w:vAlign w:val="center"/>
                </w:tcPr>
                <w:p w14:paraId="3C3BC2DD">
                  <w:pPr>
                    <w:pStyle w:val="48"/>
                  </w:pPr>
                  <w:r>
                    <w:t>1.0</w:t>
                  </w:r>
                </w:p>
              </w:tc>
              <w:tc>
                <w:tcPr>
                  <w:tcW w:w="1977" w:type="dxa"/>
                  <w:tcBorders>
                    <w:top w:val="single" w:color="auto" w:sz="4" w:space="0"/>
                    <w:left w:val="single" w:color="auto" w:sz="4" w:space="0"/>
                    <w:bottom w:val="double" w:color="auto" w:sz="2" w:space="0"/>
                    <w:right w:val="nil"/>
                  </w:tcBorders>
                  <w:vAlign w:val="center"/>
                </w:tcPr>
                <w:p w14:paraId="5BAF738C">
                  <w:pPr>
                    <w:pStyle w:val="48"/>
                  </w:pPr>
                  <w:r>
                    <w:rPr>
                      <w:kern w:val="0"/>
                    </w:rPr>
                    <w:t>《大气污染物综合排放标准》（GB 16297-1996）</w:t>
                  </w:r>
                </w:p>
              </w:tc>
            </w:tr>
          </w:tbl>
          <w:p w14:paraId="4EF0A3EC">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2、废水</w:t>
            </w:r>
          </w:p>
          <w:p w14:paraId="00CD6A15">
            <w:pPr>
              <w:pStyle w:val="65"/>
              <w:ind w:firstLine="480"/>
              <w:rPr>
                <w:rFonts w:eastAsiaTheme="minorEastAsia"/>
                <w:color w:val="000000" w:themeColor="text1"/>
                <w:spacing w:val="12"/>
                <w14:textFill>
                  <w14:solidFill>
                    <w14:schemeClr w14:val="tx1"/>
                  </w14:solidFill>
                </w14:textFill>
              </w:rPr>
            </w:pPr>
            <w:r>
              <w:rPr>
                <w:rFonts w:eastAsiaTheme="minorEastAsia"/>
                <w:color w:val="000000" w:themeColor="text1"/>
                <w14:textFill>
                  <w14:solidFill>
                    <w14:schemeClr w14:val="tx1"/>
                  </w14:solidFill>
                </w14:textFill>
              </w:rPr>
              <w:t>本项目降尘用水全部蒸发损耗，</w:t>
            </w:r>
            <w:r>
              <w:rPr>
                <w:rFonts w:eastAsiaTheme="minorEastAsia"/>
                <w:color w:val="000000" w:themeColor="text1"/>
                <w:spacing w:val="12"/>
                <w14:textFill>
                  <w14:solidFill>
                    <w14:schemeClr w14:val="tx1"/>
                  </w14:solidFill>
                </w14:textFill>
              </w:rPr>
              <w:t>脱硫废水循环使用，无生产废水排放，生活污水依托朝阳县瓦房子镇宏兴锰矿化粪池，定期清掏不外排。</w:t>
            </w:r>
          </w:p>
          <w:p w14:paraId="636B56D5">
            <w:pPr>
              <w:pStyle w:val="65"/>
              <w:ind w:firstLine="504"/>
              <w:rPr>
                <w:rFonts w:eastAsiaTheme="minorEastAsia"/>
                <w:color w:val="000000" w:themeColor="text1"/>
                <w:spacing w:val="12"/>
                <w14:textFill>
                  <w14:solidFill>
                    <w14:schemeClr w14:val="tx1"/>
                  </w14:solidFill>
                </w14:textFill>
              </w:rPr>
            </w:pPr>
            <w:r>
              <w:rPr>
                <w:rFonts w:eastAsiaTheme="minorEastAsia"/>
                <w:color w:val="000000" w:themeColor="text1"/>
                <w:spacing w:val="12"/>
                <w14:textFill>
                  <w14:solidFill>
                    <w14:schemeClr w14:val="tx1"/>
                  </w14:solidFill>
                </w14:textFill>
              </w:rPr>
              <w:t>综上所述，本项目无废水外排。</w:t>
            </w:r>
          </w:p>
          <w:p w14:paraId="27EF13D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3、噪声</w:t>
            </w:r>
          </w:p>
          <w:p w14:paraId="19D97BC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（1）施工期</w:t>
            </w:r>
          </w:p>
          <w:p w14:paraId="476E0BC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施工期噪声执行《建筑施工噪声排放标准》（GB 12523-2025）中建筑施工场界环境噪声排放限值。</w:t>
            </w:r>
          </w:p>
          <w:p w14:paraId="63C6E1FA">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表3-7施工期噪声排放标准</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866"/>
              <w:gridCol w:w="1675"/>
              <w:gridCol w:w="3898"/>
            </w:tblGrid>
            <w:tr w14:paraId="1978C20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tcBorders>
                    <w:top w:val="double" w:color="auto" w:sz="2" w:space="0"/>
                    <w:left w:val="nil"/>
                    <w:bottom w:val="single" w:color="auto" w:sz="4" w:space="0"/>
                    <w:right w:val="single" w:color="auto" w:sz="4" w:space="0"/>
                  </w:tcBorders>
                  <w:vAlign w:val="center"/>
                </w:tcPr>
                <w:p w14:paraId="5FD82A5B">
                  <w:pPr>
                    <w:pStyle w:val="48"/>
                    <w:rPr>
                      <w:kern w:val="0"/>
                    </w:rPr>
                  </w:pPr>
                  <w:r>
                    <w:t>时段</w:t>
                  </w:r>
                </w:p>
              </w:tc>
              <w:tc>
                <w:tcPr>
                  <w:tcW w:w="1866" w:type="dxa"/>
                  <w:tcBorders>
                    <w:top w:val="double" w:color="auto" w:sz="2" w:space="0"/>
                    <w:left w:val="nil"/>
                    <w:bottom w:val="single" w:color="auto" w:sz="4" w:space="0"/>
                    <w:right w:val="single" w:color="auto" w:sz="4" w:space="0"/>
                  </w:tcBorders>
                  <w:vAlign w:val="center"/>
                </w:tcPr>
                <w:p w14:paraId="02DDCC8A">
                  <w:pPr>
                    <w:pStyle w:val="48"/>
                  </w:pPr>
                  <w:r>
                    <w:t>昼间dB（A）</w:t>
                  </w:r>
                </w:p>
              </w:tc>
              <w:tc>
                <w:tcPr>
                  <w:tcW w:w="1675" w:type="dxa"/>
                  <w:tcBorders>
                    <w:top w:val="double" w:color="auto" w:sz="2" w:space="0"/>
                    <w:left w:val="nil"/>
                    <w:bottom w:val="single" w:color="auto" w:sz="4" w:space="0"/>
                    <w:right w:val="single" w:color="auto" w:sz="4" w:space="0"/>
                  </w:tcBorders>
                  <w:vAlign w:val="center"/>
                </w:tcPr>
                <w:p w14:paraId="11FC77B1">
                  <w:pPr>
                    <w:pStyle w:val="48"/>
                  </w:pPr>
                  <w:r>
                    <w:t>夜间dB（A）</w:t>
                  </w:r>
                </w:p>
              </w:tc>
              <w:tc>
                <w:tcPr>
                  <w:tcW w:w="3898" w:type="dxa"/>
                  <w:tcBorders>
                    <w:top w:val="double" w:color="auto" w:sz="2" w:space="0"/>
                    <w:left w:val="nil"/>
                    <w:bottom w:val="single" w:color="auto" w:sz="4" w:space="0"/>
                    <w:right w:val="nil"/>
                  </w:tcBorders>
                  <w:vAlign w:val="center"/>
                </w:tcPr>
                <w:p w14:paraId="1D888591">
                  <w:pPr>
                    <w:pStyle w:val="48"/>
                  </w:pPr>
                  <w:r>
                    <w:t>标准来源</w:t>
                  </w:r>
                </w:p>
              </w:tc>
            </w:tr>
            <w:tr w14:paraId="31357E8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tcBorders>
                    <w:top w:val="single" w:color="auto" w:sz="4" w:space="0"/>
                    <w:left w:val="nil"/>
                    <w:bottom w:val="double" w:color="auto" w:sz="2" w:space="0"/>
                    <w:right w:val="single" w:color="auto" w:sz="4" w:space="0"/>
                  </w:tcBorders>
                  <w:vAlign w:val="center"/>
                </w:tcPr>
                <w:p w14:paraId="48B747ED">
                  <w:pPr>
                    <w:pStyle w:val="48"/>
                    <w:rPr>
                      <w:bCs/>
                    </w:rPr>
                  </w:pPr>
                  <w:r>
                    <w:t>施工期</w:t>
                  </w:r>
                </w:p>
              </w:tc>
              <w:tc>
                <w:tcPr>
                  <w:tcW w:w="1866" w:type="dxa"/>
                  <w:tcBorders>
                    <w:top w:val="single" w:color="auto" w:sz="4" w:space="0"/>
                    <w:left w:val="nil"/>
                    <w:bottom w:val="double" w:color="auto" w:sz="2" w:space="0"/>
                    <w:right w:val="single" w:color="auto" w:sz="4" w:space="0"/>
                  </w:tcBorders>
                  <w:vAlign w:val="center"/>
                </w:tcPr>
                <w:p w14:paraId="3A4F2557">
                  <w:pPr>
                    <w:pStyle w:val="48"/>
                    <w:rPr>
                      <w:bCs/>
                    </w:rPr>
                  </w:pPr>
                  <w:r>
                    <w:rPr>
                      <w:bCs/>
                    </w:rPr>
                    <w:t>70</w:t>
                  </w:r>
                </w:p>
              </w:tc>
              <w:tc>
                <w:tcPr>
                  <w:tcW w:w="1675" w:type="dxa"/>
                  <w:tcBorders>
                    <w:top w:val="single" w:color="auto" w:sz="4" w:space="0"/>
                    <w:left w:val="nil"/>
                    <w:bottom w:val="double" w:color="auto" w:sz="2" w:space="0"/>
                    <w:right w:val="single" w:color="auto" w:sz="4" w:space="0"/>
                  </w:tcBorders>
                  <w:vAlign w:val="center"/>
                </w:tcPr>
                <w:p w14:paraId="09585712">
                  <w:pPr>
                    <w:pStyle w:val="48"/>
                    <w:rPr>
                      <w:bCs/>
                    </w:rPr>
                  </w:pPr>
                  <w:r>
                    <w:rPr>
                      <w:bCs/>
                    </w:rPr>
                    <w:t>55</w:t>
                  </w:r>
                </w:p>
              </w:tc>
              <w:tc>
                <w:tcPr>
                  <w:tcW w:w="3898" w:type="dxa"/>
                  <w:tcBorders>
                    <w:top w:val="single" w:color="auto" w:sz="4" w:space="0"/>
                    <w:left w:val="nil"/>
                    <w:bottom w:val="double" w:color="auto" w:sz="2" w:space="0"/>
                    <w:right w:val="nil"/>
                  </w:tcBorders>
                  <w:vAlign w:val="center"/>
                </w:tcPr>
                <w:p w14:paraId="1D110690">
                  <w:pPr>
                    <w:pStyle w:val="48"/>
                    <w:rPr>
                      <w:bCs/>
                    </w:rPr>
                  </w:pPr>
                  <w:r>
                    <w:t>《建筑施工噪声排放标准》（GB 12523-2025）</w:t>
                  </w:r>
                </w:p>
              </w:tc>
            </w:tr>
          </w:tbl>
          <w:p w14:paraId="6C44E8E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（2）运营期</w:t>
            </w:r>
          </w:p>
          <w:p w14:paraId="2AA88FA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运营期噪声执行《工业企业厂界环境噪声排放标准》（GB 12348-2008）中3类标准。</w:t>
            </w:r>
          </w:p>
          <w:p w14:paraId="1F9D006C">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表3-8运营期噪声排放标准</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933"/>
              <w:gridCol w:w="933"/>
              <w:gridCol w:w="1675"/>
              <w:gridCol w:w="3898"/>
            </w:tblGrid>
            <w:tr w14:paraId="2DF4BC6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vAlign w:val="center"/>
                </w:tcPr>
                <w:p w14:paraId="6525EC86">
                  <w:pPr>
                    <w:pStyle w:val="48"/>
                    <w:rPr>
                      <w:kern w:val="0"/>
                    </w:rPr>
                  </w:pPr>
                  <w:r>
                    <w:t>时段</w:t>
                  </w:r>
                </w:p>
              </w:tc>
              <w:tc>
                <w:tcPr>
                  <w:tcW w:w="933" w:type="dxa"/>
                  <w:vAlign w:val="center"/>
                </w:tcPr>
                <w:p w14:paraId="7AEFC0D8">
                  <w:pPr>
                    <w:pStyle w:val="48"/>
                  </w:pPr>
                  <w:r>
                    <w:t>位置</w:t>
                  </w:r>
                </w:p>
              </w:tc>
              <w:tc>
                <w:tcPr>
                  <w:tcW w:w="933" w:type="dxa"/>
                  <w:vAlign w:val="center"/>
                </w:tcPr>
                <w:p w14:paraId="5AC61B73">
                  <w:pPr>
                    <w:pStyle w:val="48"/>
                  </w:pPr>
                  <w:r>
                    <w:t>昼间dB（A）</w:t>
                  </w:r>
                </w:p>
              </w:tc>
              <w:tc>
                <w:tcPr>
                  <w:tcW w:w="1675" w:type="dxa"/>
                  <w:vAlign w:val="center"/>
                </w:tcPr>
                <w:p w14:paraId="7D17E3B7">
                  <w:pPr>
                    <w:pStyle w:val="48"/>
                  </w:pPr>
                  <w:r>
                    <w:t>夜间dB（A）</w:t>
                  </w:r>
                </w:p>
              </w:tc>
              <w:tc>
                <w:tcPr>
                  <w:tcW w:w="3898" w:type="dxa"/>
                  <w:vAlign w:val="center"/>
                </w:tcPr>
                <w:p w14:paraId="1887D4A0">
                  <w:pPr>
                    <w:pStyle w:val="48"/>
                  </w:pPr>
                  <w:r>
                    <w:t>标准来源</w:t>
                  </w:r>
                </w:p>
              </w:tc>
            </w:tr>
            <w:tr w14:paraId="31B3968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vMerge w:val="restart"/>
                  <w:vAlign w:val="center"/>
                </w:tcPr>
                <w:p w14:paraId="20EC1FFF">
                  <w:pPr>
                    <w:pStyle w:val="48"/>
                    <w:rPr>
                      <w:bCs/>
                    </w:rPr>
                  </w:pPr>
                  <w:r>
                    <w:t>运营期</w:t>
                  </w:r>
                </w:p>
              </w:tc>
              <w:tc>
                <w:tcPr>
                  <w:tcW w:w="933" w:type="dxa"/>
                  <w:vAlign w:val="center"/>
                </w:tcPr>
                <w:p w14:paraId="1D94410C">
                  <w:pPr>
                    <w:pStyle w:val="48"/>
                    <w:rPr>
                      <w:bCs/>
                    </w:rPr>
                  </w:pPr>
                  <w:r>
                    <w:rPr>
                      <w:bCs/>
                    </w:rPr>
                    <w:t>东厂界</w:t>
                  </w:r>
                </w:p>
              </w:tc>
              <w:tc>
                <w:tcPr>
                  <w:tcW w:w="933" w:type="dxa"/>
                  <w:vAlign w:val="center"/>
                </w:tcPr>
                <w:p w14:paraId="5B9020CE">
                  <w:pPr>
                    <w:pStyle w:val="48"/>
                    <w:rPr>
                      <w:bCs/>
                    </w:rPr>
                  </w:pPr>
                  <w:r>
                    <w:rPr>
                      <w:bCs/>
                    </w:rPr>
                    <w:t>65</w:t>
                  </w:r>
                </w:p>
              </w:tc>
              <w:tc>
                <w:tcPr>
                  <w:tcW w:w="1675" w:type="dxa"/>
                  <w:vAlign w:val="center"/>
                </w:tcPr>
                <w:p w14:paraId="4347688F">
                  <w:pPr>
                    <w:pStyle w:val="48"/>
                    <w:rPr>
                      <w:bCs/>
                    </w:rPr>
                  </w:pPr>
                  <w:r>
                    <w:rPr>
                      <w:bCs/>
                    </w:rPr>
                    <w:t>55</w:t>
                  </w:r>
                </w:p>
              </w:tc>
              <w:tc>
                <w:tcPr>
                  <w:tcW w:w="3898" w:type="dxa"/>
                  <w:vMerge w:val="restart"/>
                  <w:vAlign w:val="center"/>
                </w:tcPr>
                <w:p w14:paraId="25831B1B">
                  <w:pPr>
                    <w:pStyle w:val="48"/>
                    <w:rPr>
                      <w:bCs/>
                    </w:rPr>
                  </w:pPr>
                  <w:r>
                    <w:t>《工业企业厂界环境噪声排放标准》（GB 12348-2008）3类标准</w:t>
                  </w:r>
                </w:p>
              </w:tc>
            </w:tr>
            <w:tr w14:paraId="64CECE5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vMerge w:val="continue"/>
                  <w:vAlign w:val="center"/>
                </w:tcPr>
                <w:p w14:paraId="51A289F7">
                  <w:pPr>
                    <w:widowControl/>
                    <w:jc w:val="left"/>
                    <w:rPr>
                      <w:rFonts w:eastAsiaTheme="minorEastAsia"/>
                      <w:bCs/>
                      <w:color w:val="000000" w:themeColor="text1"/>
                      <w:szCs w:val="21"/>
                      <w14:textFill>
                        <w14:solidFill>
                          <w14:schemeClr w14:val="tx1"/>
                        </w14:solidFill>
                      </w14:textFill>
                    </w:rPr>
                  </w:pPr>
                </w:p>
              </w:tc>
              <w:tc>
                <w:tcPr>
                  <w:tcW w:w="933" w:type="dxa"/>
                  <w:vAlign w:val="center"/>
                </w:tcPr>
                <w:p w14:paraId="6393A929">
                  <w:pPr>
                    <w:pStyle w:val="48"/>
                    <w:rPr>
                      <w:bCs/>
                    </w:rPr>
                  </w:pPr>
                  <w:r>
                    <w:rPr>
                      <w:bCs/>
                    </w:rPr>
                    <w:t>西厂界</w:t>
                  </w:r>
                </w:p>
              </w:tc>
              <w:tc>
                <w:tcPr>
                  <w:tcW w:w="933" w:type="dxa"/>
                  <w:vAlign w:val="center"/>
                </w:tcPr>
                <w:p w14:paraId="32CD8155">
                  <w:pPr>
                    <w:pStyle w:val="48"/>
                    <w:rPr>
                      <w:bCs/>
                    </w:rPr>
                  </w:pPr>
                  <w:r>
                    <w:rPr>
                      <w:bCs/>
                    </w:rPr>
                    <w:t>65</w:t>
                  </w:r>
                </w:p>
              </w:tc>
              <w:tc>
                <w:tcPr>
                  <w:tcW w:w="1675" w:type="dxa"/>
                  <w:vAlign w:val="center"/>
                </w:tcPr>
                <w:p w14:paraId="10E761E3">
                  <w:pPr>
                    <w:pStyle w:val="48"/>
                    <w:rPr>
                      <w:bCs/>
                    </w:rPr>
                  </w:pPr>
                  <w:r>
                    <w:rPr>
                      <w:bCs/>
                    </w:rPr>
                    <w:t>55</w:t>
                  </w:r>
                </w:p>
              </w:tc>
              <w:tc>
                <w:tcPr>
                  <w:tcW w:w="3898" w:type="dxa"/>
                  <w:vMerge w:val="continue"/>
                  <w:vAlign w:val="center"/>
                </w:tcPr>
                <w:p w14:paraId="17A30A4C">
                  <w:pPr>
                    <w:widowControl/>
                    <w:jc w:val="left"/>
                    <w:rPr>
                      <w:rFonts w:eastAsiaTheme="minorEastAsia"/>
                      <w:bCs/>
                      <w:color w:val="000000" w:themeColor="text1"/>
                      <w:szCs w:val="21"/>
                      <w14:textFill>
                        <w14:solidFill>
                          <w14:schemeClr w14:val="tx1"/>
                        </w14:solidFill>
                      </w14:textFill>
                    </w:rPr>
                  </w:pPr>
                </w:p>
              </w:tc>
            </w:tr>
            <w:tr w14:paraId="276AE15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vMerge w:val="continue"/>
                  <w:vAlign w:val="center"/>
                </w:tcPr>
                <w:p w14:paraId="6CCFADEF">
                  <w:pPr>
                    <w:widowControl/>
                    <w:jc w:val="left"/>
                    <w:rPr>
                      <w:rFonts w:eastAsiaTheme="minorEastAsia"/>
                      <w:bCs/>
                      <w:color w:val="000000" w:themeColor="text1"/>
                      <w:szCs w:val="21"/>
                      <w14:textFill>
                        <w14:solidFill>
                          <w14:schemeClr w14:val="tx1"/>
                        </w14:solidFill>
                      </w14:textFill>
                    </w:rPr>
                  </w:pPr>
                </w:p>
              </w:tc>
              <w:tc>
                <w:tcPr>
                  <w:tcW w:w="933" w:type="dxa"/>
                  <w:vAlign w:val="center"/>
                </w:tcPr>
                <w:p w14:paraId="76509618">
                  <w:pPr>
                    <w:pStyle w:val="48"/>
                    <w:rPr>
                      <w:bCs/>
                    </w:rPr>
                  </w:pPr>
                  <w:r>
                    <w:rPr>
                      <w:bCs/>
                    </w:rPr>
                    <w:t>北厂界</w:t>
                  </w:r>
                </w:p>
              </w:tc>
              <w:tc>
                <w:tcPr>
                  <w:tcW w:w="933" w:type="dxa"/>
                  <w:vAlign w:val="center"/>
                </w:tcPr>
                <w:p w14:paraId="0C9B02B2">
                  <w:pPr>
                    <w:pStyle w:val="48"/>
                    <w:rPr>
                      <w:bCs/>
                    </w:rPr>
                  </w:pPr>
                  <w:r>
                    <w:rPr>
                      <w:bCs/>
                    </w:rPr>
                    <w:t>65</w:t>
                  </w:r>
                </w:p>
              </w:tc>
              <w:tc>
                <w:tcPr>
                  <w:tcW w:w="1675" w:type="dxa"/>
                  <w:vAlign w:val="center"/>
                </w:tcPr>
                <w:p w14:paraId="31C31066">
                  <w:pPr>
                    <w:pStyle w:val="48"/>
                    <w:rPr>
                      <w:bCs/>
                    </w:rPr>
                  </w:pPr>
                  <w:r>
                    <w:rPr>
                      <w:bCs/>
                    </w:rPr>
                    <w:t>55</w:t>
                  </w:r>
                </w:p>
              </w:tc>
              <w:tc>
                <w:tcPr>
                  <w:tcW w:w="3898" w:type="dxa"/>
                  <w:vMerge w:val="continue"/>
                  <w:vAlign w:val="center"/>
                </w:tcPr>
                <w:p w14:paraId="2358F990">
                  <w:pPr>
                    <w:widowControl/>
                    <w:jc w:val="left"/>
                    <w:rPr>
                      <w:rFonts w:eastAsiaTheme="minorEastAsia"/>
                      <w:bCs/>
                      <w:color w:val="000000" w:themeColor="text1"/>
                      <w:szCs w:val="21"/>
                      <w14:textFill>
                        <w14:solidFill>
                          <w14:schemeClr w14:val="tx1"/>
                        </w14:solidFill>
                      </w14:textFill>
                    </w:rPr>
                  </w:pPr>
                </w:p>
              </w:tc>
            </w:tr>
            <w:tr w14:paraId="6B23E35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5" w:type="dxa"/>
                  <w:vMerge w:val="continue"/>
                  <w:vAlign w:val="center"/>
                </w:tcPr>
                <w:p w14:paraId="4A5423F1">
                  <w:pPr>
                    <w:widowControl/>
                    <w:jc w:val="left"/>
                    <w:rPr>
                      <w:rFonts w:eastAsiaTheme="minorEastAsia"/>
                      <w:bCs/>
                      <w:color w:val="000000" w:themeColor="text1"/>
                      <w:szCs w:val="21"/>
                      <w14:textFill>
                        <w14:solidFill>
                          <w14:schemeClr w14:val="tx1"/>
                        </w14:solidFill>
                      </w14:textFill>
                    </w:rPr>
                  </w:pPr>
                </w:p>
              </w:tc>
              <w:tc>
                <w:tcPr>
                  <w:tcW w:w="933" w:type="dxa"/>
                  <w:vAlign w:val="center"/>
                </w:tcPr>
                <w:p w14:paraId="18F3C41F">
                  <w:pPr>
                    <w:pStyle w:val="48"/>
                    <w:rPr>
                      <w:bCs/>
                    </w:rPr>
                  </w:pPr>
                  <w:r>
                    <w:rPr>
                      <w:bCs/>
                    </w:rPr>
                    <w:t>南厂界</w:t>
                  </w:r>
                </w:p>
              </w:tc>
              <w:tc>
                <w:tcPr>
                  <w:tcW w:w="933" w:type="dxa"/>
                  <w:vAlign w:val="center"/>
                </w:tcPr>
                <w:p w14:paraId="5AB79E7F">
                  <w:pPr>
                    <w:pStyle w:val="48"/>
                    <w:rPr>
                      <w:bCs/>
                    </w:rPr>
                  </w:pPr>
                  <w:r>
                    <w:rPr>
                      <w:bCs/>
                    </w:rPr>
                    <w:t>65</w:t>
                  </w:r>
                </w:p>
              </w:tc>
              <w:tc>
                <w:tcPr>
                  <w:tcW w:w="1675" w:type="dxa"/>
                  <w:vAlign w:val="center"/>
                </w:tcPr>
                <w:p w14:paraId="514841AE">
                  <w:pPr>
                    <w:pStyle w:val="48"/>
                    <w:rPr>
                      <w:bCs/>
                    </w:rPr>
                  </w:pPr>
                  <w:r>
                    <w:rPr>
                      <w:bCs/>
                    </w:rPr>
                    <w:t>55</w:t>
                  </w:r>
                </w:p>
              </w:tc>
              <w:tc>
                <w:tcPr>
                  <w:tcW w:w="3898" w:type="dxa"/>
                  <w:vMerge w:val="continue"/>
                  <w:vAlign w:val="center"/>
                </w:tcPr>
                <w:p w14:paraId="5C0C9E5B">
                  <w:pPr>
                    <w:widowControl/>
                    <w:jc w:val="left"/>
                    <w:rPr>
                      <w:rFonts w:eastAsiaTheme="minorEastAsia"/>
                      <w:bCs/>
                      <w:color w:val="000000" w:themeColor="text1"/>
                      <w:szCs w:val="21"/>
                      <w14:textFill>
                        <w14:solidFill>
                          <w14:schemeClr w14:val="tx1"/>
                        </w14:solidFill>
                      </w14:textFill>
                    </w:rPr>
                  </w:pPr>
                </w:p>
              </w:tc>
            </w:tr>
          </w:tbl>
          <w:p w14:paraId="5AD5A273">
            <w:pPr>
              <w:pStyle w:val="65"/>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4、固体废物</w:t>
            </w:r>
          </w:p>
          <w:p w14:paraId="50C5FCC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本项目脱硫石膏、</w:t>
            </w:r>
            <w:r>
              <w:rPr>
                <w:rFonts w:eastAsiaTheme="minorEastAsia"/>
                <w:color w:val="0000FF"/>
              </w:rPr>
              <w:t>沉淀池沉淀（主要为生石灰投入至沉淀池生成Ca（OH）</w:t>
            </w:r>
            <w:r>
              <w:rPr>
                <w:rFonts w:eastAsiaTheme="minorEastAsia"/>
                <w:color w:val="0000FF"/>
                <w:vertAlign w:val="subscript"/>
              </w:rPr>
              <w:t>2</w:t>
            </w:r>
            <w:r>
              <w:rPr>
                <w:rFonts w:eastAsiaTheme="minorEastAsia"/>
                <w:color w:val="0000FF"/>
              </w:rPr>
              <w:t>进入脱硫水循环）</w:t>
            </w:r>
            <w:r>
              <w:rPr>
                <w:rFonts w:eastAsiaTheme="minorEastAsia"/>
                <w:color w:val="000000" w:themeColor="text1"/>
                <w14:textFill>
                  <w14:solidFill>
                    <w14:schemeClr w14:val="tx1"/>
                  </w14:solidFill>
                </w14:textFill>
              </w:rPr>
              <w:t>均属于一般固体废物；原料锰矿石废料按照一般固体废物管理；废机油、废机油桶属于危险废物。</w:t>
            </w:r>
          </w:p>
          <w:p w14:paraId="56803B4F">
            <w:pPr>
              <w:pStyle w:val="65"/>
              <w:ind w:firstLine="480"/>
              <w:rPr>
                <w:rFonts w:eastAsiaTheme="minorEastAsia"/>
                <w:color w:val="000000" w:themeColor="text1"/>
                <w14:textFill>
                  <w14:solidFill>
                    <w14:schemeClr w14:val="tx1"/>
                  </w14:solidFill>
                </w14:textFill>
              </w:rPr>
            </w:pPr>
            <w:r>
              <w:rPr>
                <w:rFonts w:eastAsiaTheme="minorEastAsia"/>
                <w:color w:val="0000FF"/>
              </w:rPr>
              <w:t>一般固体废物执行《中华人民共和国生态环境法典》（2026年3月12日通过，2026年8月15日起施行）；</w:t>
            </w:r>
            <w:r>
              <w:rPr>
                <w:rFonts w:eastAsiaTheme="minorEastAsia"/>
                <w:color w:val="000000" w:themeColor="text1"/>
                <w14:textFill>
                  <w14:solidFill>
                    <w14:schemeClr w14:val="tx1"/>
                  </w14:solidFill>
                </w14:textFill>
              </w:rPr>
              <w:t>按照《辽宁省生态环境厅关于加强全省一般工业固体废物环境管理工作的通知》（辽环函[2022]42号）的要求进行储存；一般固体废物分类执行《一般固体废物分类与代码》（GB /T39198-2020）；一般固体废物贮存参照执行《一般工业固体废物贮存和填埋污染控制标准》（GB 18599-2020）；危险废物按《国家危险废物名录》（2025年版）进行分类；危险废物暂存场所执行《危险废物贮存污染控制标准》（GB 18597-2023）；生活垃圾参照执行《城市生活垃圾管理办法》（中华人民共和国建设部令第157号）。</w:t>
            </w:r>
          </w:p>
          <w:p w14:paraId="107022B0">
            <w:pPr>
              <w:pStyle w:val="65"/>
              <w:ind w:firstLine="480"/>
              <w:rPr>
                <w:rFonts w:eastAsiaTheme="minorEastAsia"/>
                <w:color w:val="000000" w:themeColor="text1"/>
                <w14:textFill>
                  <w14:solidFill>
                    <w14:schemeClr w14:val="tx1"/>
                  </w14:solidFill>
                </w14:textFill>
              </w:rPr>
            </w:pPr>
          </w:p>
          <w:p w14:paraId="38EF7D60">
            <w:pPr>
              <w:ind w:firstLine="480"/>
              <w:rPr>
                <w:rFonts w:eastAsiaTheme="minorEastAsia"/>
                <w:color w:val="000000" w:themeColor="text1"/>
                <w14:textFill>
                  <w14:solidFill>
                    <w14:schemeClr w14:val="tx1"/>
                  </w14:solidFill>
                </w14:textFill>
              </w:rPr>
            </w:pPr>
          </w:p>
        </w:tc>
      </w:tr>
      <w:tr w14:paraId="0B62BD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78" w:hRule="atLeast"/>
          <w:jc w:val="center"/>
        </w:trPr>
        <w:tc>
          <w:tcPr>
            <w:tcW w:w="416" w:type="dxa"/>
            <w:tcBorders>
              <w:top w:val="single" w:color="auto" w:sz="4" w:space="0"/>
              <w:left w:val="single" w:color="auto" w:sz="8" w:space="0"/>
              <w:bottom w:val="single" w:color="auto" w:sz="8" w:space="0"/>
              <w:right w:val="single" w:color="auto" w:sz="4" w:space="0"/>
            </w:tcBorders>
            <w:vAlign w:val="center"/>
          </w:tcPr>
          <w:p w14:paraId="4244D1D0">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总量</w:t>
            </w:r>
          </w:p>
          <w:p w14:paraId="6531E9DC">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控制</w:t>
            </w:r>
          </w:p>
          <w:p w14:paraId="46E579D5">
            <w:pPr>
              <w:pStyle w:val="129"/>
              <w:rPr>
                <w:rFonts w:eastAsiaTheme="minorEastAsia"/>
                <w:color w:val="000000" w:themeColor="text1"/>
                <w14:textFill>
                  <w14:solidFill>
                    <w14:schemeClr w14:val="tx1"/>
                  </w14:solidFill>
                </w14:textFill>
              </w:rPr>
            </w:pPr>
            <w:r>
              <w:rPr>
                <w:rFonts w:eastAsiaTheme="minorEastAsia"/>
                <w:color w:val="000000" w:themeColor="text1"/>
                <w:sz w:val="24"/>
                <w:szCs w:val="24"/>
                <w14:textFill>
                  <w14:solidFill>
                    <w14:schemeClr w14:val="tx1"/>
                  </w14:solidFill>
                </w14:textFill>
              </w:rPr>
              <w:t>指标</w:t>
            </w:r>
          </w:p>
        </w:tc>
        <w:tc>
          <w:tcPr>
            <w:tcW w:w="8940" w:type="dxa"/>
            <w:tcBorders>
              <w:top w:val="single" w:color="auto" w:sz="4" w:space="0"/>
              <w:left w:val="nil"/>
              <w:bottom w:val="single" w:color="auto" w:sz="8" w:space="0"/>
              <w:right w:val="single" w:color="auto" w:sz="8" w:space="0"/>
            </w:tcBorders>
            <w:vAlign w:val="center"/>
          </w:tcPr>
          <w:p w14:paraId="6C7FC33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辽宁省环境保护厅关于贯彻执行环保部建设项目主要污染物排放总量指标审核及管理暂行办法的通知》以及《辽宁省生态环境厅关于进一步加强建设项目主要污染物排放总量指标审核和管理的通知》（辽环综函[2020]380）等文件要求，总量控制因子为CODcr、总磷、NOx和VOCs。</w:t>
            </w:r>
          </w:p>
          <w:p w14:paraId="7C70B87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根据本项目的特点，结合污染物排放情况，确定本项目污染物控制因子为废气总量控制指标中的NOx，控制指标为0.4644t。</w:t>
            </w:r>
          </w:p>
        </w:tc>
      </w:tr>
    </w:tbl>
    <w:p w14:paraId="661AF6D7">
      <w:pPr>
        <w:pStyle w:val="32"/>
        <w:pageBreakBefore/>
        <w:ind w:left="210"/>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四、主要环境影响和保护措施</w:t>
      </w:r>
    </w:p>
    <w:tbl>
      <w:tblPr>
        <w:tblStyle w:val="3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9"/>
        <w:gridCol w:w="8662"/>
      </w:tblGrid>
      <w:tr w14:paraId="1D88B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19" w:type="dxa"/>
            <w:tcBorders>
              <w:top w:val="single" w:color="auto" w:sz="8" w:space="0"/>
              <w:left w:val="single" w:color="auto" w:sz="8" w:space="0"/>
              <w:bottom w:val="single" w:color="auto" w:sz="4" w:space="0"/>
              <w:right w:val="single" w:color="auto" w:sz="4" w:space="0"/>
            </w:tcBorders>
            <w:tcMar>
              <w:top w:w="0" w:type="dxa"/>
              <w:left w:w="28" w:type="dxa"/>
              <w:bottom w:w="0" w:type="dxa"/>
              <w:right w:w="28" w:type="dxa"/>
            </w:tcMar>
            <w:vAlign w:val="center"/>
          </w:tcPr>
          <w:p w14:paraId="337C8659">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施工</w:t>
            </w:r>
          </w:p>
          <w:p w14:paraId="4B3AE1EB">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期环</w:t>
            </w:r>
          </w:p>
          <w:p w14:paraId="2CF9C931">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境保</w:t>
            </w:r>
          </w:p>
          <w:p w14:paraId="05A827F5">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护措</w:t>
            </w:r>
          </w:p>
          <w:p w14:paraId="1F119C9A">
            <w:pPr>
              <w:pStyle w:val="129"/>
              <w:rPr>
                <w:rFonts w:eastAsiaTheme="minorEastAsia"/>
                <w:bCs/>
                <w:color w:val="000000" w:themeColor="text1"/>
                <w14:textFill>
                  <w14:solidFill>
                    <w14:schemeClr w14:val="tx1"/>
                  </w14:solidFill>
                </w14:textFill>
              </w:rPr>
            </w:pPr>
            <w:r>
              <w:rPr>
                <w:rFonts w:eastAsiaTheme="minorEastAsia"/>
                <w:color w:val="000000" w:themeColor="text1"/>
                <w:sz w:val="24"/>
                <w:szCs w:val="24"/>
                <w14:textFill>
                  <w14:solidFill>
                    <w14:schemeClr w14:val="tx1"/>
                  </w14:solidFill>
                </w14:textFill>
              </w:rPr>
              <w:t>施</w:t>
            </w:r>
          </w:p>
        </w:tc>
        <w:tc>
          <w:tcPr>
            <w:tcW w:w="8662" w:type="dxa"/>
            <w:tcBorders>
              <w:top w:val="single" w:color="auto" w:sz="8" w:space="0"/>
              <w:left w:val="single" w:color="auto" w:sz="4" w:space="0"/>
              <w:bottom w:val="single" w:color="auto" w:sz="4" w:space="0"/>
              <w:right w:val="single" w:color="auto" w:sz="8" w:space="0"/>
            </w:tcBorders>
            <w:vAlign w:val="center"/>
          </w:tcPr>
          <w:p w14:paraId="01B1751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本项目租用朝阳县瓦房子镇宏兴锰矿场地，建设烘干车间一座、原料库一座、生产车间一间及产品库一座，全部为新建。</w:t>
            </w:r>
          </w:p>
          <w:p w14:paraId="0FE50510">
            <w:pPr>
              <w:pStyle w:val="65"/>
              <w:ind w:firstLine="480"/>
              <w:rPr>
                <w:rFonts w:eastAsiaTheme="minorEastAsia"/>
                <w:color w:val="0000FF"/>
              </w:rPr>
            </w:pPr>
            <w:r>
              <w:rPr>
                <w:rFonts w:eastAsiaTheme="minorEastAsia"/>
                <w:color w:val="0000FF"/>
              </w:rPr>
              <w:t>本项目施工特点及污染因素分析：本项目为新建项目，在宏兴锰矿厂区内已平整空地上建设烘干车间（2层，建筑面积220m²）、原料库（250m²）、生产车间（110m²）及产品库（200m²），总建筑面积820m²（含危废贮存点10m²、一般固废暂存间30m²）。各建筑均为钢结构或砖混结构，施工期约3个月，施工人数约15人。根据施工工序及规模，本项目施工期具有以下特点：</w:t>
            </w:r>
          </w:p>
          <w:p w14:paraId="60000244">
            <w:pPr>
              <w:pStyle w:val="65"/>
              <w:ind w:firstLine="480"/>
              <w:rPr>
                <w:rFonts w:eastAsiaTheme="minorEastAsia"/>
                <w:color w:val="0000FF"/>
              </w:rPr>
            </w:pPr>
            <w:r>
              <w:rPr>
                <w:rFonts w:eastAsiaTheme="minorEastAsia"/>
                <w:color w:val="0000FF"/>
              </w:rPr>
              <w:t>（1）施工扬尘：主要来自基础开挖（开挖量小、作业时间短）、水泥砂石等物料堆存及装卸、车辆运输道路扬尘，不涉及大规模土方作业，扬尘产生量较小；</w:t>
            </w:r>
          </w:p>
          <w:p w14:paraId="7B63D82C">
            <w:pPr>
              <w:pStyle w:val="65"/>
              <w:ind w:firstLine="480"/>
              <w:rPr>
                <w:rFonts w:eastAsiaTheme="minorEastAsia"/>
                <w:color w:val="0000FF"/>
              </w:rPr>
            </w:pPr>
            <w:r>
              <w:rPr>
                <w:rFonts w:eastAsiaTheme="minorEastAsia"/>
                <w:color w:val="0000FF"/>
              </w:rPr>
              <w:t>（2）施工机械及车辆尾气：主要来自混凝土搅拌车、起重机、运输车辆及小型施工机械，施工机械数量少（约3~5台）、运行时间短，尾气排放量有限；</w:t>
            </w:r>
          </w:p>
          <w:p w14:paraId="4068F849">
            <w:pPr>
              <w:pStyle w:val="65"/>
              <w:ind w:firstLine="480"/>
              <w:rPr>
                <w:rFonts w:eastAsiaTheme="minorEastAsia"/>
                <w:color w:val="0000FF"/>
              </w:rPr>
            </w:pPr>
            <w:r>
              <w:rPr>
                <w:rFonts w:eastAsiaTheme="minorEastAsia"/>
                <w:color w:val="0000FF"/>
              </w:rPr>
              <w:t>（3）施工噪声：主要来自钢结构安装敲击、切割机切割、电焊机、混凝土振捣及运输车辆，具有间歇性和分散性特点，各产噪设备不会长时间同时运转；</w:t>
            </w:r>
          </w:p>
          <w:p w14:paraId="1609DC5E">
            <w:pPr>
              <w:pStyle w:val="65"/>
              <w:ind w:firstLine="480"/>
              <w:rPr>
                <w:rFonts w:eastAsiaTheme="minorEastAsia"/>
                <w:color w:val="0000FF"/>
              </w:rPr>
            </w:pPr>
            <w:r>
              <w:rPr>
                <w:rFonts w:eastAsiaTheme="minorEastAsia"/>
                <w:color w:val="0000FF"/>
              </w:rPr>
              <w:t>（4）施工废水：主要为混凝土养护用水（少量，大部分自然蒸发）和施工人员生活污水；</w:t>
            </w:r>
          </w:p>
          <w:p w14:paraId="1357BF71">
            <w:pPr>
              <w:pStyle w:val="65"/>
              <w:ind w:firstLine="480"/>
              <w:rPr>
                <w:rFonts w:eastAsiaTheme="minorEastAsia"/>
                <w:color w:val="0000FF"/>
                <w:sz w:val="21"/>
                <w:szCs w:val="21"/>
              </w:rPr>
            </w:pPr>
            <w:r>
              <w:rPr>
                <w:rFonts w:eastAsiaTheme="minorEastAsia"/>
                <w:color w:val="0000FF"/>
              </w:rPr>
              <w:t>（5）固体废物：主要为钢结构及墙板边角料、废弃包装材料、少量混凝土残渣及施工人员生活垃圾。以下针对上述污染因素提出与施工特点相适应的污染防治措施。</w:t>
            </w:r>
          </w:p>
          <w:p w14:paraId="28581BD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1.废气</w:t>
            </w:r>
          </w:p>
          <w:p w14:paraId="5731772D">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项目在施工期主要的大气环境污染为扬尘，根据《辽宁省大气环境综合整治方案》等，本环评特提出以下污染防治措施：</w:t>
            </w:r>
          </w:p>
          <w:p w14:paraId="1FB5D24A">
            <w:pPr>
              <w:adjustRightInd w:val="0"/>
              <w:snapToGrid w:val="0"/>
              <w:spacing w:line="400" w:lineRule="exact"/>
              <w:ind w:firstLine="480"/>
              <w:rPr>
                <w:rFonts w:eastAsiaTheme="minorEastAsia"/>
                <w:bCs/>
                <w:color w:val="0000FF"/>
                <w:sz w:val="24"/>
              </w:rPr>
            </w:pPr>
            <w:r>
              <w:rPr>
                <w:rFonts w:eastAsiaTheme="minorEastAsia"/>
                <w:bCs/>
                <w:color w:val="0000FF"/>
                <w:sz w:val="24"/>
              </w:rPr>
              <w:t>根据本项目施工特点，基础开挖量小、开挖深度浅，开挖土方全部用于基础回填，不产生弃土。施工扬尘主要来源于水泥、砂石等物料堆存、装卸及运输道路扬尘，扬尘产生量较小，场地抑尘措施重点为物料堆存和装卸过程中的扬尘控制。</w:t>
            </w:r>
          </w:p>
          <w:p w14:paraId="1D512BAA">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（1）场地抑尘措施</w:t>
            </w:r>
          </w:p>
          <w:p w14:paraId="4E04D6DF">
            <w:pPr>
              <w:pStyle w:val="65"/>
              <w:ind w:firstLine="480"/>
              <w:rPr>
                <w:rFonts w:eastAsiaTheme="minorEastAsia"/>
                <w:color w:val="0000FF"/>
                <w:sz w:val="21"/>
                <w:szCs w:val="21"/>
              </w:rPr>
            </w:pPr>
            <w:r>
              <w:rPr>
                <w:rFonts w:eastAsiaTheme="minorEastAsia"/>
                <w:bCs/>
                <w:color w:val="000000" w:themeColor="text1"/>
                <w14:textFill>
                  <w14:solidFill>
                    <w14:schemeClr w14:val="tx1"/>
                  </w14:solidFill>
                </w14:textFill>
              </w:rPr>
              <w:t>施工中产生的弃土、弃料及其他建筑垃圾，应及时清运。若在工地内堆置超过一周的，则应采取下列措施之一，防止风蚀起尘及水蚀迁移，</w:t>
            </w:r>
            <w:r>
              <w:rPr>
                <w:rFonts w:eastAsiaTheme="minorEastAsia"/>
                <w:color w:val="0000FF"/>
              </w:rPr>
              <w:t>根据本项目施工特点，基础开挖量小，开挖土方全部回填，不产生弃土，场地抑尘对象主要为水泥、砂石等建筑材料堆存及装卸过程中产生的扬尘。</w:t>
            </w:r>
          </w:p>
          <w:p w14:paraId="2AB4191B">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rFonts w:eastAsiaTheme="minorEastAsia"/>
                <w:bCs/>
                <w:color w:val="000000" w:themeColor="text1"/>
                <w:sz w:val="24"/>
                <w14:textFill>
                  <w14:solidFill>
                    <w14:schemeClr w14:val="tx1"/>
                  </w14:solidFill>
                </w14:textFill>
              </w:rPr>
              <w:t>覆盖防尘布、防尘网；</w:t>
            </w:r>
          </w:p>
          <w:p w14:paraId="5A33F075">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②</w:t>
            </w:r>
            <w:r>
              <w:rPr>
                <w:rFonts w:eastAsiaTheme="minorEastAsia"/>
                <w:bCs/>
                <w:color w:val="000000" w:themeColor="text1"/>
                <w:sz w:val="24"/>
                <w14:textFill>
                  <w14:solidFill>
                    <w14:schemeClr w14:val="tx1"/>
                  </w14:solidFill>
                </w14:textFill>
              </w:rPr>
              <w:t>定期喷水抑尘；</w:t>
            </w:r>
          </w:p>
          <w:p w14:paraId="159C9591">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③</w:t>
            </w:r>
            <w:r>
              <w:rPr>
                <w:rFonts w:eastAsiaTheme="minorEastAsia"/>
                <w:bCs/>
                <w:color w:val="000000" w:themeColor="text1"/>
                <w:sz w:val="24"/>
                <w14:textFill>
                  <w14:solidFill>
                    <w14:schemeClr w14:val="tx1"/>
                  </w14:solidFill>
                </w14:textFill>
              </w:rPr>
              <w:t>设置不低于1.8m的围挡。</w:t>
            </w:r>
          </w:p>
          <w:p w14:paraId="3322A615">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（2）物料抑尘措施</w:t>
            </w:r>
          </w:p>
          <w:p w14:paraId="534A3544">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rFonts w:eastAsiaTheme="minorEastAsia"/>
                <w:bCs/>
                <w:color w:val="000000" w:themeColor="text1"/>
                <w:sz w:val="24"/>
                <w14:textFill>
                  <w14:solidFill>
                    <w14:schemeClr w14:val="tx1"/>
                  </w14:solidFill>
                </w14:textFill>
              </w:rPr>
              <w:t>施工中土堆、料堆防扬尘措施</w:t>
            </w:r>
          </w:p>
          <w:p w14:paraId="60EA5009">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工程开挖土方应集中堆放，缩小扬尘影响范围，突土方及时回填，减少扬尘影响时间；减少物料堆存时间及堆放量，缩短堆放周期，尽量做到边施工边进物料。</w:t>
            </w:r>
          </w:p>
          <w:p w14:paraId="180D5D69">
            <w:pPr>
              <w:pStyle w:val="65"/>
              <w:ind w:firstLine="480"/>
              <w:rPr>
                <w:rFonts w:eastAsiaTheme="minorEastAsia"/>
                <w:color w:val="0000FF"/>
                <w:sz w:val="21"/>
                <w:szCs w:val="21"/>
              </w:rPr>
            </w:pPr>
            <w:r>
              <w:rPr>
                <w:rFonts w:eastAsiaTheme="minorEastAsia"/>
                <w:color w:val="0000FF"/>
              </w:rPr>
              <w:t>本项目开挖土方量小且全部回填，不设土方堆场。物料抑尘重点为水泥、砂石等建筑材料的堆放和装卸扬尘控制。建筑材料堆场设于厂区避风处，采用防尘布覆盖，装卸时辅以洒水抑尘，减少扬尘产生。</w:t>
            </w:r>
          </w:p>
          <w:p w14:paraId="53C54D73">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土堆、料堆要布置在场地的避风处，遇到干燥、易起尘的土方工程作业时，应辅以洒水压尘，遇到四级或四级以上大风天气，应停止土方作业，同时作业处覆盖防尘网。</w:t>
            </w:r>
          </w:p>
          <w:p w14:paraId="5339197B">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②</w:t>
            </w:r>
            <w:r>
              <w:rPr>
                <w:rFonts w:eastAsiaTheme="minorEastAsia"/>
                <w:bCs/>
                <w:color w:val="000000" w:themeColor="text1"/>
                <w:sz w:val="24"/>
                <w14:textFill>
                  <w14:solidFill>
                    <w14:schemeClr w14:val="tx1"/>
                  </w14:solidFill>
                </w14:textFill>
              </w:rPr>
              <w:t>物料抑尘管理</w:t>
            </w:r>
          </w:p>
          <w:p w14:paraId="50936251">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临时材料堆放场应防止物料散漏污染。料堆四周应有疏水沟，防止雨水浸湿，引起物料流失。临时堆放场应有遮盖篷遮蔽，防止物料飘散污染环境空气。</w:t>
            </w:r>
          </w:p>
          <w:p w14:paraId="412FA713">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（3）施工车辆、机械尾气</w:t>
            </w:r>
          </w:p>
          <w:p w14:paraId="5C296216">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施工车辆、机械尾气主要来源于施工场地车辆运输、施工机械设备工作产生。尾气污染产生的主要决定因素为燃料种类、机械性能、作业方式和风力等，其中机械性能、作业方式因素的影响最大。施工车辆、机械在怠速、减速、加速时产生的污染最为严重。本项目施工车辆、机械采用柴油作为燃料，柴油燃烧产生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、CO和烃类物质等污染物。经调查，在一般气象条件下，平均风速在2.9m/s时建筑施工工地的NO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、CO和烃类物质的浓度为其上风向的5.4~6.0倍，其NO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、CO和烃类物质的影响范围在其下风向可达100m，影响范围内NO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、CO和烃类物质的浓度平均值分别为0.216mg/Nm</w:t>
            </w:r>
            <w:r>
              <w:rPr>
                <w:rFonts w:eastAsiaTheme="minorEastAsia"/>
                <w:bCs/>
                <w:color w:val="000000" w:themeColor="text1"/>
                <w:sz w:val="24"/>
                <w:vertAlign w:val="superscript"/>
                <w14:textFill>
                  <w14:solidFill>
                    <w14:schemeClr w14:val="tx1"/>
                  </w14:solidFill>
                </w14:textFill>
              </w:rPr>
              <w:t>3</w:t>
            </w:r>
            <w:r>
              <w:rPr>
                <w:rFonts w:eastAsiaTheme="minorEastAsia"/>
                <w:bCs/>
                <w:color w:val="000000" w:themeColor="text1"/>
                <w:sz w:val="24"/>
                <w14:textFill>
                  <w14:solidFill>
                    <w14:schemeClr w14:val="tx1"/>
                  </w14:solidFill>
                </w14:textFill>
              </w:rPr>
              <w:t>、10.03mg/Nm</w:t>
            </w:r>
            <w:r>
              <w:rPr>
                <w:rFonts w:eastAsiaTheme="minorEastAsia"/>
                <w:bCs/>
                <w:color w:val="000000" w:themeColor="text1"/>
                <w:sz w:val="24"/>
                <w:vertAlign w:val="superscript"/>
                <w14:textFill>
                  <w14:solidFill>
                    <w14:schemeClr w14:val="tx1"/>
                  </w14:solidFill>
                </w14:textFill>
              </w:rPr>
              <w:t>3</w:t>
            </w:r>
            <w:r>
              <w:rPr>
                <w:rFonts w:eastAsiaTheme="minorEastAsia"/>
                <w:bCs/>
                <w:color w:val="000000" w:themeColor="text1"/>
                <w:sz w:val="24"/>
                <w14:textFill>
                  <w14:solidFill>
                    <w14:schemeClr w14:val="tx1"/>
                  </w14:solidFill>
                </w14:textFill>
              </w:rPr>
              <w:t>和1.05mg/Nm</w:t>
            </w:r>
            <w:r>
              <w:rPr>
                <w:rFonts w:eastAsiaTheme="minorEastAsia"/>
                <w:bCs/>
                <w:color w:val="000000" w:themeColor="text1"/>
                <w:sz w:val="24"/>
                <w:vertAlign w:val="superscript"/>
                <w14:textFill>
                  <w14:solidFill>
                    <w14:schemeClr w14:val="tx1"/>
                  </w14:solidFill>
                </w14:textFill>
              </w:rPr>
              <w:t>3</w:t>
            </w:r>
            <w:r>
              <w:rPr>
                <w:rFonts w:eastAsiaTheme="minorEastAsia"/>
                <w:bCs/>
                <w:color w:val="000000" w:themeColor="text1"/>
                <w:sz w:val="24"/>
                <w14:textFill>
                  <w14:solidFill>
                    <w14:schemeClr w14:val="tx1"/>
                  </w14:solidFill>
                </w14:textFill>
              </w:rPr>
              <w:t>。NO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、CO是《环境空气质量标准》（GB 3095-2026）中二级标准的2.2倍和2.5倍，烃类物质不超标（参照2.0mg/Nm</w:t>
            </w:r>
            <w:r>
              <w:rPr>
                <w:rFonts w:eastAsiaTheme="minorEastAsia"/>
                <w:bCs/>
                <w:color w:val="000000" w:themeColor="text1"/>
                <w:sz w:val="24"/>
                <w:vertAlign w:val="superscript"/>
                <w14:textFill>
                  <w14:solidFill>
                    <w14:schemeClr w14:val="tx1"/>
                  </w14:solidFill>
                </w14:textFill>
              </w:rPr>
              <w:t>3</w:t>
            </w:r>
            <w:r>
              <w:rPr>
                <w:rFonts w:eastAsiaTheme="minorEastAsia"/>
                <w:bCs/>
                <w:color w:val="000000" w:themeColor="text1"/>
                <w:sz w:val="24"/>
                <w14:textFill>
                  <w14:solidFill>
                    <w14:schemeClr w14:val="tx1"/>
                  </w14:solidFill>
                </w14:textFill>
              </w:rPr>
              <w:t>）。在施工过程中要加强管理，采取在厂界设置硬质围挡、进行定期洒水降尘以及进行物料覆盖等一系列措施，同等气象条件下，影响距离可缩短30%，即影响范围为70m。</w:t>
            </w:r>
          </w:p>
          <w:p w14:paraId="3AA4CC32">
            <w:pPr>
              <w:pStyle w:val="65"/>
              <w:ind w:firstLine="480"/>
              <w:rPr>
                <w:rFonts w:eastAsiaTheme="minorEastAsia"/>
                <w:color w:val="0000FF"/>
                <w:sz w:val="21"/>
                <w:szCs w:val="21"/>
              </w:rPr>
            </w:pPr>
            <w:r>
              <w:rPr>
                <w:rFonts w:eastAsiaTheme="minorEastAsia"/>
                <w:color w:val="0000FF"/>
              </w:rPr>
              <w:t>本项目施工规模小，施工机械数量少（约3~5台）且为间歇运行，施工车辆进出频次低，施工机械及车辆尾气排放量远小于常规大型建筑施工工地，对周围环境空气的影响范围和程度有限，且随施工结束而消失。</w:t>
            </w:r>
          </w:p>
          <w:p w14:paraId="5F3A6AB6">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可见，施工车辆、机械尾气排放使得NO</w:t>
            </w:r>
            <w:r>
              <w:rPr>
                <w:rFonts w:eastAsiaTheme="minorEastAsia"/>
                <w:bCs/>
                <w:color w:val="000000" w:themeColor="text1"/>
                <w:sz w:val="24"/>
                <w:vertAlign w:val="subscript"/>
                <w14:textFill>
                  <w14:solidFill>
                    <w14:schemeClr w14:val="tx1"/>
                  </w14:solidFill>
                </w14:textFill>
              </w:rPr>
              <w:t>2</w:t>
            </w:r>
            <w:r>
              <w:rPr>
                <w:rFonts w:eastAsiaTheme="minorEastAsia"/>
                <w:bCs/>
                <w:color w:val="000000" w:themeColor="text1"/>
                <w:sz w:val="24"/>
                <w14:textFill>
                  <w14:solidFill>
                    <w14:schemeClr w14:val="tx1"/>
                  </w14:solidFill>
                </w14:textFill>
              </w:rPr>
              <w:t>、CO较现状有所增加，施工车辆、机械尾气排放对周围环境空气影响较现状有所加重。</w:t>
            </w:r>
          </w:p>
          <w:p w14:paraId="5F1CAC12">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鉴于上述情况，在施工过程中施工方应保证施工车辆、机械运行状态的良好。在施工车辆、机械运转状况良好的条件下，产生的上述污染物质浓度较低，不会对环境空气质量产生较明显的影响，并且本项目施工时间较短，施工期结束后施工车辆、机械即停止运转，而且施工地点比较开阔，场地周围有围墙遮挡，因此施工车辆、机械尾气排放对环境的影响仅是暂时性的，对周围环境产生的影响属于可接受范围，不会对当地的环境空气质量带来长久的影响。</w:t>
            </w:r>
          </w:p>
          <w:p w14:paraId="6A021437">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（4）车辆运输抑尘措施</w:t>
            </w:r>
          </w:p>
          <w:p w14:paraId="6CCE6E79">
            <w:pPr>
              <w:adjustRightInd w:val="0"/>
              <w:snapToGrid w:val="0"/>
              <w:spacing w:line="400" w:lineRule="exact"/>
              <w:ind w:firstLine="480"/>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rFonts w:eastAsiaTheme="minorEastAsia"/>
                <w:bCs/>
                <w:color w:val="000000" w:themeColor="text1"/>
                <w:sz w:val="24"/>
                <w14:textFill>
                  <w14:solidFill>
                    <w14:schemeClr w14:val="tx1"/>
                  </w14:solidFill>
                </w14:textFill>
              </w:rPr>
              <w:t>施工道路要硬化，要在工地出口处设置清除运送物料车辆的车轮携带泥土的设备，确保车辆不带泥土驶出工地。尽量减少车辆在雨天出入现场的机会，车辆驶入泥泞场地后，用水清洗；平时注意场地道路的保护，车辆进出泥土路面时，临时铺设承重石方，做到现场道路的畅通、平整、清洁，要指定专人清扫工地路面。在无雨干燥天气，应对施工道路适时洒水，有条件可购置或租用洒水车喷水降尘。</w:t>
            </w:r>
          </w:p>
          <w:p w14:paraId="467118C2">
            <w:pPr>
              <w:adjustRightInd w:val="0"/>
              <w:snapToGrid w:val="0"/>
              <w:spacing w:line="400" w:lineRule="exact"/>
              <w:ind w:firstLine="482"/>
              <w:rPr>
                <w:rFonts w:eastAsiaTheme="minorEastAsia"/>
                <w:bCs/>
                <w:color w:val="0000FF"/>
                <w:sz w:val="24"/>
              </w:rPr>
            </w:pPr>
            <w:r>
              <w:rPr>
                <w:rFonts w:eastAsiaTheme="minorEastAsia"/>
                <w:bCs/>
                <w:color w:val="0000FF"/>
                <w:sz w:val="24"/>
              </w:rPr>
              <w:t>本项目施工场地为宏兴锰矿厂区内，利用厂区现有道路，不新建施工便道。施工区域地面做简单硬化，运输车辆进出厂区现有道路，施工区域出入口处设置简易清扫措施，确保车辆不带泥土驶出。干燥天气对施工区域适时洒水降尘，保持地面湿润。</w:t>
            </w:r>
          </w:p>
          <w:p w14:paraId="7BCFAD9A">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②</w:t>
            </w:r>
            <w:r>
              <w:rPr>
                <w:rFonts w:eastAsiaTheme="minorEastAsia"/>
                <w:bCs/>
                <w:color w:val="000000" w:themeColor="text1"/>
                <w:sz w:val="24"/>
                <w14:textFill>
                  <w14:solidFill>
                    <w14:schemeClr w14:val="tx1"/>
                  </w14:solidFill>
                </w14:textFill>
              </w:rPr>
              <w:t>运输水泥、砂石等时不宜装载过满，同时要采取相应的遮盖、封闭措施（如用苫布），防止物料飘散，避免运输过程产生扬尘。对不慎洒落的沙土和建筑材料，应对地面进行及时清理。</w:t>
            </w:r>
          </w:p>
          <w:p w14:paraId="6943F90F">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③</w:t>
            </w:r>
            <w:r>
              <w:rPr>
                <w:rFonts w:eastAsiaTheme="minorEastAsia"/>
                <w:bCs/>
                <w:color w:val="000000" w:themeColor="text1"/>
                <w:sz w:val="24"/>
                <w14:textFill>
                  <w14:solidFill>
                    <w14:schemeClr w14:val="tx1"/>
                  </w14:solidFill>
                </w14:textFill>
              </w:rPr>
              <w:t>合理安排车辆运输工作，对于施工作业中的大型构件和物资的运输，应尽量避开交通高峰期。</w:t>
            </w:r>
          </w:p>
          <w:p w14:paraId="6FB6A810">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④</w:t>
            </w:r>
            <w:r>
              <w:rPr>
                <w:rFonts w:eastAsiaTheme="minorEastAsia"/>
                <w:bCs/>
                <w:color w:val="000000" w:themeColor="text1"/>
                <w:sz w:val="24"/>
                <w14:textFill>
                  <w14:solidFill>
                    <w14:schemeClr w14:val="tx1"/>
                  </w14:solidFill>
                </w14:textFill>
              </w:rPr>
              <w:t>运输车辆在除泥、冲洗干净后方可驶出作业场所，不得使用空气压缩机等易产生扬尘的设备清理车辆、设备。</w:t>
            </w:r>
          </w:p>
          <w:p w14:paraId="4D5A5211">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（5）其他管理方案</w:t>
            </w:r>
          </w:p>
          <w:p w14:paraId="1D0B3184">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rFonts w:eastAsiaTheme="minorEastAsia"/>
                <w:bCs/>
                <w:color w:val="000000" w:themeColor="text1"/>
                <w:sz w:val="24"/>
                <w14:textFill>
                  <w14:solidFill>
                    <w14:schemeClr w14:val="tx1"/>
                  </w14:solidFill>
                </w14:textFill>
              </w:rPr>
              <w:t>禁止在施工现场焚烧油毡、橡胶、塑料、皮革、树叶、枯草及各种包装皮等以及其它产生有毒、有害烟尘和恶臭气体的物质。</w:t>
            </w:r>
          </w:p>
          <w:p w14:paraId="5177588A">
            <w:pPr>
              <w:pStyle w:val="65"/>
              <w:ind w:firstLine="480"/>
              <w:rPr>
                <w:rFonts w:eastAsiaTheme="minorEastAsia"/>
                <w:color w:val="0000FF"/>
                <w:sz w:val="21"/>
                <w:szCs w:val="21"/>
              </w:rPr>
            </w:pPr>
            <w:r>
              <w:rPr>
                <w:rFonts w:eastAsiaTheme="minorEastAsia"/>
                <w:color w:val="0000FF"/>
              </w:rPr>
              <w:t>本项目施工规模小、施工期短（3个月），施工管理措施在满足上述要求的前提下，可根据实际施工情况适当简化，但不得降低污染防治效果。</w:t>
            </w:r>
          </w:p>
          <w:p w14:paraId="6A8C79D3">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②</w:t>
            </w:r>
            <w:r>
              <w:rPr>
                <w:rFonts w:eastAsiaTheme="minorEastAsia"/>
                <w:bCs/>
                <w:color w:val="000000" w:themeColor="text1"/>
                <w:sz w:val="24"/>
                <w14:textFill>
                  <w14:solidFill>
                    <w14:schemeClr w14:val="tx1"/>
                  </w14:solidFill>
                </w14:textFill>
              </w:rPr>
              <w:t>施工期间，应在物料、垃圾运输车辆的出口内侧设置洗车平台，车辆驶离工地前，应在洗车平台清洗轮胎及车身，不得带泥上路。洗车平台四周应设置废水导流渠、废水收集池、沉砂池及其它防治设施，收集洗车、施工以及降水过程中产生的废水和泥浆，沉淀后的上清液回用，泥沙等沉淀物与建筑垃圾一并处理。</w:t>
            </w:r>
          </w:p>
          <w:p w14:paraId="2A2A8FBC">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③</w:t>
            </w:r>
            <w:r>
              <w:rPr>
                <w:rFonts w:eastAsiaTheme="minorEastAsia"/>
                <w:bCs/>
                <w:color w:val="000000" w:themeColor="text1"/>
                <w:sz w:val="24"/>
                <w14:textFill>
                  <w14:solidFill>
                    <w14:schemeClr w14:val="tx1"/>
                  </w14:solidFill>
                </w14:textFill>
              </w:rPr>
              <w:t>建筑垃圾在48小时内未能清运的，应当在施工工地内设置临时堆放场并采取围挡、遮盖等防尘措施。</w:t>
            </w:r>
          </w:p>
          <w:p w14:paraId="3DD8F158">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④</w:t>
            </w:r>
            <w:r>
              <w:rPr>
                <w:rFonts w:eastAsiaTheme="minorEastAsia"/>
                <w:bCs/>
                <w:color w:val="000000" w:themeColor="text1"/>
                <w:sz w:val="24"/>
                <w14:textFill>
                  <w14:solidFill>
                    <w14:schemeClr w14:val="tx1"/>
                  </w14:solidFill>
                </w14:textFill>
              </w:rPr>
              <w:t>闲置3个月以上的施工工地，应当对其裸露泥地进行临时绿化或者铺装。</w:t>
            </w:r>
          </w:p>
          <w:p w14:paraId="46AF92D6">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⑤</w:t>
            </w:r>
            <w:r>
              <w:rPr>
                <w:rFonts w:eastAsiaTheme="minorEastAsia"/>
                <w:bCs/>
                <w:color w:val="000000" w:themeColor="text1"/>
                <w:sz w:val="24"/>
                <w14:textFill>
                  <w14:solidFill>
                    <w14:schemeClr w14:val="tx1"/>
                  </w14:solidFill>
                </w14:textFill>
              </w:rPr>
              <w:t>在建筑物、构筑物上运送散装物料、建筑垃圾和渣土的，应当采用</w:t>
            </w:r>
            <w:r>
              <w:rPr>
                <w:rFonts w:hint="eastAsia" w:eastAsiaTheme="minorEastAsia"/>
                <w:bCs/>
                <w:color w:val="000000" w:themeColor="text1"/>
                <w:sz w:val="24"/>
                <w14:textFill>
                  <w14:solidFill>
                    <w14:schemeClr w14:val="tx1"/>
                  </w14:solidFill>
                </w14:textFill>
              </w:rPr>
              <w:t>符合要求</w:t>
            </w:r>
            <w:r>
              <w:rPr>
                <w:rFonts w:eastAsiaTheme="minorEastAsia"/>
                <w:bCs/>
                <w:color w:val="000000" w:themeColor="text1"/>
                <w:sz w:val="24"/>
                <w14:textFill>
                  <w14:solidFill>
                    <w14:schemeClr w14:val="tx1"/>
                  </w14:solidFill>
                </w14:textFill>
              </w:rPr>
              <w:t>方式清运，禁止高空抛掷、扬撒。</w:t>
            </w:r>
          </w:p>
          <w:p w14:paraId="58A0FBB9">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此外，施工车辆和施工机械均应燃用无铅的汽、柴油，根据交管部门和环保部门的有关规定，机动车辆应办理尾气排放合格证，经检测合格后方可行驶。在使用过程中，要加强车辆和施工机械的维修保养，保证其运行状态正常稳定。</w:t>
            </w:r>
          </w:p>
          <w:p w14:paraId="32E5DC32">
            <w:pPr>
              <w:adjustRightInd w:val="0"/>
              <w:snapToGrid w:val="0"/>
              <w:spacing w:line="400" w:lineRule="exact"/>
              <w:ind w:firstLine="482"/>
              <w:rPr>
                <w:rFonts w:eastAsiaTheme="minorEastAsia"/>
                <w:bCs/>
                <w:color w:val="000000" w:themeColor="text1"/>
                <w:sz w:val="24"/>
                <w14:textFill>
                  <w14:solidFill>
                    <w14:schemeClr w14:val="tx1"/>
                  </w14:solidFill>
                </w14:textFill>
              </w:rPr>
            </w:pPr>
            <w:r>
              <w:rPr>
                <w:rFonts w:eastAsiaTheme="minorEastAsia"/>
                <w:bCs/>
                <w:color w:val="000000" w:themeColor="text1"/>
                <w:sz w:val="24"/>
                <w14:textFill>
                  <w14:solidFill>
                    <w14:schemeClr w14:val="tx1"/>
                  </w14:solidFill>
                </w14:textFill>
              </w:rPr>
              <w:t>综上所述，建设单位在施工时采取以上措施和对策尽量减少和防止扬尘的产生和扩散。</w:t>
            </w:r>
          </w:p>
          <w:p w14:paraId="373D4AE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2.噪声</w:t>
            </w:r>
          </w:p>
          <w:p w14:paraId="456F202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施工场地多台机械设备同时运转时，会对周围的声环境产生影响，假若在夜间施工，则影响会更大。为减轻施工噪声对周围环境的影响，应在施工阶段尽可能采取有效的减噪措施，本次评价提出以下措施：</w:t>
            </w:r>
          </w:p>
          <w:p w14:paraId="5330BC99">
            <w:pPr>
              <w:pStyle w:val="65"/>
              <w:ind w:firstLine="480"/>
              <w:rPr>
                <w:rFonts w:eastAsiaTheme="minorEastAsia"/>
                <w:color w:val="0000FF"/>
                <w:sz w:val="21"/>
                <w:szCs w:val="21"/>
              </w:rPr>
            </w:pPr>
            <w:r>
              <w:rPr>
                <w:rFonts w:eastAsiaTheme="minorEastAsia"/>
                <w:color w:val="0000FF"/>
              </w:rPr>
              <w:t>根据本项目施工特点，施工噪声源主要为：钢结构安装敲击（源强约85~90dB</w:t>
            </w:r>
            <w:r>
              <w:rPr>
                <w:rFonts w:hint="eastAsia" w:eastAsiaTheme="minorEastAsia"/>
                <w:color w:val="0000FF"/>
              </w:rPr>
              <w:t>（</w:t>
            </w:r>
            <w:r>
              <w:rPr>
                <w:rFonts w:eastAsiaTheme="minorEastAsia"/>
                <w:color w:val="0000FF"/>
              </w:rPr>
              <w:t>A</w:t>
            </w:r>
            <w:r>
              <w:rPr>
                <w:rFonts w:hint="eastAsia" w:eastAsiaTheme="minorEastAsia"/>
                <w:color w:val="0000FF"/>
              </w:rPr>
              <w:t>）</w:t>
            </w:r>
            <w:r>
              <w:rPr>
                <w:rFonts w:eastAsiaTheme="minorEastAsia"/>
                <w:color w:val="0000FF"/>
              </w:rPr>
              <w:t>）、切割机（约90~95dB</w:t>
            </w:r>
            <w:r>
              <w:rPr>
                <w:rFonts w:hint="eastAsia" w:eastAsiaTheme="minorEastAsia"/>
                <w:color w:val="0000FF"/>
              </w:rPr>
              <w:t>（</w:t>
            </w:r>
            <w:r>
              <w:rPr>
                <w:rFonts w:eastAsiaTheme="minorEastAsia"/>
                <w:color w:val="0000FF"/>
              </w:rPr>
              <w:t>A</w:t>
            </w:r>
            <w:r>
              <w:rPr>
                <w:rFonts w:hint="eastAsia" w:eastAsiaTheme="minorEastAsia"/>
                <w:color w:val="0000FF"/>
              </w:rPr>
              <w:t>）</w:t>
            </w:r>
            <w:r>
              <w:rPr>
                <w:rFonts w:eastAsiaTheme="minorEastAsia"/>
                <w:color w:val="0000FF"/>
              </w:rPr>
              <w:t>）、电焊机（约70~75dB</w:t>
            </w:r>
            <w:r>
              <w:rPr>
                <w:rFonts w:hint="eastAsia" w:eastAsiaTheme="minorEastAsia"/>
                <w:color w:val="0000FF"/>
              </w:rPr>
              <w:t>（</w:t>
            </w:r>
            <w:r>
              <w:rPr>
                <w:rFonts w:eastAsiaTheme="minorEastAsia"/>
                <w:color w:val="0000FF"/>
              </w:rPr>
              <w:t>A</w:t>
            </w:r>
            <w:r>
              <w:rPr>
                <w:rFonts w:hint="eastAsia" w:eastAsiaTheme="minorEastAsia"/>
                <w:color w:val="0000FF"/>
              </w:rPr>
              <w:t>）</w:t>
            </w:r>
            <w:r>
              <w:rPr>
                <w:rFonts w:eastAsiaTheme="minorEastAsia"/>
                <w:color w:val="0000FF"/>
              </w:rPr>
              <w:t>）、混凝土振捣器（约80~85dB</w:t>
            </w:r>
            <w:r>
              <w:rPr>
                <w:rFonts w:hint="eastAsia" w:eastAsiaTheme="minorEastAsia"/>
                <w:color w:val="0000FF"/>
              </w:rPr>
              <w:t>（</w:t>
            </w:r>
            <w:r>
              <w:rPr>
                <w:rFonts w:eastAsiaTheme="minorEastAsia"/>
                <w:color w:val="0000FF"/>
              </w:rPr>
              <w:t>A</w:t>
            </w:r>
            <w:r>
              <w:rPr>
                <w:rFonts w:hint="eastAsia" w:eastAsiaTheme="minorEastAsia"/>
                <w:color w:val="0000FF"/>
              </w:rPr>
              <w:t>）</w:t>
            </w:r>
            <w:r>
              <w:rPr>
                <w:rFonts w:eastAsiaTheme="minorEastAsia"/>
                <w:color w:val="0000FF"/>
              </w:rPr>
              <w:t>）及运输车辆（约80~85dB</w:t>
            </w:r>
            <w:r>
              <w:rPr>
                <w:rFonts w:hint="eastAsia" w:eastAsiaTheme="minorEastAsia"/>
                <w:color w:val="0000FF"/>
              </w:rPr>
              <w:t>（</w:t>
            </w:r>
            <w:r>
              <w:rPr>
                <w:rFonts w:eastAsiaTheme="minorEastAsia"/>
                <w:color w:val="0000FF"/>
              </w:rPr>
              <w:t>A</w:t>
            </w:r>
            <w:r>
              <w:rPr>
                <w:rFonts w:hint="eastAsia" w:eastAsiaTheme="minorEastAsia"/>
                <w:color w:val="0000FF"/>
              </w:rPr>
              <w:t>）</w:t>
            </w:r>
            <w:r>
              <w:rPr>
                <w:rFonts w:eastAsiaTheme="minorEastAsia"/>
                <w:color w:val="0000FF"/>
              </w:rPr>
              <w:t>）。上述噪声源具有间歇性和分散性特点，各产噪设备不会长时间同时运转，施工噪声影响主要集中在昼间。</w:t>
            </w:r>
          </w:p>
          <w:p w14:paraId="0FC02A47">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施工场地要设置围挡（或围墙），高度不得小于1.8米，通过对围挡（或围墙）的合理设计，可以最大限度的阻隔噪声的传播，降低噪声量可以达到24dB（A），可以有效地降低施工场地施工机械噪声的向外传播。</w:t>
            </w:r>
          </w:p>
          <w:p w14:paraId="5A22A076">
            <w:pPr>
              <w:pStyle w:val="65"/>
              <w:ind w:firstLine="480"/>
              <w:rPr>
                <w:rFonts w:eastAsiaTheme="minorEastAsia"/>
                <w:color w:val="0000FF"/>
                <w:sz w:val="21"/>
                <w:szCs w:val="21"/>
              </w:rPr>
            </w:pPr>
            <w:r>
              <w:rPr>
                <w:rFonts w:eastAsiaTheme="minorEastAsia"/>
                <w:color w:val="0000FF"/>
              </w:rPr>
              <w:t>针对本项目钢结构安装敲击、切割机切割等主要噪声源，在围挡（围墙）基础上，将切割机、电焊机等固定产噪设备尽量布置在施工场地中部，利用距离衰减降低场界噪声；钢结构敲击作业安排在昼间进行，避免晨间和午休时段高强度敲击作业。</w:t>
            </w:r>
          </w:p>
          <w:p w14:paraId="7D72B15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应合理安排施工时间，制定施工计划，尽可能避免大量高噪声设备同时施工。</w:t>
            </w:r>
          </w:p>
          <w:p w14:paraId="34098A8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有意识地选择低噪声的机械设备；对于开挖和运输土石方的机械设备（挖土机、推土机等）以及翻斗车，可以通过排气消声器和隔离发动机振动部分的方法来降低噪声，其他产生噪声的部分还可以采用部分封闭或者完全封闭的办法，尽量减少振动面的振幅；闲置的机械设备等应该予以关闭或者减速；一切动力机械设备都应该经常检修，特别是对那些会因为部件松动而产生噪声的机械，以及那些降噪部件容易损坏而导致强噪声产生的机械设备；</w:t>
            </w:r>
          </w:p>
          <w:p w14:paraId="6D15357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对交通车辆造成的噪声影响要加强管理，运输车辆尽量采用较低声级的喇叭，另外，还要加强项目区内的交通管制，尽量避免在周围居民休息期间作业。</w:t>
            </w:r>
          </w:p>
          <w:p w14:paraId="61B1D65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3.废水</w:t>
            </w:r>
          </w:p>
          <w:p w14:paraId="7E7806C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施工废水不含特殊的污染因子，因此仅设置沉淀池沉淀后即可回用于场区内路面降尘。</w:t>
            </w:r>
          </w:p>
          <w:p w14:paraId="5DA96F0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施工人员产生的生活污水依托朝阳县瓦房子镇宏兴锰矿化粪池，定期清掏堆肥，不会对周围环境造成影响。</w:t>
            </w:r>
          </w:p>
          <w:p w14:paraId="4814BB34">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4.固体废物</w:t>
            </w:r>
          </w:p>
          <w:p w14:paraId="5E5E900E">
            <w:pPr>
              <w:pStyle w:val="65"/>
              <w:ind w:firstLine="480"/>
              <w:rPr>
                <w:rFonts w:eastAsiaTheme="minorEastAsia"/>
                <w:color w:val="0000FF"/>
                <w:sz w:val="21"/>
                <w:szCs w:val="21"/>
              </w:rPr>
            </w:pPr>
            <w:r>
              <w:rPr>
                <w:rFonts w:eastAsiaTheme="minorEastAsia"/>
                <w:color w:val="0000FF"/>
              </w:rPr>
              <w:t>项目施工期建筑垃圾主要包括钢结构边角料、墙板屋面材料切割边角料、废弃包装材料（塑料膜、纸箱、木托盘）及少量混凝土残渣，产生量约1.0t。</w:t>
            </w:r>
          </w:p>
          <w:p w14:paraId="6CC964F1">
            <w:pPr>
              <w:pStyle w:val="65"/>
              <w:ind w:firstLine="480"/>
              <w:rPr>
                <w:rFonts w:eastAsiaTheme="minorEastAsia"/>
                <w:color w:val="0000FF"/>
              </w:rPr>
            </w:pPr>
            <w:r>
              <w:rPr>
                <w:rFonts w:eastAsiaTheme="minorEastAsia"/>
                <w:color w:val="0000FF"/>
              </w:rPr>
              <w:t>施工人员生活垃圾按0.5kg/人·d计，施工期3个月（90天），施工人数15人，产生量约0.68t。</w:t>
            </w:r>
          </w:p>
          <w:p w14:paraId="0532550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工程完成后，建筑垃圾尽量分类后回收利用，对无利用价值的废弃物送至政府指定地点堆存。生活垃圾设置临时垃圾箱（筒）进行收集，定期送至政府指定垃圾点统一处理。</w:t>
            </w:r>
          </w:p>
          <w:p w14:paraId="76F5DC50">
            <w:pPr>
              <w:pStyle w:val="65"/>
              <w:ind w:firstLine="480"/>
              <w:rPr>
                <w:rFonts w:eastAsiaTheme="minorEastAsia"/>
                <w:color w:val="0000FF"/>
                <w:sz w:val="21"/>
                <w:szCs w:val="21"/>
              </w:rPr>
            </w:pPr>
            <w:r>
              <w:rPr>
                <w:rFonts w:eastAsiaTheme="minorEastAsia"/>
                <w:color w:val="0000FF"/>
              </w:rPr>
              <w:t>本项目建筑垃圾中钢结构边角料、废弃包装木材等可回收部分外售废品回收站，混凝土残渣、墙板边角料等不可回收部分运至政府指定地点堆存，不得随意丢弃。</w:t>
            </w:r>
          </w:p>
          <w:p w14:paraId="5111EE4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5.生态</w:t>
            </w:r>
          </w:p>
          <w:p w14:paraId="37EF3ED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位于辽宁省朝阳市朝阳县瓦房子镇上三家子村（朝阳县瓦房子镇宏兴锰矿厂区内），不新增工业用地，占地均位于朝阳县瓦房子镇工业园区内。占地范围不涉及特殊生态敏感区、重要生态敏感区、珍稀物种、制约本区域可持续发展的生态问题等生态敏感因素，不涉及生态环境保护目标。</w:t>
            </w:r>
          </w:p>
          <w:p w14:paraId="704B5DA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施工期生态环境影响主要来源于施工期间对周边植被及生态的影响。本项目租用朝阳县瓦房子镇宏兴锰矿场地，产生的影响很小，采取的措施主要为：</w:t>
            </w:r>
          </w:p>
          <w:p w14:paraId="1655BB4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设备安装及厂内运输道路洒水抑尘，加强施工管理。</w:t>
            </w:r>
          </w:p>
          <w:p w14:paraId="71FF196A">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在施工过程中，运输车辆不随意压占、扰动和破坏地表植被。</w:t>
            </w:r>
          </w:p>
          <w:p w14:paraId="627EEA4C">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6.小结</w:t>
            </w:r>
          </w:p>
          <w:p w14:paraId="39EF49F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项目施工期经采取相应的污染防治措施后可减少废气、废水、噪声、固体废物污染，施工期对环境的影响是短期暂时的，在施工结束后将消失。</w:t>
            </w:r>
          </w:p>
          <w:p w14:paraId="2BF45E58">
            <w:pPr>
              <w:pStyle w:val="65"/>
              <w:ind w:firstLine="480"/>
              <w:rPr>
                <w:rFonts w:eastAsiaTheme="minorEastAsia"/>
                <w:color w:val="000000" w:themeColor="text1"/>
                <w14:textFill>
                  <w14:solidFill>
                    <w14:schemeClr w14:val="tx1"/>
                  </w14:solidFill>
                </w14:textFill>
              </w:rPr>
            </w:pPr>
          </w:p>
          <w:p w14:paraId="58D42DDC">
            <w:pPr>
              <w:pStyle w:val="65"/>
              <w:ind w:firstLine="480"/>
              <w:rPr>
                <w:rFonts w:eastAsiaTheme="minorEastAsia"/>
                <w:color w:val="000000" w:themeColor="text1"/>
                <w14:textFill>
                  <w14:solidFill>
                    <w14:schemeClr w14:val="tx1"/>
                  </w14:solidFill>
                </w14:textFill>
              </w:rPr>
            </w:pPr>
          </w:p>
          <w:p w14:paraId="5EF02D3B">
            <w:pPr>
              <w:pStyle w:val="65"/>
              <w:ind w:firstLine="480"/>
              <w:rPr>
                <w:rFonts w:eastAsiaTheme="minorEastAsia"/>
                <w:color w:val="000000" w:themeColor="text1"/>
                <w14:textFill>
                  <w14:solidFill>
                    <w14:schemeClr w14:val="tx1"/>
                  </w14:solidFill>
                </w14:textFill>
              </w:rPr>
            </w:pPr>
          </w:p>
          <w:p w14:paraId="3F04283F">
            <w:pPr>
              <w:pStyle w:val="65"/>
              <w:ind w:firstLine="480"/>
              <w:rPr>
                <w:rFonts w:eastAsiaTheme="minorEastAsia"/>
                <w:color w:val="000000" w:themeColor="text1"/>
                <w14:textFill>
                  <w14:solidFill>
                    <w14:schemeClr w14:val="tx1"/>
                  </w14:solidFill>
                </w14:textFill>
              </w:rPr>
            </w:pPr>
          </w:p>
        </w:tc>
      </w:tr>
      <w:tr w14:paraId="3A593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73" w:hRule="atLeast"/>
          <w:jc w:val="center"/>
        </w:trPr>
        <w:tc>
          <w:tcPr>
            <w:tcW w:w="319" w:type="dxa"/>
            <w:tcBorders>
              <w:top w:val="single" w:color="auto" w:sz="4" w:space="0"/>
              <w:left w:val="single" w:color="auto" w:sz="8" w:space="0"/>
              <w:bottom w:val="single" w:color="auto" w:sz="8" w:space="0"/>
              <w:right w:val="single" w:color="auto" w:sz="4" w:space="0"/>
            </w:tcBorders>
            <w:tcMar>
              <w:top w:w="0" w:type="dxa"/>
              <w:left w:w="28" w:type="dxa"/>
              <w:bottom w:w="0" w:type="dxa"/>
              <w:right w:w="28" w:type="dxa"/>
            </w:tcMar>
            <w:vAlign w:val="center"/>
          </w:tcPr>
          <w:p w14:paraId="21D5C01A">
            <w:pPr>
              <w:pStyle w:val="129"/>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14:textFill>
                  <w14:solidFill>
                    <w14:schemeClr w14:val="tx1"/>
                  </w14:solidFill>
                </w14:textFill>
              </w:rPr>
              <w:t>运营</w:t>
            </w:r>
          </w:p>
          <w:p w14:paraId="20377013">
            <w:pPr>
              <w:pStyle w:val="129"/>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14:textFill>
                  <w14:solidFill>
                    <w14:schemeClr w14:val="tx1"/>
                  </w14:solidFill>
                </w14:textFill>
              </w:rPr>
              <w:t>期环</w:t>
            </w:r>
          </w:p>
          <w:p w14:paraId="09D35F73">
            <w:pPr>
              <w:pStyle w:val="129"/>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14:textFill>
                  <w14:solidFill>
                    <w14:schemeClr w14:val="tx1"/>
                  </w14:solidFill>
                </w14:textFill>
              </w:rPr>
              <w:t>境影</w:t>
            </w:r>
          </w:p>
          <w:p w14:paraId="0D016A64">
            <w:pPr>
              <w:pStyle w:val="129"/>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14:textFill>
                  <w14:solidFill>
                    <w14:schemeClr w14:val="tx1"/>
                  </w14:solidFill>
                </w14:textFill>
              </w:rPr>
              <w:t>响和</w:t>
            </w:r>
          </w:p>
          <w:p w14:paraId="0A5B26DE">
            <w:pPr>
              <w:pStyle w:val="129"/>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14:textFill>
                  <w14:solidFill>
                    <w14:schemeClr w14:val="tx1"/>
                  </w14:solidFill>
                </w14:textFill>
              </w:rPr>
              <w:t>保护</w:t>
            </w:r>
          </w:p>
          <w:p w14:paraId="65EED063">
            <w:pPr>
              <w:pStyle w:val="129"/>
              <w:rPr>
                <w:rFonts w:eastAsiaTheme="minorEastAsia"/>
                <w:bCs/>
                <w:color w:val="000000" w:themeColor="text1"/>
                <w14:textFill>
                  <w14:solidFill>
                    <w14:schemeClr w14:val="tx1"/>
                  </w14:solidFill>
                </w14:textFill>
              </w:rPr>
            </w:pPr>
            <w:r>
              <w:rPr>
                <w:rFonts w:eastAsiaTheme="minorEastAsia"/>
                <w:bCs/>
                <w:color w:val="000000" w:themeColor="text1"/>
                <w:sz w:val="24"/>
                <w:szCs w:val="24"/>
                <w14:textFill>
                  <w14:solidFill>
                    <w14:schemeClr w14:val="tx1"/>
                  </w14:solidFill>
                </w14:textFill>
              </w:rPr>
              <w:t>措施</w:t>
            </w:r>
          </w:p>
        </w:tc>
        <w:tc>
          <w:tcPr>
            <w:tcW w:w="8662" w:type="dxa"/>
            <w:tcBorders>
              <w:top w:val="single" w:color="auto" w:sz="4" w:space="0"/>
              <w:left w:val="single" w:color="auto" w:sz="4" w:space="0"/>
              <w:bottom w:val="single" w:color="auto" w:sz="8" w:space="0"/>
              <w:right w:val="single" w:color="auto" w:sz="8" w:space="0"/>
            </w:tcBorders>
          </w:tcPr>
          <w:p w14:paraId="15BD5995">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一、废气</w:t>
            </w:r>
          </w:p>
          <w:p w14:paraId="1C22670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1.主要污染源强及源强核算</w:t>
            </w:r>
          </w:p>
          <w:p w14:paraId="6ED70600">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（1）原料入库及储存废气G1</w:t>
            </w:r>
          </w:p>
          <w:p w14:paraId="4A0E306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工业源-附表2工业源固体物料堆场颗粒物核算系数手册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可知，物料在贮存过程中产生的颗粒物，包括装卸扬尘和风蚀扬尘，颗粒物产生量计算公式如下：</w:t>
            </w:r>
          </w:p>
          <w:p w14:paraId="1D62AED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P=ZCy+FCy=[Nc×D×（a/b）+2×E</w:t>
            </w:r>
            <w:r>
              <w:rPr>
                <w:rFonts w:eastAsiaTheme="minorEastAsia"/>
                <w:color w:val="000000" w:themeColor="text1"/>
                <w:vertAlign w:val="subscript"/>
                <w14:textFill>
                  <w14:solidFill>
                    <w14:schemeClr w14:val="tx1"/>
                  </w14:solidFill>
                </w14:textFill>
              </w:rPr>
              <w:t>f</w:t>
            </w:r>
            <w:r>
              <w:rPr>
                <w:rFonts w:eastAsiaTheme="minorEastAsia"/>
                <w:color w:val="000000" w:themeColor="text1"/>
                <w14:textFill>
                  <w14:solidFill>
                    <w14:schemeClr w14:val="tx1"/>
                  </w14:solidFill>
                </w14:textFill>
              </w:rPr>
              <w:t>×S]×10</w:t>
            </w:r>
            <w:r>
              <w:rPr>
                <w:rFonts w:eastAsiaTheme="minorEastAsia"/>
                <w:color w:val="000000" w:themeColor="text1"/>
                <w:vertAlign w:val="superscript"/>
                <w14:textFill>
                  <w14:solidFill>
                    <w14:schemeClr w14:val="tx1"/>
                  </w14:solidFill>
                </w14:textFill>
              </w:rPr>
              <w:t>-3</w:t>
            </w:r>
          </w:p>
          <w:p w14:paraId="6DD93687">
            <w:pPr>
              <w:pStyle w:val="65"/>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w:t>
            </w:r>
          </w:p>
          <w:p w14:paraId="410DD87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P——颗粒物产生量（单位：吨）</w:t>
            </w:r>
          </w:p>
          <w:p w14:paraId="4B3758E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ZCy—装卸扬尘产生量（单位：吨）；</w:t>
            </w:r>
          </w:p>
          <w:p w14:paraId="255B5F4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FCy—风蚀扬尘产生量（单位：吨）；</w:t>
            </w:r>
          </w:p>
          <w:p w14:paraId="3D63F9B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Nc—年物料运载车次（单位：车）；</w:t>
            </w:r>
          </w:p>
          <w:p w14:paraId="3F6EEAA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D—单车平均运载量（单位：吨/车）；</w:t>
            </w:r>
          </w:p>
          <w:p w14:paraId="1D2C92A3">
            <w:pPr>
              <w:pStyle w:val="65"/>
              <w:ind w:firstLine="480"/>
              <w:rPr>
                <w:rFonts w:eastAsiaTheme="minorEastAsia"/>
                <w:color w:val="0000FF"/>
              </w:rPr>
            </w:pPr>
            <w:r>
              <w:rPr>
                <w:rFonts w:eastAsiaTheme="minorEastAsia"/>
                <w:color w:val="000000" w:themeColor="text1"/>
                <w14:textFill>
                  <w14:solidFill>
                    <w14:schemeClr w14:val="tx1"/>
                  </w14:solidFill>
                </w14:textFill>
              </w:rPr>
              <w:t>（a/b）——装卸扬尘概化系数（单位：千克/吨），根据《排放源统计调查产排污核算方法和系数手册》）中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工业源-附表2 工业源固体物料堆场颗粒物核算系数手册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中a——指各省风速概化系数，见附录1可知辽宁省为2.59m/s，a=0.0015，b——指物料含水率概化系数，本项目一般固体废物原料（锰矿石废料）按照附录2各类型堆场含水率概化系数中17炉渣取值b=0.0005，</w:t>
            </w:r>
            <w:r>
              <w:rPr>
                <w:rFonts w:eastAsiaTheme="minorEastAsia"/>
                <w:color w:val="0000FF"/>
              </w:rPr>
              <w:t>膨润土按照附录2各类型堆场含水率概化系数中16表土取值b=0.0151；</w:t>
            </w:r>
          </w:p>
          <w:p w14:paraId="520230C2">
            <w:pPr>
              <w:pStyle w:val="65"/>
              <w:ind w:firstLine="480"/>
              <w:rPr>
                <w:rFonts w:eastAsiaTheme="minorEastAsia"/>
                <w:color w:val="0000FF"/>
              </w:rPr>
            </w:pPr>
            <w:r>
              <w:rPr>
                <w:rFonts w:eastAsiaTheme="minorEastAsia"/>
                <w:color w:val="000000" w:themeColor="text1"/>
                <w14:textFill>
                  <w14:solidFill>
                    <w14:schemeClr w14:val="tx1"/>
                  </w14:solidFill>
                </w14:textFill>
              </w:rPr>
              <w:t>Ef——风蚀扬尘概化系数（千克/平方米）；本项目原料锰矿石废料符合附录3风蚀概化系数中17炉渣，Ef=46.1652，</w:t>
            </w:r>
            <w:r>
              <w:rPr>
                <w:rFonts w:eastAsiaTheme="minorEastAsia"/>
                <w:color w:val="0000FF"/>
              </w:rPr>
              <w:t>原料膨润土符合附录3风蚀概化系数中16表土，Ef=41.5808；</w:t>
            </w:r>
          </w:p>
          <w:p w14:paraId="39156F7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S——堆场占地面积（单位：平方米）；本项目原料库面积为250平方米，</w:t>
            </w:r>
          </w:p>
          <w:p w14:paraId="06633FF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本项目原料年用量为锰矿石废料（朝阳县瓦房子镇宏兴锰矿30000t/a，葫芦岛市八家子经济开发区安胜矿产品综合利用有限公司10000t/a，辽宁鑫方成新材料有限公司10000t/a），膨润土1500t/a，合计51500t/a。</w:t>
            </w:r>
          </w:p>
          <w:p w14:paraId="289AB97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经计算本项目原料锰矿石废料的颗粒物产生量为</w:t>
            </w:r>
            <w:r>
              <w:rPr>
                <w:rFonts w:eastAsiaTheme="minorEastAsia"/>
                <w:color w:val="0000FF"/>
              </w:rPr>
              <w:t>163.8496t/a，膨润土的颗粒物产生量为0.1614t/a，合计164.011t/a。</w:t>
            </w:r>
          </w:p>
          <w:p w14:paraId="52CA851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工业企业固体物料堆场颗粒物排放量核算公式如下：</w:t>
            </w:r>
          </w:p>
          <w:p w14:paraId="3E60A24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U</w:t>
            </w:r>
            <w:r>
              <w:rPr>
                <w:rFonts w:eastAsiaTheme="minorEastAsia"/>
                <w:color w:val="000000" w:themeColor="text1"/>
                <w:vertAlign w:val="subscript"/>
                <w14:textFill>
                  <w14:solidFill>
                    <w14:schemeClr w14:val="tx1"/>
                  </w14:solidFill>
                </w14:textFill>
              </w:rPr>
              <w:t>c</w:t>
            </w:r>
            <w:r>
              <w:rPr>
                <w:rFonts w:eastAsiaTheme="minorEastAsia"/>
                <w:color w:val="000000" w:themeColor="text1"/>
                <w14:textFill>
                  <w14:solidFill>
                    <w14:schemeClr w14:val="tx1"/>
                  </w14:solidFill>
                </w14:textFill>
              </w:rPr>
              <w:t>=P×（1-C</w:t>
            </w:r>
            <w:r>
              <w:rPr>
                <w:rFonts w:eastAsiaTheme="minorEastAsia"/>
                <w:color w:val="000000" w:themeColor="text1"/>
                <w:vertAlign w:val="subscript"/>
                <w14:textFill>
                  <w14:solidFill>
                    <w14:schemeClr w14:val="tx1"/>
                  </w14:solidFill>
                </w14:textFill>
              </w:rPr>
              <w:t>m</w:t>
            </w:r>
            <w:r>
              <w:rPr>
                <w:rFonts w:eastAsiaTheme="minorEastAsia"/>
                <w:color w:val="000000" w:themeColor="text1"/>
                <w14:textFill>
                  <w14:solidFill>
                    <w14:schemeClr w14:val="tx1"/>
                  </w14:solidFill>
                </w14:textFill>
              </w:rPr>
              <w:t>）×（1-T</w:t>
            </w:r>
            <w:r>
              <w:rPr>
                <w:rFonts w:eastAsiaTheme="minorEastAsia"/>
                <w:color w:val="000000" w:themeColor="text1"/>
                <w:vertAlign w:val="subscript"/>
                <w14:textFill>
                  <w14:solidFill>
                    <w14:schemeClr w14:val="tx1"/>
                  </w14:solidFill>
                </w14:textFill>
              </w:rPr>
              <w:t>m</w:t>
            </w:r>
            <w:r>
              <w:rPr>
                <w:rFonts w:eastAsiaTheme="minorEastAsia"/>
                <w:color w:val="000000" w:themeColor="text1"/>
                <w14:textFill>
                  <w14:solidFill>
                    <w14:schemeClr w14:val="tx1"/>
                  </w14:solidFill>
                </w14:textFill>
              </w:rPr>
              <w:t>）</w:t>
            </w:r>
          </w:p>
          <w:p w14:paraId="1C3ED00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式中：P——指颗粒物产生量（单位：吨）；</w:t>
            </w:r>
          </w:p>
          <w:p w14:paraId="30C003B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U</w:t>
            </w:r>
            <w:r>
              <w:rPr>
                <w:rFonts w:eastAsiaTheme="minorEastAsia"/>
                <w:color w:val="000000" w:themeColor="text1"/>
                <w:vertAlign w:val="subscript"/>
                <w14:textFill>
                  <w14:solidFill>
                    <w14:schemeClr w14:val="tx1"/>
                  </w14:solidFill>
                </w14:textFill>
              </w:rPr>
              <w:t>c</w:t>
            </w:r>
            <w:r>
              <w:rPr>
                <w:rFonts w:eastAsiaTheme="minorEastAsia"/>
                <w:color w:val="000000" w:themeColor="text1"/>
                <w14:textFill>
                  <w14:solidFill>
                    <w14:schemeClr w14:val="tx1"/>
                  </w14:solidFill>
                </w14:textFill>
              </w:rPr>
              <w:t>—指颗粒物排放量（单位：吨）；</w:t>
            </w:r>
          </w:p>
          <w:p w14:paraId="515AAB5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w:t>
            </w:r>
            <w:r>
              <w:rPr>
                <w:rFonts w:eastAsiaTheme="minorEastAsia"/>
                <w:color w:val="000000" w:themeColor="text1"/>
                <w:vertAlign w:val="subscript"/>
                <w14:textFill>
                  <w14:solidFill>
                    <w14:schemeClr w14:val="tx1"/>
                  </w14:solidFill>
                </w14:textFill>
              </w:rPr>
              <w:t>m</w:t>
            </w:r>
            <w:r>
              <w:rPr>
                <w:rFonts w:eastAsiaTheme="minorEastAsia"/>
                <w:color w:val="000000" w:themeColor="text1"/>
                <w14:textFill>
                  <w14:solidFill>
                    <w14:schemeClr w14:val="tx1"/>
                  </w14:solidFill>
                </w14:textFill>
              </w:rPr>
              <w:t>—指颗粒物控制措施控制效率（单位：%），见下表；</w:t>
            </w:r>
          </w:p>
          <w:p w14:paraId="1E6CF79D">
            <w:pPr>
              <w:pStyle w:val="65"/>
              <w:ind w:firstLine="480"/>
              <w:rPr>
                <w:rFonts w:eastAsiaTheme="minorEastAsia"/>
                <w:color w:val="000000" w:themeColor="text1"/>
                <w14:textFill>
                  <w14:solidFill>
                    <w14:schemeClr w14:val="tx1"/>
                  </w14:solidFill>
                </w14:textFill>
              </w:rPr>
            </w:pPr>
          </w:p>
          <w:p w14:paraId="5563F9EE">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表4-1颗粒物控制措施控制效率表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4"/>
              <w:gridCol w:w="3827"/>
              <w:gridCol w:w="3651"/>
            </w:tblGrid>
            <w:tr w14:paraId="4FA9166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trHeight w:val="415" w:hRule="atLeast"/>
                <w:jc w:val="center"/>
              </w:trPr>
              <w:tc>
                <w:tcPr>
                  <w:tcW w:w="884" w:type="dxa"/>
                  <w:tcBorders>
                    <w:top w:val="double" w:color="auto" w:sz="2" w:space="0"/>
                    <w:left w:val="nil"/>
                    <w:bottom w:val="single" w:color="auto" w:sz="4" w:space="0"/>
                    <w:right w:val="single" w:color="auto" w:sz="4" w:space="0"/>
                  </w:tcBorders>
                  <w:vAlign w:val="center"/>
                </w:tcPr>
                <w:p w14:paraId="77780CA1">
                  <w:pPr>
                    <w:pStyle w:val="48"/>
                  </w:pPr>
                  <w:r>
                    <w:t>序号</w:t>
                  </w:r>
                </w:p>
              </w:tc>
              <w:tc>
                <w:tcPr>
                  <w:tcW w:w="3827" w:type="dxa"/>
                  <w:tcBorders>
                    <w:top w:val="double" w:color="auto" w:sz="2" w:space="0"/>
                    <w:left w:val="single" w:color="auto" w:sz="4" w:space="0"/>
                    <w:bottom w:val="single" w:color="auto" w:sz="4" w:space="0"/>
                    <w:right w:val="single" w:color="auto" w:sz="4" w:space="0"/>
                  </w:tcBorders>
                  <w:vAlign w:val="center"/>
                </w:tcPr>
                <w:p w14:paraId="53896F47">
                  <w:pPr>
                    <w:pStyle w:val="48"/>
                  </w:pPr>
                  <w:r>
                    <w:t>控制措施</w:t>
                  </w:r>
                </w:p>
              </w:tc>
              <w:tc>
                <w:tcPr>
                  <w:tcW w:w="3651" w:type="dxa"/>
                  <w:tcBorders>
                    <w:top w:val="double" w:color="auto" w:sz="2" w:space="0"/>
                    <w:left w:val="single" w:color="auto" w:sz="4" w:space="0"/>
                    <w:bottom w:val="single" w:color="auto" w:sz="4" w:space="0"/>
                    <w:right w:val="nil"/>
                  </w:tcBorders>
                  <w:vAlign w:val="center"/>
                </w:tcPr>
                <w:p w14:paraId="5A7EDB1F">
                  <w:pPr>
                    <w:pStyle w:val="48"/>
                  </w:pPr>
                  <w:r>
                    <w:t>控制效率</w:t>
                  </w:r>
                </w:p>
              </w:tc>
            </w:tr>
            <w:tr w14:paraId="4E02A9E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84" w:type="dxa"/>
                  <w:tcBorders>
                    <w:top w:val="single" w:color="auto" w:sz="4" w:space="0"/>
                    <w:left w:val="nil"/>
                    <w:bottom w:val="single" w:color="auto" w:sz="4" w:space="0"/>
                    <w:right w:val="single" w:color="auto" w:sz="4" w:space="0"/>
                  </w:tcBorders>
                  <w:vAlign w:val="center"/>
                </w:tcPr>
                <w:p w14:paraId="24CDDEC4">
                  <w:pPr>
                    <w:pStyle w:val="48"/>
                  </w:pPr>
                  <w:r>
                    <w:t>1</w:t>
                  </w:r>
                </w:p>
              </w:tc>
              <w:tc>
                <w:tcPr>
                  <w:tcW w:w="3827" w:type="dxa"/>
                  <w:tcBorders>
                    <w:top w:val="single" w:color="auto" w:sz="4" w:space="0"/>
                    <w:left w:val="single" w:color="auto" w:sz="4" w:space="0"/>
                    <w:bottom w:val="single" w:color="auto" w:sz="4" w:space="0"/>
                    <w:right w:val="single" w:color="auto" w:sz="4" w:space="0"/>
                  </w:tcBorders>
                  <w:vAlign w:val="center"/>
                </w:tcPr>
                <w:p w14:paraId="08E7BB28">
                  <w:pPr>
                    <w:pStyle w:val="48"/>
                  </w:pPr>
                  <w:r>
                    <w:t>洒水</w:t>
                  </w:r>
                </w:p>
              </w:tc>
              <w:tc>
                <w:tcPr>
                  <w:tcW w:w="3651" w:type="dxa"/>
                  <w:tcBorders>
                    <w:top w:val="single" w:color="auto" w:sz="4" w:space="0"/>
                    <w:left w:val="single" w:color="auto" w:sz="4" w:space="0"/>
                    <w:bottom w:val="single" w:color="auto" w:sz="4" w:space="0"/>
                    <w:right w:val="nil"/>
                  </w:tcBorders>
                  <w:vAlign w:val="center"/>
                </w:tcPr>
                <w:p w14:paraId="3D03989E">
                  <w:pPr>
                    <w:pStyle w:val="48"/>
                  </w:pPr>
                  <w:r>
                    <w:t>74%</w:t>
                  </w:r>
                </w:p>
              </w:tc>
            </w:tr>
            <w:tr w14:paraId="4894365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84" w:type="dxa"/>
                  <w:tcBorders>
                    <w:top w:val="single" w:color="auto" w:sz="4" w:space="0"/>
                    <w:left w:val="nil"/>
                    <w:bottom w:val="single" w:color="auto" w:sz="4" w:space="0"/>
                    <w:right w:val="single" w:color="auto" w:sz="4" w:space="0"/>
                  </w:tcBorders>
                  <w:vAlign w:val="center"/>
                </w:tcPr>
                <w:p w14:paraId="573C1DB0">
                  <w:pPr>
                    <w:pStyle w:val="48"/>
                  </w:pPr>
                  <w:r>
                    <w:t>2</w:t>
                  </w:r>
                </w:p>
              </w:tc>
              <w:tc>
                <w:tcPr>
                  <w:tcW w:w="3827" w:type="dxa"/>
                  <w:tcBorders>
                    <w:top w:val="single" w:color="auto" w:sz="4" w:space="0"/>
                    <w:left w:val="single" w:color="auto" w:sz="4" w:space="0"/>
                    <w:bottom w:val="single" w:color="auto" w:sz="4" w:space="0"/>
                    <w:right w:val="single" w:color="auto" w:sz="4" w:space="0"/>
                  </w:tcBorders>
                  <w:vAlign w:val="center"/>
                </w:tcPr>
                <w:p w14:paraId="384BD9EE">
                  <w:pPr>
                    <w:pStyle w:val="48"/>
                  </w:pPr>
                  <w:r>
                    <w:t>围挡</w:t>
                  </w:r>
                </w:p>
              </w:tc>
              <w:tc>
                <w:tcPr>
                  <w:tcW w:w="3651" w:type="dxa"/>
                  <w:tcBorders>
                    <w:top w:val="single" w:color="auto" w:sz="4" w:space="0"/>
                    <w:left w:val="single" w:color="auto" w:sz="4" w:space="0"/>
                    <w:bottom w:val="single" w:color="auto" w:sz="4" w:space="0"/>
                    <w:right w:val="nil"/>
                  </w:tcBorders>
                  <w:vAlign w:val="center"/>
                </w:tcPr>
                <w:p w14:paraId="50F45601">
                  <w:pPr>
                    <w:pStyle w:val="48"/>
                  </w:pPr>
                  <w:r>
                    <w:t>60%</w:t>
                  </w:r>
                </w:p>
              </w:tc>
            </w:tr>
            <w:tr w14:paraId="0EE9AD7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84" w:type="dxa"/>
                  <w:tcBorders>
                    <w:top w:val="single" w:color="auto" w:sz="4" w:space="0"/>
                    <w:left w:val="nil"/>
                    <w:bottom w:val="single" w:color="auto" w:sz="4" w:space="0"/>
                    <w:right w:val="single" w:color="auto" w:sz="4" w:space="0"/>
                  </w:tcBorders>
                  <w:vAlign w:val="center"/>
                </w:tcPr>
                <w:p w14:paraId="78F55023">
                  <w:pPr>
                    <w:pStyle w:val="48"/>
                  </w:pPr>
                  <w:r>
                    <w:t>3</w:t>
                  </w:r>
                </w:p>
              </w:tc>
              <w:tc>
                <w:tcPr>
                  <w:tcW w:w="3827" w:type="dxa"/>
                  <w:tcBorders>
                    <w:top w:val="single" w:color="auto" w:sz="4" w:space="0"/>
                    <w:left w:val="single" w:color="auto" w:sz="4" w:space="0"/>
                    <w:bottom w:val="single" w:color="auto" w:sz="4" w:space="0"/>
                    <w:right w:val="single" w:color="auto" w:sz="4" w:space="0"/>
                  </w:tcBorders>
                  <w:vAlign w:val="center"/>
                </w:tcPr>
                <w:p w14:paraId="7610592E">
                  <w:pPr>
                    <w:pStyle w:val="48"/>
                  </w:pPr>
                  <w:r>
                    <w:t>化学剂</w:t>
                  </w:r>
                </w:p>
              </w:tc>
              <w:tc>
                <w:tcPr>
                  <w:tcW w:w="3651" w:type="dxa"/>
                  <w:tcBorders>
                    <w:top w:val="single" w:color="auto" w:sz="4" w:space="0"/>
                    <w:left w:val="single" w:color="auto" w:sz="4" w:space="0"/>
                    <w:bottom w:val="single" w:color="auto" w:sz="4" w:space="0"/>
                    <w:right w:val="nil"/>
                  </w:tcBorders>
                  <w:vAlign w:val="center"/>
                </w:tcPr>
                <w:p w14:paraId="6C3A2D53">
                  <w:pPr>
                    <w:pStyle w:val="48"/>
                  </w:pPr>
                  <w:r>
                    <w:t>88%</w:t>
                  </w:r>
                </w:p>
              </w:tc>
            </w:tr>
            <w:tr w14:paraId="1FA8A9E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84" w:type="dxa"/>
                  <w:tcBorders>
                    <w:top w:val="single" w:color="auto" w:sz="4" w:space="0"/>
                    <w:left w:val="nil"/>
                    <w:bottom w:val="double" w:color="auto" w:sz="2" w:space="0"/>
                    <w:right w:val="single" w:color="auto" w:sz="4" w:space="0"/>
                  </w:tcBorders>
                  <w:vAlign w:val="center"/>
                </w:tcPr>
                <w:p w14:paraId="35B129EA">
                  <w:pPr>
                    <w:pStyle w:val="48"/>
                  </w:pPr>
                  <w:r>
                    <w:t>4</w:t>
                  </w:r>
                </w:p>
              </w:tc>
              <w:tc>
                <w:tcPr>
                  <w:tcW w:w="3827" w:type="dxa"/>
                  <w:tcBorders>
                    <w:top w:val="single" w:color="auto" w:sz="4" w:space="0"/>
                    <w:left w:val="single" w:color="auto" w:sz="4" w:space="0"/>
                    <w:bottom w:val="double" w:color="auto" w:sz="2" w:space="0"/>
                    <w:right w:val="single" w:color="auto" w:sz="4" w:space="0"/>
                  </w:tcBorders>
                  <w:vAlign w:val="center"/>
                </w:tcPr>
                <w:p w14:paraId="68A1D4DD">
                  <w:pPr>
                    <w:pStyle w:val="48"/>
                  </w:pPr>
                  <w:r>
                    <w:t>编织覆盖</w:t>
                  </w:r>
                </w:p>
              </w:tc>
              <w:tc>
                <w:tcPr>
                  <w:tcW w:w="3651" w:type="dxa"/>
                  <w:tcBorders>
                    <w:top w:val="single" w:color="auto" w:sz="4" w:space="0"/>
                    <w:left w:val="single" w:color="auto" w:sz="4" w:space="0"/>
                    <w:bottom w:val="double" w:color="auto" w:sz="2" w:space="0"/>
                    <w:right w:val="nil"/>
                  </w:tcBorders>
                  <w:vAlign w:val="center"/>
                </w:tcPr>
                <w:p w14:paraId="237020D7">
                  <w:pPr>
                    <w:pStyle w:val="48"/>
                  </w:pPr>
                  <w:r>
                    <w:t>86%</w:t>
                  </w:r>
                </w:p>
              </w:tc>
            </w:tr>
          </w:tbl>
          <w:p w14:paraId="248BD06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本项目堆场设置封闭原料库，定时洒水抑尘。</w:t>
            </w:r>
          </w:p>
          <w:p w14:paraId="22C7AB9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总控制效率约为74%。</w:t>
            </w:r>
          </w:p>
          <w:p w14:paraId="610E3FA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Tm——指堆场类型控制效率（单位：%），见下表；</w:t>
            </w:r>
          </w:p>
          <w:p w14:paraId="7AABEEC8">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表4-2堆场类型控制效率表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3232"/>
              <w:gridCol w:w="2906"/>
            </w:tblGrid>
            <w:tr w14:paraId="17DB3B2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00" w:type="dxa"/>
                  <w:tcBorders>
                    <w:top w:val="double" w:color="auto" w:sz="2" w:space="0"/>
                    <w:left w:val="nil"/>
                    <w:bottom w:val="single" w:color="auto" w:sz="4" w:space="0"/>
                    <w:right w:val="single" w:color="auto" w:sz="4" w:space="0"/>
                  </w:tcBorders>
                  <w:vAlign w:val="center"/>
                </w:tcPr>
                <w:p w14:paraId="30F4730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序号</w:t>
                  </w:r>
                </w:p>
              </w:tc>
              <w:tc>
                <w:tcPr>
                  <w:tcW w:w="2907" w:type="dxa"/>
                  <w:tcBorders>
                    <w:top w:val="double" w:color="auto" w:sz="2" w:space="0"/>
                    <w:left w:val="single" w:color="auto" w:sz="4" w:space="0"/>
                    <w:bottom w:val="single" w:color="auto" w:sz="4" w:space="0"/>
                    <w:right w:val="single" w:color="auto" w:sz="4" w:space="0"/>
                  </w:tcBorders>
                  <w:vAlign w:val="center"/>
                </w:tcPr>
                <w:p w14:paraId="2CEEB86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控制措施</w:t>
                  </w:r>
                </w:p>
              </w:tc>
              <w:tc>
                <w:tcPr>
                  <w:tcW w:w="2613" w:type="dxa"/>
                  <w:tcBorders>
                    <w:top w:val="double" w:color="auto" w:sz="2" w:space="0"/>
                    <w:left w:val="single" w:color="auto" w:sz="4" w:space="0"/>
                    <w:bottom w:val="single" w:color="auto" w:sz="4" w:space="0"/>
                    <w:right w:val="nil"/>
                  </w:tcBorders>
                  <w:vAlign w:val="center"/>
                </w:tcPr>
                <w:p w14:paraId="5D260D5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控制效率</w:t>
                  </w:r>
                </w:p>
              </w:tc>
            </w:tr>
            <w:tr w14:paraId="5CB5BD4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00" w:type="dxa"/>
                  <w:tcBorders>
                    <w:top w:val="single" w:color="auto" w:sz="4" w:space="0"/>
                    <w:left w:val="nil"/>
                    <w:bottom w:val="single" w:color="auto" w:sz="4" w:space="0"/>
                    <w:right w:val="single" w:color="auto" w:sz="4" w:space="0"/>
                  </w:tcBorders>
                  <w:vAlign w:val="center"/>
                </w:tcPr>
                <w:p w14:paraId="5078C12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w:t>
                  </w:r>
                </w:p>
              </w:tc>
              <w:tc>
                <w:tcPr>
                  <w:tcW w:w="2907" w:type="dxa"/>
                  <w:tcBorders>
                    <w:top w:val="single" w:color="auto" w:sz="4" w:space="0"/>
                    <w:left w:val="single" w:color="auto" w:sz="4" w:space="0"/>
                    <w:bottom w:val="single" w:color="auto" w:sz="4" w:space="0"/>
                    <w:right w:val="single" w:color="auto" w:sz="4" w:space="0"/>
                  </w:tcBorders>
                  <w:vAlign w:val="center"/>
                </w:tcPr>
                <w:p w14:paraId="4397A0C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敞开式</w:t>
                  </w:r>
                </w:p>
              </w:tc>
              <w:tc>
                <w:tcPr>
                  <w:tcW w:w="2613" w:type="dxa"/>
                  <w:tcBorders>
                    <w:top w:val="single" w:color="auto" w:sz="4" w:space="0"/>
                    <w:left w:val="single" w:color="auto" w:sz="4" w:space="0"/>
                    <w:bottom w:val="single" w:color="auto" w:sz="4" w:space="0"/>
                    <w:right w:val="nil"/>
                  </w:tcBorders>
                  <w:vAlign w:val="center"/>
                </w:tcPr>
                <w:p w14:paraId="2B00E74A">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w:t>
                  </w:r>
                </w:p>
              </w:tc>
            </w:tr>
            <w:tr w14:paraId="24BE8FE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00" w:type="dxa"/>
                  <w:tcBorders>
                    <w:top w:val="single" w:color="auto" w:sz="4" w:space="0"/>
                    <w:left w:val="nil"/>
                    <w:bottom w:val="single" w:color="auto" w:sz="4" w:space="0"/>
                    <w:right w:val="single" w:color="auto" w:sz="4" w:space="0"/>
                  </w:tcBorders>
                  <w:vAlign w:val="center"/>
                </w:tcPr>
                <w:p w14:paraId="432C0E63">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2907" w:type="dxa"/>
                  <w:tcBorders>
                    <w:top w:val="single" w:color="auto" w:sz="4" w:space="0"/>
                    <w:left w:val="single" w:color="auto" w:sz="4" w:space="0"/>
                    <w:bottom w:val="single" w:color="auto" w:sz="4" w:space="0"/>
                    <w:right w:val="single" w:color="auto" w:sz="4" w:space="0"/>
                  </w:tcBorders>
                  <w:vAlign w:val="center"/>
                </w:tcPr>
                <w:p w14:paraId="0C30B68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密闭式</w:t>
                  </w:r>
                </w:p>
              </w:tc>
              <w:tc>
                <w:tcPr>
                  <w:tcW w:w="2613" w:type="dxa"/>
                  <w:tcBorders>
                    <w:top w:val="single" w:color="auto" w:sz="4" w:space="0"/>
                    <w:left w:val="single" w:color="auto" w:sz="4" w:space="0"/>
                    <w:bottom w:val="single" w:color="auto" w:sz="4" w:space="0"/>
                    <w:right w:val="nil"/>
                  </w:tcBorders>
                  <w:vAlign w:val="center"/>
                </w:tcPr>
                <w:p w14:paraId="43D6DBE4">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99%</w:t>
                  </w:r>
                </w:p>
              </w:tc>
            </w:tr>
            <w:tr w14:paraId="54CA99D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00" w:type="dxa"/>
                  <w:tcBorders>
                    <w:top w:val="single" w:color="auto" w:sz="4" w:space="0"/>
                    <w:left w:val="nil"/>
                    <w:bottom w:val="double" w:color="auto" w:sz="2" w:space="0"/>
                    <w:right w:val="single" w:color="auto" w:sz="4" w:space="0"/>
                  </w:tcBorders>
                  <w:vAlign w:val="center"/>
                </w:tcPr>
                <w:p w14:paraId="3DA41F4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3</w:t>
                  </w:r>
                </w:p>
              </w:tc>
              <w:tc>
                <w:tcPr>
                  <w:tcW w:w="2907" w:type="dxa"/>
                  <w:tcBorders>
                    <w:top w:val="single" w:color="auto" w:sz="4" w:space="0"/>
                    <w:left w:val="single" w:color="auto" w:sz="4" w:space="0"/>
                    <w:bottom w:val="double" w:color="auto" w:sz="2" w:space="0"/>
                    <w:right w:val="single" w:color="auto" w:sz="4" w:space="0"/>
                  </w:tcBorders>
                  <w:vAlign w:val="center"/>
                </w:tcPr>
                <w:p w14:paraId="5C500E9A">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半敞开式</w:t>
                  </w:r>
                </w:p>
              </w:tc>
              <w:tc>
                <w:tcPr>
                  <w:tcW w:w="2613" w:type="dxa"/>
                  <w:tcBorders>
                    <w:top w:val="single" w:color="auto" w:sz="4" w:space="0"/>
                    <w:left w:val="single" w:color="auto" w:sz="4" w:space="0"/>
                    <w:bottom w:val="double" w:color="auto" w:sz="2" w:space="0"/>
                    <w:right w:val="nil"/>
                  </w:tcBorders>
                  <w:vAlign w:val="center"/>
                </w:tcPr>
                <w:p w14:paraId="064D0BC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60%</w:t>
                  </w:r>
                </w:p>
              </w:tc>
            </w:tr>
          </w:tbl>
          <w:p w14:paraId="7B7D2CF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本项目堆场类型为密闭式，控制效率为99%。</w:t>
            </w:r>
          </w:p>
          <w:p w14:paraId="0C33DC3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计算颗粒物产生量为</w:t>
            </w:r>
            <w:r>
              <w:rPr>
                <w:rFonts w:eastAsiaTheme="minorEastAsia"/>
                <w:color w:val="0000FF"/>
              </w:rPr>
              <w:t>164.011</w:t>
            </w:r>
            <w:r>
              <w:rPr>
                <w:rFonts w:eastAsiaTheme="minorEastAsia"/>
                <w:color w:val="000000" w:themeColor="text1"/>
                <w14:textFill>
                  <w14:solidFill>
                    <w14:schemeClr w14:val="tx1"/>
                  </w14:solidFill>
                </w14:textFill>
              </w:rPr>
              <w:t>t/a，通过洒水抑尘及原料库沉降降低颗粒物排放，</w:t>
            </w:r>
            <w:r>
              <w:rPr>
                <w:rFonts w:eastAsiaTheme="minorEastAsia"/>
                <w:color w:val="0000FF"/>
              </w:rPr>
              <w:t>抑尘量为121.3681t/a，通过洒水抑尘后实际产生的扬尘为42.6428t/a，为方便统计与计算，本次环评原料入库及储存（包括物料卸车、日常储存）的颗粒物产生量按照164.011t/a计算，通过洒水抑尘、堆场设置在封闭的原料库内降低颗粒物的排放，沉降颗粒物</w:t>
            </w:r>
            <w:r>
              <w:rPr>
                <w:rFonts w:eastAsiaTheme="minorEastAsia"/>
                <w:color w:val="000000" w:themeColor="text1"/>
                <w14:textFill>
                  <w14:solidFill>
                    <w14:schemeClr w14:val="tx1"/>
                  </w14:solidFill>
                </w14:textFill>
              </w:rPr>
              <w:t>全部混在原料中进入加工。</w:t>
            </w:r>
          </w:p>
          <w:p w14:paraId="3C94495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无组织排放量为0.4264t/a，排放速率为0.1481kg/h。</w:t>
            </w:r>
          </w:p>
          <w:p w14:paraId="1FCEE8F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（2）投料废气G2</w:t>
            </w:r>
          </w:p>
          <w:p w14:paraId="5FCB714A">
            <w:pPr>
              <w:pStyle w:val="65"/>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本项目在原料库设置一个上料仓，通过铲车将原料库内原料投入上料仓，参照《逸散性工业粉尘控制技术（中国环境出版社，1989年）》中第十八章粒料加工厂</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表18-1粒料加工厂逸散尘的排放因子</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卸料颗粒物排放因子为0.02kg/t（卸料）。本项目年用原料为锰矿石废料（朝阳县瓦房子镇宏兴锰矿30000t/a，葫芦岛市八家子经济开发区安胜矿产品综合利用有限公司10000t/a，辽宁鑫方成新材料有限公司10000t/a），膨润土1500t/a，合计51500t/a。均需通过上料仓上料，则项目上料颗粒物产生量为1.03t/a。</w:t>
            </w:r>
          </w:p>
          <w:p w14:paraId="1AC61ADF">
            <w:pPr>
              <w:pStyle w:val="65"/>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在投料口侧方设置集气罩，收集效率为80%，用于收集上料产生的颗粒物，收集后的颗粒物经脉冲袋式除尘器处理后通过1根15m高排气筒DA002（投料、破碎、造粒、卸料共用1根排气筒）排放，布袋除尘器处理效率为99%。</w:t>
            </w:r>
          </w:p>
          <w:p w14:paraId="3D01A192">
            <w:pPr>
              <w:pStyle w:val="65"/>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有组织：投料工序颗粒物有组织排放量为0.0082t/a，排放速率为0.0029kg/h。</w:t>
            </w:r>
          </w:p>
          <w:p w14:paraId="02A03F9A">
            <w:pPr>
              <w:pStyle w:val="65"/>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无组织：本项目上料机位于原料库内，未被收集的颗粒物约80%自然沉降在原料库内，约20%通过原料库门窗无组织排放。则上料工序颗粒物无组织排放量为0.0412t/a，排放速率为0.0143kg/h。</w:t>
            </w:r>
          </w:p>
          <w:p w14:paraId="58B4971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（3）混料废气G3</w:t>
            </w:r>
          </w:p>
          <w:p w14:paraId="23152447">
            <w:pPr>
              <w:pStyle w:val="65"/>
              <w:ind w:firstLine="482"/>
              <w:rPr>
                <w:rFonts w:eastAsiaTheme="minorEastAsia"/>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①</w:t>
            </w:r>
            <w:r>
              <w:rPr>
                <w:rFonts w:eastAsiaTheme="minorEastAsia"/>
                <w:b/>
                <w:bCs/>
                <w:color w:val="000000" w:themeColor="text1"/>
                <w14:textFill>
                  <w14:solidFill>
                    <w14:schemeClr w14:val="tx1"/>
                  </w14:solidFill>
                </w14:textFill>
              </w:rPr>
              <w:t>混料工艺各产污点污染物产生量</w:t>
            </w:r>
          </w:p>
          <w:p w14:paraId="7D1D76E1">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a.混料入料口粉尘产生量</w:t>
            </w:r>
          </w:p>
          <w:p w14:paraId="6E6693B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通过封闭传送带运至混料机，混料机进料过程均会产生粉尘。《排放源统计调查产排污核算方法和系数手册》无该行业进料相关产污系数，参考《逸散性工业粉尘控制技术》中粒料加工厂-砂和砾石搬运产尘系数为0.15kg/t原料，混料入料产尘系数均取0.15kg/t原料。</w:t>
            </w:r>
          </w:p>
          <w:p w14:paraId="703CD42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本项目混料投料均通过封闭传送带软连接至设备上料口，少量废气通过封闭点排放至生产车间，经过生产车间沉降后无组织排放。</w:t>
            </w:r>
          </w:p>
          <w:p w14:paraId="68A4AB5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全封闭连接按照控制效率95%计算，生产车间沉降效率80%。锰矿石废料50000t/a（朝阳县瓦房子镇宏兴锰矿30000t/a，葫芦岛市八家子经济开发区安胜矿产品综合利用有限公司10000t/a，辽宁鑫方成新材料有限公司10000t/a），</w:t>
            </w:r>
            <w:r>
              <w:rPr>
                <w:rFonts w:eastAsiaTheme="minorEastAsia"/>
                <w:color w:val="0000FF"/>
              </w:rPr>
              <w:t>膨润土1500t/a，合计51500t/a。</w:t>
            </w:r>
          </w:p>
          <w:p w14:paraId="104D5510">
            <w:pPr>
              <w:pStyle w:val="65"/>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则本项目混料机进料口颗粒物产生量为7.725t/a。</w:t>
            </w:r>
          </w:p>
          <w:p w14:paraId="01C50C5A">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b.混料工艺粉尘产生量</w:t>
            </w:r>
          </w:p>
          <w:p w14:paraId="7F777B6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为锰矿石废料50000t/a（朝阳县瓦房子镇宏兴锰矿30000t/a，葫芦岛市八家子经济开发区安胜矿产品综合利用有限公司10000t/a，辽宁鑫方成新材料有限公司10000t/a），通过混料机对物料加水混合，因《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42 废弃资源综合利用行业系数手册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产排污系数表中无混合搅拌相关系数，参照</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3042 轻质建筑材料制品制造行业系数手册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水泥、轻集料、石灰、粉煤灰等</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进行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物料混合搅拌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的工艺产污系数3.24×10</w:t>
            </w:r>
            <w:r>
              <w:rPr>
                <w:rFonts w:eastAsiaTheme="minorEastAsia"/>
                <w:color w:val="000000" w:themeColor="text1"/>
                <w:vertAlign w:val="superscript"/>
                <w14:textFill>
                  <w14:solidFill>
                    <w14:schemeClr w14:val="tx1"/>
                  </w14:solidFill>
                </w14:textFill>
              </w:rPr>
              <w:t>-1</w:t>
            </w:r>
            <w:r>
              <w:rPr>
                <w:rFonts w:eastAsiaTheme="minorEastAsia"/>
                <w:color w:val="000000" w:themeColor="text1"/>
                <w14:textFill>
                  <w14:solidFill>
                    <w14:schemeClr w14:val="tx1"/>
                  </w14:solidFill>
                </w14:textFill>
              </w:rPr>
              <w:t>千克/吨-产品，原料锰矿石废料用量合计为50000t，膨润土1500t/a，合计51500t/a。</w:t>
            </w:r>
          </w:p>
          <w:p w14:paraId="25C562A1">
            <w:pPr>
              <w:pStyle w:val="65"/>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本项目混料机颗粒物产生量为16.686t/a。</w:t>
            </w:r>
          </w:p>
          <w:p w14:paraId="206586F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c.混料出料口粉尘产生量</w:t>
            </w:r>
          </w:p>
          <w:p w14:paraId="71F8833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混料机出料表面湿润，产尘极少，且通过车间沉降，不对其进行详细计算。</w:t>
            </w:r>
          </w:p>
          <w:p w14:paraId="65CE6649">
            <w:pPr>
              <w:pStyle w:val="43"/>
              <w:ind w:firstLine="482"/>
              <w:rPr>
                <w:rFonts w:cs="Times New Roman" w:eastAsiaTheme="minorEastAsia"/>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②</w:t>
            </w:r>
            <w:r>
              <w:rPr>
                <w:rFonts w:cs="Times New Roman" w:eastAsiaTheme="minorEastAsia"/>
                <w:b/>
                <w:bCs/>
                <w:color w:val="000000" w:themeColor="text1"/>
                <w14:textFill>
                  <w14:solidFill>
                    <w14:schemeClr w14:val="tx1"/>
                  </w14:solidFill>
                </w14:textFill>
              </w:rPr>
              <w:t>混料工艺污染物排放量（各产污点废气均通过破碎设备上方集气罩收集）</w:t>
            </w:r>
          </w:p>
          <w:p w14:paraId="3A36FD3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工艺使用封闭混料，通过控制传送带上料后封闭混料。混料设备上方设置集气罩，收集未被有效控制废气（废气产生量的5%），收集效率为80%，收集废气通过脉冲袋式除尘器处理后通过1根15m高排气筒DA002排放，布袋除尘器处理效率为99%。未收集废气经过生产车间沉降后无组织排放，车间沉降效率80%。</w:t>
            </w:r>
          </w:p>
          <w:p w14:paraId="6A9D5377">
            <w:pPr>
              <w:pStyle w:val="65"/>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14:textFill>
                  <w14:solidFill>
                    <w14:schemeClr w14:val="tx1"/>
                  </w14:solidFill>
                </w14:textFill>
              </w:rPr>
              <w:t>A.有组织：</w:t>
            </w:r>
          </w:p>
          <w:p w14:paraId="3097DB5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 混料入料颗粒物有组织排放量为0.0618t/a，排放速率为0.0215kg/h。</w:t>
            </w:r>
          </w:p>
          <w:p w14:paraId="4CC5792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 混料过程颗粒物有组织排放量为0.1335t/a，排放速率为0.0463kg/h。</w:t>
            </w:r>
          </w:p>
          <w:p w14:paraId="4EC5DF5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 混料机出料表面湿润，产尘极少，且通过车间沉降，不对其进行详细计算。</w:t>
            </w:r>
          </w:p>
          <w:p w14:paraId="1816682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B.无组织：</w:t>
            </w:r>
          </w:p>
          <w:p w14:paraId="2EA6353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 混料入料颗粒物无组织排放量为0.309t/a，排放速率为0.1073kg/h。</w:t>
            </w:r>
          </w:p>
          <w:p w14:paraId="3954A71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 混料过程颗粒物无组织排放量为0.6674t/a，排放速率为0.2318kg/h。</w:t>
            </w:r>
          </w:p>
          <w:p w14:paraId="7F9C1AD0">
            <w:pPr>
              <w:pStyle w:val="65"/>
              <w:ind w:firstLine="480"/>
              <w:rPr>
                <w:rFonts w:eastAsiaTheme="minorEastAsia"/>
                <w:b/>
                <w:bCs/>
                <w:color w:val="000000" w:themeColor="text1"/>
                <w14:textFill>
                  <w14:solidFill>
                    <w14:schemeClr w14:val="tx1"/>
                  </w14:solidFill>
                </w14:textFill>
              </w:rPr>
            </w:pPr>
            <w:r>
              <w:rPr>
                <w:rFonts w:eastAsiaTheme="minorEastAsia"/>
                <w:color w:val="000000" w:themeColor="text1"/>
                <w14:textFill>
                  <w14:solidFill>
                    <w14:schemeClr w14:val="tx1"/>
                  </w14:solidFill>
                </w14:textFill>
              </w:rPr>
              <w:t>c. 混料机出料表面湿润，产尘极少，且通过车间沉降，不对其进行详细计算。</w:t>
            </w:r>
          </w:p>
          <w:p w14:paraId="22BD9380">
            <w:pPr>
              <w:pStyle w:val="65"/>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（4）造球废气G4</w:t>
            </w:r>
          </w:p>
          <w:p w14:paraId="5DD06BB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造球工艺各产污点污染物产生量</w:t>
            </w:r>
          </w:p>
          <w:p w14:paraId="1FC2347D">
            <w:pPr>
              <w:pStyle w:val="65"/>
              <w:ind w:firstLine="480"/>
              <w:rPr>
                <w:rFonts w:eastAsiaTheme="minorEastAsia"/>
                <w:color w:val="000000" w:themeColor="text1"/>
                <w:highlight w:val="yellow"/>
                <w14:textFill>
                  <w14:solidFill>
                    <w14:schemeClr w14:val="tx1"/>
                  </w14:solidFill>
                </w14:textFill>
              </w:rPr>
            </w:pPr>
            <w:r>
              <w:rPr>
                <w:rFonts w:eastAsiaTheme="minorEastAsia"/>
                <w:color w:val="000000" w:themeColor="text1"/>
                <w14:textFill>
                  <w14:solidFill>
                    <w14:schemeClr w14:val="tx1"/>
                  </w14:solidFill>
                </w14:textFill>
              </w:rPr>
              <w:t>a.造球机入料粉尘产生量</w:t>
            </w:r>
          </w:p>
          <w:p w14:paraId="7864586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造球入料表面湿润，产尘极少，且通过车间沉降，不对其进行详细计算。</w:t>
            </w:r>
          </w:p>
          <w:p w14:paraId="3CA15691">
            <w:pPr>
              <w:pStyle w:val="65"/>
              <w:ind w:firstLine="480"/>
              <w:rPr>
                <w:rFonts w:eastAsiaTheme="minorEastAsia"/>
                <w:color w:val="000000" w:themeColor="text1"/>
                <w:highlight w:val="yellow"/>
                <w14:textFill>
                  <w14:solidFill>
                    <w14:schemeClr w14:val="tx1"/>
                  </w14:solidFill>
                </w14:textFill>
              </w:rPr>
            </w:pPr>
            <w:r>
              <w:rPr>
                <w:rFonts w:eastAsiaTheme="minorEastAsia"/>
                <w:color w:val="000000" w:themeColor="text1"/>
                <w14:textFill>
                  <w14:solidFill>
                    <w14:schemeClr w14:val="tx1"/>
                  </w14:solidFill>
                </w14:textFill>
              </w:rPr>
              <w:t>b.造球工艺粉尘产生量</w:t>
            </w:r>
          </w:p>
          <w:p w14:paraId="1482D40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造球机为封闭设备，造球进料与水混合为湿料，产尘少且不易逸散，造球过程中产生造球粉尘，参考《逸散性工业粉尘控制技术》，造球过程产尘系数按照0.1kg/t物料计。</w:t>
            </w:r>
          </w:p>
          <w:p w14:paraId="7A0C610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本项目造球机封闭运行，少量废气通过封闭点排放至厂房，经过厂房沉降后无组织排放。</w:t>
            </w:r>
          </w:p>
          <w:p w14:paraId="47F3905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本项目造球工艺按照51500t/a（包括50000t/a一般固体废物原料、1500t/a膨润土）原料进行产污计算。</w:t>
            </w:r>
          </w:p>
          <w:p w14:paraId="65F4BC4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则造球机运行颗粒物产生量为5.15t/a。</w:t>
            </w:r>
          </w:p>
          <w:p w14:paraId="78E8FBB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c.造球机出料口粉尘产生量</w:t>
            </w:r>
          </w:p>
          <w:p w14:paraId="1D0D6D3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造球机出料表面湿润，产尘极少，且通过车间沉降，不对其进行详细计算。</w:t>
            </w: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造球工艺污染物排放量（各产污点废气均通过破碎设备上方集气罩收集）</w:t>
            </w:r>
          </w:p>
          <w:p w14:paraId="27242A8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工艺使用全封闭造球机，通过控制传送带上料后封闭造球，封闭措施按照控制效率95%计算。造球设备上方设置集气罩，收集未被有效控制废气（废气产生量的5%），收集效率为80%，收集废气通过脉冲袋式除尘器处理后通过1根15m高排气筒DA002排放，布袋除尘器处理效率为99%。未收集废气经过厂房沉降后无组织排放，车间沉降效率80%。</w:t>
            </w:r>
          </w:p>
          <w:p w14:paraId="317F67F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A.有组织：</w:t>
            </w:r>
          </w:p>
          <w:p w14:paraId="7FC32A31">
            <w:pPr>
              <w:pStyle w:val="65"/>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a.</w:t>
            </w:r>
            <w:r>
              <w:rPr>
                <w:rFonts w:eastAsiaTheme="minorEastAsia"/>
                <w:color w:val="000000" w:themeColor="text1"/>
                <w14:textFill>
                  <w14:solidFill>
                    <w14:schemeClr w14:val="tx1"/>
                  </w14:solidFill>
                </w14:textFill>
              </w:rPr>
              <w:t>造球机入料表面湿润，产尘极少，且通过车间沉降，不对其进行详细计算。</w:t>
            </w:r>
          </w:p>
          <w:p w14:paraId="7D3688FE">
            <w:pPr>
              <w:pStyle w:val="65"/>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b.</w:t>
            </w:r>
            <w:r>
              <w:rPr>
                <w:rFonts w:eastAsiaTheme="minorEastAsia"/>
                <w:color w:val="000000" w:themeColor="text1"/>
                <w14:textFill>
                  <w14:solidFill>
                    <w14:schemeClr w14:val="tx1"/>
                  </w14:solidFill>
                </w14:textFill>
              </w:rPr>
              <w:t>造球过程颗粒物有组织排放量为0.0412t/a，排放速率为0.0143kg/h。</w:t>
            </w:r>
          </w:p>
          <w:p w14:paraId="30326765">
            <w:pPr>
              <w:pStyle w:val="65"/>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c.</w:t>
            </w:r>
            <w:r>
              <w:rPr>
                <w:rFonts w:eastAsiaTheme="minorEastAsia"/>
                <w:color w:val="000000" w:themeColor="text1"/>
                <w14:textFill>
                  <w14:solidFill>
                    <w14:schemeClr w14:val="tx1"/>
                  </w14:solidFill>
                </w14:textFill>
              </w:rPr>
              <w:t>造球机出料表面湿润，产尘极少，且通过车间沉降，不对其进行详细计算。</w:t>
            </w:r>
          </w:p>
          <w:p w14:paraId="18B54F8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B.无组织：</w:t>
            </w:r>
          </w:p>
          <w:p w14:paraId="7EB9C775">
            <w:pPr>
              <w:pStyle w:val="65"/>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a.</w:t>
            </w:r>
            <w:r>
              <w:rPr>
                <w:rFonts w:eastAsiaTheme="minorEastAsia"/>
                <w:color w:val="000000" w:themeColor="text1"/>
                <w14:textFill>
                  <w14:solidFill>
                    <w14:schemeClr w14:val="tx1"/>
                  </w14:solidFill>
                </w14:textFill>
              </w:rPr>
              <w:t>造球机入料表面湿润，产尘极少，且通过车间沉降，不对其进行详细计算。</w:t>
            </w:r>
          </w:p>
          <w:p w14:paraId="3825E1A5">
            <w:pPr>
              <w:pStyle w:val="65"/>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b.</w:t>
            </w:r>
            <w:r>
              <w:rPr>
                <w:rFonts w:eastAsiaTheme="minorEastAsia"/>
                <w:color w:val="000000" w:themeColor="text1"/>
                <w14:textFill>
                  <w14:solidFill>
                    <w14:schemeClr w14:val="tx1"/>
                  </w14:solidFill>
                </w14:textFill>
              </w:rPr>
              <w:t>造球过程颗粒物无组织排放量为0.206t/a，排放速率为0.0715kg/h。</w:t>
            </w:r>
          </w:p>
          <w:p w14:paraId="204E407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c.</w:t>
            </w:r>
            <w:r>
              <w:rPr>
                <w:rFonts w:eastAsiaTheme="minorEastAsia"/>
                <w:color w:val="000000" w:themeColor="text1"/>
                <w14:textFill>
                  <w14:solidFill>
                    <w14:schemeClr w14:val="tx1"/>
                  </w14:solidFill>
                </w14:textFill>
              </w:rPr>
              <w:t>造球机出料表面湿润，产尘极少，且通过车间沉降，不对其进行详细计算。</w:t>
            </w:r>
          </w:p>
          <w:p w14:paraId="750B3685">
            <w:pPr>
              <w:pStyle w:val="65"/>
              <w:ind w:firstLine="199" w:firstLineChars="83"/>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（5）烘干废气G5</w:t>
            </w:r>
          </w:p>
          <w:p w14:paraId="4A3775B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本项目采用炉窑烘干混合物料，燃料为朝阳县瓦房子镇宏兴锰矿提供的高炉煤气，根据建设单位提供资料，烘干窑煤气用量为120Nm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/t-产品，年运行2880h，本项目年产热造块45000t/a，则煤气用量为1875Nm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/h，年用量为540万Nm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。烘干窑运行时通过管线供给煤气，废气由风机引出，经石灰石/石膏法脱硫进入布袋除尘器处理，最终通过1根15m高排气筒（DA001）排放。</w:t>
            </w:r>
          </w:p>
          <w:p w14:paraId="4CACC36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1）烘干进料废气</w:t>
            </w:r>
          </w:p>
          <w:p w14:paraId="1AD0336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本项目通过传送带将物料输送至温控烘干炉，混合后的物料表面湿润，产尘极少，且通过车间沉降，不对其进行详细计算。</w:t>
            </w:r>
          </w:p>
          <w:p w14:paraId="40510E7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2）烘干废气</w:t>
            </w:r>
          </w:p>
          <w:p w14:paraId="00A41A5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烘干废气量</w:t>
            </w:r>
          </w:p>
          <w:p w14:paraId="32921BF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烘干废气主要来源于高炉煤气燃烧烟气、物料反应废气、过量空气。根据建设单位提供设计资料，本项目使用变频风机控制烘干工艺的排气，设备正常工作时风机风量控制在5000m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/h。</w:t>
            </w:r>
          </w:p>
          <w:p w14:paraId="2A46E53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排放</w:t>
            </w:r>
          </w:p>
          <w:p w14:paraId="7CD3325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的来源分为两部分，一部分为燃料燃烧产生，一部分为原料中的硫。</w:t>
            </w:r>
          </w:p>
          <w:p w14:paraId="4D3F629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a.燃料来源</w:t>
            </w:r>
          </w:p>
          <w:p w14:paraId="13B67D26">
            <w:pPr>
              <w:spacing w:line="400" w:lineRule="exact"/>
              <w:ind w:firstLine="480" w:firstLineChars="200"/>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4"/>
                <w14:textFill>
                  <w14:solidFill>
                    <w14:schemeClr w14:val="tx1"/>
                  </w14:solidFill>
                </w14:textFill>
              </w:rPr>
              <w:t>本项目烘干炉使用朝阳县瓦房子镇宏兴锰矿提供高炉煤气作为燃料，燃气用量为540万m³/a，其中硫化氢（H₂S）体积占比为0.05%。</w:t>
            </w:r>
          </w:p>
          <w:p w14:paraId="5AEBCE0E">
            <w:pPr>
              <w:spacing w:line="400" w:lineRule="exact"/>
              <w:ind w:firstLine="480" w:firstLineChars="20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高炉煤气燃烧过程中，硫化氢与氧气发生反应，反应方程式为：</w:t>
            </w:r>
          </w:p>
          <w:p w14:paraId="234CD238">
            <w:pPr>
              <w:spacing w:line="400" w:lineRule="exact"/>
              <w:ind w:firstLine="480" w:firstLineChars="20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2H₂S+3O₂</w:t>
            </w:r>
            <w:r>
              <w:rPr>
                <w:color w:val="000000" w:themeColor="text1"/>
                <w:sz w:val="24"/>
                <w14:textFill>
                  <w14:solidFill>
                    <w14:schemeClr w14:val="tx1"/>
                  </w14:solidFill>
                </w14:textFill>
              </w:rPr>
              <w:t>→</w:t>
            </w:r>
            <w:r>
              <w:rPr>
                <w:rFonts w:eastAsiaTheme="minorEastAsia"/>
                <w:color w:val="000000" w:themeColor="text1"/>
                <w:sz w:val="24"/>
                <w14:textFill>
                  <w14:solidFill>
                    <w14:schemeClr w14:val="tx1"/>
                  </w14:solidFill>
                </w14:textFill>
              </w:rPr>
              <w:t>2SO₂+2H₂O</w:t>
            </w:r>
          </w:p>
          <w:p w14:paraId="55296DBB">
            <w:pPr>
              <w:spacing w:line="400" w:lineRule="exact"/>
              <w:ind w:firstLine="480" w:firstLineChars="200"/>
              <w:rPr>
                <w:rFonts w:eastAsiaTheme="minorEastAsia"/>
                <w:color w:val="000000" w:themeColor="text1"/>
                <w14:textFill>
                  <w14:solidFill>
                    <w14:schemeClr w14:val="tx1"/>
                  </w14:solidFill>
                </w14:textFill>
              </w:rPr>
            </w:pPr>
            <w:r>
              <w:rPr>
                <w:rFonts w:eastAsiaTheme="minorEastAsia"/>
                <w:color w:val="000000" w:themeColor="text1"/>
                <w:sz w:val="24"/>
                <w14:textFill>
                  <w14:solidFill>
                    <w14:schemeClr w14:val="tx1"/>
                  </w14:solidFill>
                </w14:textFill>
              </w:rPr>
              <w:t>H₂S与SO₂的摩尔比为1:1。硫化氢全部转化为二氧化硫。经计算，硫化氢年体积量为540×10</w:t>
            </w:r>
            <w:r>
              <w:rPr>
                <w:rFonts w:eastAsia="微软雅黑"/>
                <w:color w:val="000000" w:themeColor="text1"/>
                <w:sz w:val="24"/>
                <w14:textFill>
                  <w14:solidFill>
                    <w14:schemeClr w14:val="tx1"/>
                  </w14:solidFill>
                </w14:textFill>
              </w:rPr>
              <w:t>⁴</w:t>
            </w:r>
            <w:r>
              <w:rPr>
                <w:color w:val="000000" w:themeColor="text1"/>
                <w:sz w:val="24"/>
                <w14:textFill>
                  <w14:solidFill>
                    <w14:schemeClr w14:val="tx1"/>
                  </w14:solidFill>
                </w14:textFill>
              </w:rPr>
              <w:t>×</w:t>
            </w:r>
            <w:r>
              <w:rPr>
                <w:rFonts w:eastAsiaTheme="minorEastAsia"/>
                <w:color w:val="000000" w:themeColor="text1"/>
                <w:sz w:val="24"/>
                <w14:textFill>
                  <w14:solidFill>
                    <w14:schemeClr w14:val="tx1"/>
                  </w14:solidFill>
                </w14:textFill>
              </w:rPr>
              <w:t>0.05%=2700m</w:t>
            </w:r>
            <w:r>
              <w:rPr>
                <w:color w:val="000000" w:themeColor="text1"/>
                <w:sz w:val="24"/>
                <w14:textFill>
                  <w14:solidFill>
                    <w14:schemeClr w14:val="tx1"/>
                  </w14:solidFill>
                </w14:textFill>
              </w:rPr>
              <w:t>³</w:t>
            </w:r>
            <w:r>
              <w:rPr>
                <w:rFonts w:eastAsiaTheme="minorEastAsia"/>
                <w:color w:val="000000" w:themeColor="text1"/>
                <w:sz w:val="24"/>
                <w14:textFill>
                  <w14:solidFill>
                    <w14:schemeClr w14:val="tx1"/>
                  </w14:solidFill>
                </w14:textFill>
              </w:rPr>
              <w:t>。标准状态下1kmol气体体积为22.4m³，则硫化氢物质的量为2700÷22.4=120.54kmol。</w:t>
            </w:r>
          </w:p>
          <w:p w14:paraId="31639266">
            <w:pPr>
              <w:spacing w:line="400" w:lineRule="exact"/>
              <w:ind w:firstLine="480" w:firstLineChars="200"/>
              <w:rPr>
                <w:rFonts w:eastAsiaTheme="minorEastAsia"/>
                <w:color w:val="000000" w:themeColor="text1"/>
                <w14:textFill>
                  <w14:solidFill>
                    <w14:schemeClr w14:val="tx1"/>
                  </w14:solidFill>
                </w14:textFill>
              </w:rPr>
            </w:pPr>
            <w:r>
              <w:rPr>
                <w:rFonts w:eastAsiaTheme="minorEastAsia"/>
                <w:color w:val="000000" w:themeColor="text1"/>
                <w:sz w:val="24"/>
                <w14:textFill>
                  <w14:solidFill>
                    <w14:schemeClr w14:val="tx1"/>
                  </w14:solidFill>
                </w14:textFill>
              </w:rPr>
              <w:t>根据摩尔比1:1，二氧化硫物质的量为120.54kmol。二氧化硫分子量为64kg/kmol（S=32，O=16×2=32），则二氧化硫年产生量为120.54×64=7714.3kg，约合7.71t/a。</w:t>
            </w:r>
          </w:p>
          <w:p w14:paraId="53F4295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b.原料来源</w:t>
            </w:r>
          </w:p>
          <w:p w14:paraId="58E404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为锰矿石废料50000t/a（朝阳县瓦房子镇宏兴锰矿30000t/a，葫芦岛市八家子经济开发区安胜矿产品综合利用有限公司10000t/a，辽宁鑫方成新材料有限公司10000t/a），膨润土1500t/a，合计51500t/a，含硫量最高为0.115%。参照《加拿大冶金与材料科学杂志》（ISSN：0008-4433）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400至500°C温度下氧氮气氛中黄铁矿的氧化动力学</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的实验数据显示，</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在氧分压为5.07kPa时，黄铁矿在400°C时氧化不显著，在412°C时氧化非常缓慢，而在500°C时氧化则非常迅速。当黄铁矿在其他分压氧条件下反应时，也得到了类似的结果。</w:t>
            </w:r>
            <w:r>
              <w:rPr>
                <w:rFonts w:hint="eastAsia" w:eastAsiaTheme="minorEastAsia"/>
                <w:color w:val="000000" w:themeColor="text1"/>
                <w14:textFill>
                  <w14:solidFill>
                    <w14:schemeClr w14:val="tx1"/>
                  </w14:solidFill>
                </w14:textFill>
              </w:rPr>
              <w:t>”</w:t>
            </w:r>
          </w:p>
          <w:p w14:paraId="3E9E6CD0">
            <w:pPr>
              <w:pStyle w:val="51"/>
              <w:spacing w:before="156"/>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drawing>
                <wp:inline distT="0" distB="0" distL="0" distR="0">
                  <wp:extent cx="5363210" cy="3098800"/>
                  <wp:effectExtent l="0" t="0" r="8890" b="6350"/>
                  <wp:docPr id="142585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83" name="图片 9"/>
                          <pic:cNvPicPr>
                            <a:picLocks noChangeAspect="1"/>
                          </pic:cNvPicPr>
                        </pic:nvPicPr>
                        <pic:blipFill>
                          <a:blip r:embed="rId12"/>
                          <a:stretch>
                            <a:fillRect/>
                          </a:stretch>
                        </pic:blipFill>
                        <pic:spPr>
                          <a:xfrm>
                            <a:off x="0" y="0"/>
                            <a:ext cx="5363210" cy="3098800"/>
                          </a:xfrm>
                          <a:prstGeom prst="rect">
                            <a:avLst/>
                          </a:prstGeom>
                        </pic:spPr>
                      </pic:pic>
                    </a:graphicData>
                  </a:graphic>
                </wp:inline>
              </w:drawing>
            </w:r>
          </w:p>
          <w:p w14:paraId="5EC14A8B">
            <w:pPr>
              <w:pStyle w:val="50"/>
              <w:rPr>
                <w:color w:val="000000" w:themeColor="text1"/>
                <w14:textFill>
                  <w14:solidFill>
                    <w14:schemeClr w14:val="tx1"/>
                  </w14:solidFill>
                </w14:textFill>
              </w:rPr>
            </w:pPr>
            <w:r>
              <w:rPr>
                <w:color w:val="000000" w:themeColor="text1"/>
                <w14:textFill>
                  <w14:solidFill>
                    <w14:schemeClr w14:val="tx1"/>
                  </w14:solidFill>
                </w14:textFill>
              </w:rPr>
              <w:t>图4-1样品失重率随时间的变化图（氧分压为5.07kPa时）</w:t>
            </w:r>
          </w:p>
          <w:p w14:paraId="38558E5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FeS完全氧化的理论失重率为0.33，由上图可知控制温度在400°C以下可以有效控制SO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的生成，样品的失重率＜0.005，按照0.005计算，FeS的氧化率为1.52%。本项目原料用量为锰矿石废料50000t，硫含量最高为锰矿石废料0.115%，全部按照0.115%计算，则原料SO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产生量1.748t/a。</w:t>
            </w:r>
          </w:p>
          <w:p w14:paraId="45416868">
            <w:pPr>
              <w:pStyle w:val="65"/>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c.SO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的排放</w:t>
            </w:r>
          </w:p>
          <w:p w14:paraId="794F3359">
            <w:pPr>
              <w:pStyle w:val="65"/>
              <w:ind w:firstLine="480"/>
              <w:rPr>
                <w:rFonts w:eastAsiaTheme="minorEastAsia"/>
                <w:color w:val="0000FF"/>
              </w:rPr>
            </w:pPr>
            <w:r>
              <w:rPr>
                <w:rFonts w:eastAsiaTheme="minorEastAsia"/>
                <w:color w:val="000000" w:themeColor="text1"/>
                <w14:textFill>
                  <w14:solidFill>
                    <w14:schemeClr w14:val="tx1"/>
                  </w14:solidFill>
                </w14:textFill>
              </w:rPr>
              <w:t>本项目SO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的燃料产生量为7.71t/a、原料产生量为1.748t/a，合计9.458t/a。废气由引风机引出，温控烘干炉封闭，考虑温控烘干炉、烘干出料口存在少量逸散，</w:t>
            </w:r>
            <w:r>
              <w:rPr>
                <w:rFonts w:eastAsiaTheme="minorEastAsia"/>
                <w:color w:val="0000FF"/>
              </w:rPr>
              <w:t>废气收集效率取99%，其余1%以无组织形式排放。</w:t>
            </w:r>
            <w:r>
              <w:rPr>
                <w:rFonts w:eastAsiaTheme="minorEastAsia"/>
                <w:color w:val="000000" w:themeColor="text1"/>
                <w14:textFill>
                  <w14:solidFill>
                    <w14:schemeClr w14:val="tx1"/>
                  </w14:solidFill>
                </w14:textFill>
              </w:rPr>
              <w:t>有组织废气采用石灰石/石膏法脱硫，脱硫效率为90%。</w:t>
            </w:r>
          </w:p>
          <w:p w14:paraId="6E71C7CD">
            <w:pPr>
              <w:pStyle w:val="65"/>
              <w:ind w:firstLine="480"/>
              <w:rPr>
                <w:rFonts w:eastAsiaTheme="minorEastAsia"/>
                <w:color w:val="0000FF"/>
              </w:rPr>
            </w:pPr>
            <w:r>
              <w:rPr>
                <w:rFonts w:eastAsiaTheme="minorEastAsia"/>
                <w:color w:val="0000FF"/>
              </w:rPr>
              <w:t>烘干产生二氧化硫有组织排放量为0.9363t/a，排放速率为0.3251kg/h。</w:t>
            </w:r>
          </w:p>
          <w:p w14:paraId="1E0B0806">
            <w:pPr>
              <w:pStyle w:val="65"/>
              <w:ind w:firstLine="480"/>
              <w:rPr>
                <w:rFonts w:eastAsiaTheme="minorEastAsia"/>
                <w:color w:val="0000FF"/>
              </w:rPr>
            </w:pPr>
            <w:r>
              <w:rPr>
                <w:rFonts w:eastAsiaTheme="minorEastAsia"/>
                <w:color w:val="0000FF"/>
              </w:rPr>
              <w:t>烘干产生二氧化硫无组织排放量为0.0946t/a，排放速率为0.0328kg/h。</w:t>
            </w:r>
          </w:p>
          <w:p w14:paraId="283F8E18">
            <w:pPr>
              <w:pStyle w:val="65"/>
              <w:ind w:firstLine="480"/>
              <w:rPr>
                <w:rFonts w:eastAsiaTheme="minorEastAsia"/>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颗粒物排放</w:t>
            </w:r>
          </w:p>
          <w:p w14:paraId="293B063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本项目烘干物料为混合物料，颗粒物的来源为煤气燃烧和物料机械携带，其中机械携带为主要来源。参照《排放源统计调查产排污核算方法和系数手册》中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3099其他非金属矿物制品行业系数表</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，表中干燥工段的煤气烘干炉的产污系数颗粒物为7.63×10</w:t>
            </w:r>
            <w:r>
              <w:rPr>
                <w:rFonts w:eastAsiaTheme="minorEastAsia"/>
                <w:color w:val="000000" w:themeColor="text1"/>
                <w:vertAlign w:val="superscript"/>
                <w14:textFill>
                  <w14:solidFill>
                    <w14:schemeClr w14:val="tx1"/>
                  </w14:solidFill>
                </w14:textFill>
              </w:rPr>
              <w:t>-1</w:t>
            </w:r>
            <w:r>
              <w:rPr>
                <w:rFonts w:eastAsiaTheme="minorEastAsia"/>
                <w:color w:val="000000" w:themeColor="text1"/>
                <w14:textFill>
                  <w14:solidFill>
                    <w14:schemeClr w14:val="tx1"/>
                  </w14:solidFill>
                </w14:textFill>
              </w:rPr>
              <w:t>千克/吨-产品，本项目产品4.5万t/a热造块，年生产时间为2880h。颗粒物的产生量为34.335t/a。</w:t>
            </w:r>
          </w:p>
          <w:p w14:paraId="586B0BA1">
            <w:pPr>
              <w:pStyle w:val="65"/>
              <w:ind w:firstLine="480"/>
              <w:rPr>
                <w:rFonts w:eastAsiaTheme="minorEastAsia"/>
                <w:color w:val="0000FF"/>
              </w:rPr>
            </w:pPr>
            <w:r>
              <w:rPr>
                <w:rFonts w:eastAsiaTheme="minorEastAsia"/>
                <w:color w:val="0000FF"/>
              </w:rPr>
              <w:t>废气由引风机引出，温控烘干炉封闭，考虑温控烘干炉、烘干出料口存在少量逸散，废气收集效率取99%，其余1%以无组织形式排放。有组织废气通过布袋除尘器除尘，除尘效率为99%。无组织废气通过车间沉降后排放，沉降效率为80%。</w:t>
            </w:r>
          </w:p>
          <w:p w14:paraId="1DAA058B">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FF"/>
                <w:kern w:val="2"/>
              </w:rPr>
            </w:pPr>
            <w:r>
              <w:rPr>
                <w:rFonts w:ascii="Times New Roman" w:hAnsi="Times New Roman" w:eastAsiaTheme="minorEastAsia"/>
                <w:color w:val="0000FF"/>
                <w:kern w:val="2"/>
              </w:rPr>
              <w:t>烘干产生颗粒物有组织排放量为0.3399t/a，排放速率为0.118kg/h。</w:t>
            </w:r>
          </w:p>
          <w:p w14:paraId="1EA3681C">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FF"/>
                <w:kern w:val="2"/>
              </w:rPr>
            </w:pPr>
            <w:r>
              <w:rPr>
                <w:rFonts w:ascii="Times New Roman" w:hAnsi="Times New Roman" w:eastAsiaTheme="minorEastAsia"/>
                <w:color w:val="0000FF"/>
                <w:kern w:val="2"/>
              </w:rPr>
              <w:t>烘干产生颗粒物无组织排放量为0.0687t/a，排放速率为0.0238kg/h。</w:t>
            </w:r>
          </w:p>
          <w:p w14:paraId="7DDDC000">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00" w:themeColor="text1"/>
                <w14:textFill>
                  <w14:solidFill>
                    <w14:schemeClr w14:val="tx1"/>
                  </w14:solidFill>
                </w14:textFill>
              </w:rPr>
            </w:pPr>
            <w:r>
              <w:rPr>
                <w:rFonts w:hint="eastAsia" w:cs="宋体"/>
                <w:color w:val="000000" w:themeColor="text1"/>
                <w:kern w:val="2"/>
                <w14:textFill>
                  <w14:solidFill>
                    <w14:schemeClr w14:val="tx1"/>
                  </w14:solidFill>
                </w14:textFill>
              </w:rPr>
              <w:t>④</w:t>
            </w:r>
            <w:r>
              <w:rPr>
                <w:rFonts w:ascii="Times New Roman" w:hAnsi="Times New Roman" w:eastAsiaTheme="minorEastAsia"/>
                <w:color w:val="000000" w:themeColor="text1"/>
                <w:kern w:val="2"/>
                <w14:textFill>
                  <w14:solidFill>
                    <w14:schemeClr w14:val="tx1"/>
                  </w14:solidFill>
                </w14:textFill>
              </w:rPr>
              <w:t>NOx排放</w:t>
            </w:r>
          </w:p>
          <w:p w14:paraId="3F1BCB4B">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00" w:themeColor="text1"/>
                <w:kern w:val="2"/>
                <w14:textFill>
                  <w14:solidFill>
                    <w14:schemeClr w14:val="tx1"/>
                  </w14:solidFill>
                </w14:textFill>
              </w:rPr>
            </w:pPr>
            <w:r>
              <w:rPr>
                <w:rFonts w:ascii="Times New Roman" w:hAnsi="Times New Roman" w:eastAsiaTheme="minorEastAsia"/>
                <w:color w:val="000000" w:themeColor="text1"/>
                <w:kern w:val="2"/>
                <w14:textFill>
                  <w14:solidFill>
                    <w14:schemeClr w14:val="tx1"/>
                  </w14:solidFill>
                </w14:textFill>
              </w:rPr>
              <w:t>本项目烘干物料为混合物料，氮氧化物的主要来源为煤气燃烧，基本无物料产生。《排放源统计调查产排污核算方法和系数手册》中</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3099其他非金属矿物制品行业系数表</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中系数按照产品量计算，其单位产品用燃气量明显远高于本项目，因此本项目参照</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4430工业锅炉（热力供应）行业系数手册</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中原料为</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高炉煤气</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的</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室燃炉</w:t>
            </w:r>
            <w:r>
              <w:rPr>
                <w:rFonts w:hint="eastAsia" w:ascii="Times New Roman" w:hAnsi="Times New Roman" w:eastAsiaTheme="minorEastAsia"/>
                <w:color w:val="000000" w:themeColor="text1"/>
                <w:kern w:val="2"/>
                <w14:textFill>
                  <w14:solidFill>
                    <w14:schemeClr w14:val="tx1"/>
                  </w14:solidFill>
                </w14:textFill>
              </w:rPr>
              <w:t>”</w:t>
            </w:r>
            <w:r>
              <w:rPr>
                <w:rFonts w:ascii="Times New Roman" w:hAnsi="Times New Roman" w:eastAsiaTheme="minorEastAsia"/>
                <w:color w:val="000000" w:themeColor="text1"/>
                <w:kern w:val="2"/>
                <w14:textFill>
                  <w14:solidFill>
                    <w14:schemeClr w14:val="tx1"/>
                  </w14:solidFill>
                </w14:textFill>
              </w:rPr>
              <w:t>产污系数0.86千克/万立方米-原料，本项目高炉煤气用量为1875Nm</w:t>
            </w:r>
            <w:r>
              <w:rPr>
                <w:rFonts w:ascii="Times New Roman" w:hAnsi="Times New Roman" w:eastAsiaTheme="minorEastAsia"/>
                <w:color w:val="000000" w:themeColor="text1"/>
                <w:kern w:val="2"/>
                <w:vertAlign w:val="superscript"/>
                <w14:textFill>
                  <w14:solidFill>
                    <w14:schemeClr w14:val="tx1"/>
                  </w14:solidFill>
                </w14:textFill>
              </w:rPr>
              <w:t>3</w:t>
            </w:r>
            <w:r>
              <w:rPr>
                <w:rFonts w:ascii="Times New Roman" w:hAnsi="Times New Roman" w:eastAsiaTheme="minorEastAsia"/>
                <w:color w:val="000000" w:themeColor="text1"/>
                <w:kern w:val="2"/>
                <w14:textFill>
                  <w14:solidFill>
                    <w14:schemeClr w14:val="tx1"/>
                  </w14:solidFill>
                </w14:textFill>
              </w:rPr>
              <w:t>/h，NOx产生量为0.4644t/a。</w:t>
            </w:r>
          </w:p>
          <w:p w14:paraId="2852C980">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FF"/>
                <w:kern w:val="2"/>
              </w:rPr>
            </w:pPr>
            <w:r>
              <w:rPr>
                <w:rFonts w:ascii="Times New Roman" w:hAnsi="Times New Roman" w:eastAsiaTheme="minorEastAsia"/>
                <w:color w:val="0000FF"/>
                <w:kern w:val="2"/>
              </w:rPr>
              <w:t>废气由引风机引出，温控烘干炉封闭，考虑温控烘干炉、烘干出料口存在少量逸散，废气收集效率取99%，其余1%以无组织形式排放。</w:t>
            </w:r>
          </w:p>
          <w:p w14:paraId="0B08F165">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FF"/>
                <w:kern w:val="2"/>
              </w:rPr>
            </w:pPr>
            <w:r>
              <w:rPr>
                <w:rFonts w:ascii="Times New Roman" w:hAnsi="Times New Roman" w:eastAsiaTheme="minorEastAsia"/>
                <w:color w:val="0000FF"/>
                <w:kern w:val="2"/>
              </w:rPr>
              <w:t>烘干产生NOx有组织排放量为0.4598t/a，排放速率为0.1596kg/h。</w:t>
            </w:r>
          </w:p>
          <w:p w14:paraId="71216483">
            <w:pPr>
              <w:pStyle w:val="31"/>
              <w:widowControl w:val="0"/>
              <w:adjustRightInd w:val="0"/>
              <w:snapToGrid w:val="0"/>
              <w:spacing w:before="0" w:beforeAutospacing="0" w:after="0" w:afterAutospacing="0" w:line="400" w:lineRule="exact"/>
              <w:ind w:firstLine="480" w:firstLineChars="200"/>
              <w:jc w:val="both"/>
              <w:rPr>
                <w:rFonts w:ascii="Times New Roman" w:hAnsi="Times New Roman" w:eastAsiaTheme="minorEastAsia"/>
                <w:color w:val="0000FF"/>
                <w:kern w:val="2"/>
              </w:rPr>
            </w:pPr>
            <w:r>
              <w:rPr>
                <w:rFonts w:ascii="Times New Roman" w:hAnsi="Times New Roman" w:eastAsiaTheme="minorEastAsia"/>
                <w:color w:val="0000FF"/>
                <w:kern w:val="2"/>
              </w:rPr>
              <w:t>烘干产生NOx无组织排放量为0.0046t/a，排放速率为0.0016kg/h。</w:t>
            </w:r>
          </w:p>
          <w:p w14:paraId="2919F7F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（6）烘干出料口卸料（成品库）G6</w:t>
            </w:r>
          </w:p>
          <w:p w14:paraId="644A9AAA">
            <w:pPr>
              <w:pStyle w:val="65"/>
              <w:ind w:firstLine="480"/>
              <w:rPr>
                <w:rFonts w:eastAsiaTheme="minorEastAsia"/>
                <w:color w:val="000000" w:themeColor="text1"/>
                <w14:textFill>
                  <w14:solidFill>
                    <w14:schemeClr w14:val="tx1"/>
                  </w14:solidFill>
                </w14:textFill>
              </w:rPr>
            </w:pPr>
            <w:r>
              <w:rPr>
                <w:rFonts w:eastAsiaTheme="minorEastAsia"/>
                <w:color w:val="0000FF"/>
              </w:rPr>
              <w:t>烘干后的物料经烘干出料口通过封闭传送带直接输送至成品库卸料，在卸料口侧方设置集气罩，收集效率为80%，用于收集上料产生的颗粒物，收集后的颗粒物经脉冲袋式除尘器处理后通过1根15m高排气筒DA002（投料、破碎、造粒、卸料共用1根排气筒）排放，布袋除尘器处理效率为99%。因其卸料方式与物料卸车相似，参照物料装卸扬尘进行计算。</w:t>
            </w:r>
            <w:r>
              <w:rPr>
                <w:rFonts w:eastAsiaTheme="minorEastAsia"/>
                <w:color w:val="000000" w:themeColor="text1"/>
                <w14:textFill>
                  <w14:solidFill>
                    <w14:schemeClr w14:val="tx1"/>
                  </w14:solidFill>
                </w14:textFill>
              </w:rPr>
              <w:t>根据《排放源统计调查产排污核算方法和系数手册》中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工业源-附表2工业源固体物料堆场颗粒物核算系数手册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可知，物料在贮存过程中产生的颗粒物，装卸扬尘颗粒物产生量计算公式如下：</w:t>
            </w:r>
          </w:p>
          <w:p w14:paraId="1D1C671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ZCy =[Nc×D×（a/b）]×10</w:t>
            </w:r>
            <w:r>
              <w:rPr>
                <w:rFonts w:eastAsiaTheme="minorEastAsia"/>
                <w:color w:val="000000" w:themeColor="text1"/>
                <w:vertAlign w:val="superscript"/>
                <w14:textFill>
                  <w14:solidFill>
                    <w14:schemeClr w14:val="tx1"/>
                  </w14:solidFill>
                </w14:textFill>
              </w:rPr>
              <w:t>-3</w:t>
            </w:r>
          </w:p>
          <w:p w14:paraId="65ABB67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式中：P——颗粒物产生量（单位：吨）</w:t>
            </w:r>
          </w:p>
          <w:p w14:paraId="07830C2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ZCy—装卸扬尘产生量（单位：吨）；</w:t>
            </w:r>
          </w:p>
          <w:p w14:paraId="49752A3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Nc—年物料运载车次（单位：车）；</w:t>
            </w:r>
          </w:p>
          <w:p w14:paraId="2EE1BD8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D—单车平均运载量（单位：吨/车），项目产品量约为4.5万吨，则Nc×D值为45000t；</w:t>
            </w:r>
          </w:p>
          <w:p w14:paraId="253192D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（a/b）——装卸扬尘概化系数（单位：千克/吨），根据《排放源统计调查产排污核算方法和系数手册》）中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工业源-附表2 工业源固体物料堆场颗粒物核算系数手册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中a——指各省风速概化系数，见附录1可知辽宁省为2.59m/s，a=0.0015，b——指物料含水率概化系数，本项目产品为块状，参照附录2各类型堆场含水率概化系数中09块矿，见附录2，b=0.0064；</w:t>
            </w:r>
          </w:p>
          <w:p w14:paraId="79DAA93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经计算本项目烘干卸料在产品库扬尘产生量为10.547t。</w:t>
            </w:r>
          </w:p>
          <w:p w14:paraId="549B0A95">
            <w:pPr>
              <w:pStyle w:val="65"/>
              <w:ind w:firstLine="480"/>
              <w:rPr>
                <w:rFonts w:eastAsiaTheme="minorEastAsia"/>
                <w:color w:val="000000" w:themeColor="text1"/>
                <w14:textFill>
                  <w14:solidFill>
                    <w14:schemeClr w14:val="tx1"/>
                  </w14:solidFill>
                </w14:textFill>
              </w:rPr>
            </w:pPr>
            <w:r>
              <w:rPr>
                <w:rFonts w:eastAsiaTheme="minorEastAsia"/>
                <w:color w:val="0000FF"/>
              </w:rPr>
              <w:t>在卸料口侧方设置集气罩，收集效率为80%，用于收集上料产生的颗粒物，收集后的颗粒物经脉冲袋式除尘器处理后通过1根15m高排气筒DA002（投料、破碎、造粒、卸料共用1根排气筒）排放，布袋除尘器处理效率为99%。</w:t>
            </w:r>
          </w:p>
          <w:p w14:paraId="5AF1E15A">
            <w:pPr>
              <w:pStyle w:val="65"/>
              <w:ind w:firstLine="480"/>
              <w:rPr>
                <w:rFonts w:eastAsiaTheme="minorEastAsia"/>
                <w:color w:val="0000FF"/>
              </w:rPr>
            </w:pPr>
            <w:r>
              <w:rPr>
                <w:rFonts w:eastAsiaTheme="minorEastAsia"/>
                <w:color w:val="0000FF"/>
              </w:rPr>
              <w:t>有组织：烘干卸料工序颗粒物有组织排放量为0.0844t/a，排放速率为0.0293kg/h。</w:t>
            </w:r>
          </w:p>
          <w:p w14:paraId="0C5F10C4">
            <w:pPr>
              <w:pStyle w:val="65"/>
              <w:ind w:firstLine="480"/>
              <w:rPr>
                <w:rFonts w:eastAsiaTheme="minorEastAsia"/>
                <w:color w:val="0000FF"/>
              </w:rPr>
            </w:pPr>
            <w:r>
              <w:rPr>
                <w:rFonts w:eastAsiaTheme="minorEastAsia"/>
                <w:color w:val="0000FF"/>
              </w:rPr>
              <w:t>无组织：烘干卸料口位于产品库中，未被收集的颗粒物约80%自然沉降在原料库内，约20%通过原料库门窗无组织排放。则烘干卸料工序颗粒物无组织排放量为0.4219t/a，排放速率为0.1465kg/h。</w:t>
            </w:r>
          </w:p>
          <w:p w14:paraId="3612E53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（6）产品储存和装车</w:t>
            </w:r>
          </w:p>
          <w:p w14:paraId="0DF0BA7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根据《排放源统计调查产排污核算方法和系数手册》中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工业源-附表2工业源固体物料堆场颗粒物核算系数手册</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可知，物料在贮存过程中产生的颗粒物，包括装卸扬尘和风蚀扬尘，颗粒物产生量计算公式如下：</w:t>
            </w:r>
          </w:p>
          <w:p w14:paraId="672F0DC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P=ZCy+FCy=[Nc×D×（a/b）+2×E</w:t>
            </w:r>
            <w:r>
              <w:rPr>
                <w:rFonts w:eastAsiaTheme="minorEastAsia"/>
                <w:color w:val="000000" w:themeColor="text1"/>
                <w:vertAlign w:val="subscript"/>
                <w14:textFill>
                  <w14:solidFill>
                    <w14:schemeClr w14:val="tx1"/>
                  </w14:solidFill>
                </w14:textFill>
              </w:rPr>
              <w:t>f</w:t>
            </w:r>
            <w:r>
              <w:rPr>
                <w:rFonts w:eastAsiaTheme="minorEastAsia"/>
                <w:color w:val="000000" w:themeColor="text1"/>
                <w14:textFill>
                  <w14:solidFill>
                    <w14:schemeClr w14:val="tx1"/>
                  </w14:solidFill>
                </w14:textFill>
              </w:rPr>
              <w:t>×S]×10</w:t>
            </w:r>
            <w:r>
              <w:rPr>
                <w:rFonts w:eastAsiaTheme="minorEastAsia"/>
                <w:color w:val="000000" w:themeColor="text1"/>
                <w:vertAlign w:val="superscript"/>
                <w14:textFill>
                  <w14:solidFill>
                    <w14:schemeClr w14:val="tx1"/>
                  </w14:solidFill>
                </w14:textFill>
              </w:rPr>
              <w:t>-3</w:t>
            </w:r>
          </w:p>
          <w:p w14:paraId="13303FE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辽宁省a取值0.0015，b指物料含水率概化系数，本项目产品为块状，参照附录2各类型堆场含水率概化系数中09块矿，见附录2，b=0.0064；风蚀扬尘概化系数Ef（千克/平方米），符合附录3风蚀概化系数中09块矿，Ef=0；堆场占地面积S（单位：平方米）200平方米；本项目产品热造块生产45000t/a。</w:t>
            </w:r>
          </w:p>
          <w:p w14:paraId="3D0FFB4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经计算本项目产品储存和装车扬尘产生量为10.547t。</w:t>
            </w:r>
          </w:p>
          <w:p w14:paraId="29287AE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工业企业固体物料堆场颗粒物排放量核算公式如下：</w:t>
            </w:r>
          </w:p>
          <w:p w14:paraId="1100107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U</w:t>
            </w:r>
            <w:r>
              <w:rPr>
                <w:rFonts w:eastAsiaTheme="minorEastAsia"/>
                <w:color w:val="000000" w:themeColor="text1"/>
                <w:vertAlign w:val="subscript"/>
                <w14:textFill>
                  <w14:solidFill>
                    <w14:schemeClr w14:val="tx1"/>
                  </w14:solidFill>
                </w14:textFill>
              </w:rPr>
              <w:t>c</w:t>
            </w:r>
            <w:r>
              <w:rPr>
                <w:rFonts w:eastAsiaTheme="minorEastAsia"/>
                <w:color w:val="000000" w:themeColor="text1"/>
                <w14:textFill>
                  <w14:solidFill>
                    <w14:schemeClr w14:val="tx1"/>
                  </w14:solidFill>
                </w14:textFill>
              </w:rPr>
              <w:t>=P×（1-C</w:t>
            </w:r>
            <w:r>
              <w:rPr>
                <w:rFonts w:eastAsiaTheme="minorEastAsia"/>
                <w:color w:val="000000" w:themeColor="text1"/>
                <w:vertAlign w:val="subscript"/>
                <w14:textFill>
                  <w14:solidFill>
                    <w14:schemeClr w14:val="tx1"/>
                  </w14:solidFill>
                </w14:textFill>
              </w:rPr>
              <w:t>m</w:t>
            </w:r>
            <w:r>
              <w:rPr>
                <w:rFonts w:eastAsiaTheme="minorEastAsia"/>
                <w:color w:val="000000" w:themeColor="text1"/>
                <w14:textFill>
                  <w14:solidFill>
                    <w14:schemeClr w14:val="tx1"/>
                  </w14:solidFill>
                </w14:textFill>
              </w:rPr>
              <w:t>）×（1-T</w:t>
            </w:r>
            <w:r>
              <w:rPr>
                <w:rFonts w:eastAsiaTheme="minorEastAsia"/>
                <w:color w:val="000000" w:themeColor="text1"/>
                <w:vertAlign w:val="subscript"/>
                <w14:textFill>
                  <w14:solidFill>
                    <w14:schemeClr w14:val="tx1"/>
                  </w14:solidFill>
                </w14:textFill>
              </w:rPr>
              <w:t>m</w:t>
            </w:r>
            <w:r>
              <w:rPr>
                <w:rFonts w:eastAsiaTheme="minorEastAsia"/>
                <w:color w:val="000000" w:themeColor="text1"/>
                <w14:textFill>
                  <w14:solidFill>
                    <w14:schemeClr w14:val="tx1"/>
                  </w14:solidFill>
                </w14:textFill>
              </w:rPr>
              <w:t>）</w:t>
            </w:r>
          </w:p>
          <w:p w14:paraId="4A856F1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本项目堆场设置在封闭产品库中，定时洒水抑尘，总控制效率约为74%；堆场类型为封闭式，控制效率为99%。</w:t>
            </w:r>
          </w:p>
          <w:p w14:paraId="7C02A8F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计算颗粒物产生量为10.547t/a，产品库沉降灰2.715t，直接沉降至产品表面，与产品成分相同且难分离，作为产品一同出售。</w:t>
            </w:r>
          </w:p>
          <w:p w14:paraId="0D197BC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无组织排放量为0.1055t/a，排放速率为0.0366kg/h。</w:t>
            </w:r>
          </w:p>
          <w:p w14:paraId="25AF406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（7）输送废气</w:t>
            </w:r>
          </w:p>
          <w:p w14:paraId="4F46ED4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本项目原料、加工生产的中间物料及产品在生产环节中均使用封闭的传送皮带输送，输送过程物料基本处于静止状态，产生的扬尘极少，且通过车间沉降，不对其进行计算。</w:t>
            </w:r>
          </w:p>
          <w:p w14:paraId="6F09EDF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（8）运输废气</w:t>
            </w:r>
          </w:p>
          <w:p w14:paraId="6AFC3FB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1）运输扬尘</w:t>
            </w:r>
          </w:p>
          <w:p w14:paraId="6A25B89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项目的运输工具为汽车，汽车在运输过程中不可避免的会产生扬尘，运输汽车在厂内道路上行驶产生的扬尘按照下述经验公式进行计算：</w:t>
            </w:r>
          </w:p>
          <w:p w14:paraId="4427094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Q=0.0079V×M</w:t>
            </w:r>
            <w:r>
              <w:rPr>
                <w:rFonts w:eastAsiaTheme="minorEastAsia"/>
                <w:color w:val="000000" w:themeColor="text1"/>
                <w:vertAlign w:val="superscript"/>
                <w14:textFill>
                  <w14:solidFill>
                    <w14:schemeClr w14:val="tx1"/>
                  </w14:solidFill>
                </w14:textFill>
              </w:rPr>
              <w:t>0.85</w:t>
            </w:r>
            <w:r>
              <w:rPr>
                <w:rFonts w:eastAsiaTheme="minorEastAsia"/>
                <w:color w:val="000000" w:themeColor="text1"/>
                <w14:textFill>
                  <w14:solidFill>
                    <w14:schemeClr w14:val="tx1"/>
                  </w14:solidFill>
                </w14:textFill>
              </w:rPr>
              <w:t>×P</w:t>
            </w:r>
            <w:r>
              <w:rPr>
                <w:rFonts w:eastAsiaTheme="minorEastAsia"/>
                <w:color w:val="000000" w:themeColor="text1"/>
                <w:vertAlign w:val="superscript"/>
                <w14:textFill>
                  <w14:solidFill>
                    <w14:schemeClr w14:val="tx1"/>
                  </w14:solidFill>
                </w14:textFill>
              </w:rPr>
              <w:t>0.72</w:t>
            </w:r>
          </w:p>
          <w:p w14:paraId="289B471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Q总=Q×L×G/M</w:t>
            </w:r>
          </w:p>
          <w:p w14:paraId="680287C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式中：Q—每辆汽车行驶的扬尘量（kg/km•辆）；</w:t>
            </w:r>
          </w:p>
          <w:p w14:paraId="441FE25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Q总—汽车运输总扬尘量（kg/a）；</w:t>
            </w:r>
          </w:p>
          <w:p w14:paraId="163BFA6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V—汽车行驶速度（km/h），项目厂内运输取10km/h；</w:t>
            </w:r>
          </w:p>
          <w:p w14:paraId="16021B7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M—汽车重量（t）；50t/辆</w:t>
            </w:r>
          </w:p>
          <w:p w14:paraId="69E5244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P—道路表面粉尘量（kg/m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），取 0.5kg/m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 xml:space="preserve"> ； </w:t>
            </w:r>
          </w:p>
          <w:p w14:paraId="16ACEB5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 xml:space="preserve">L—运距（km），内部平均运距0.1km； </w:t>
            </w:r>
          </w:p>
          <w:p w14:paraId="02CE448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G—运输量（t），年运输量为9.5万t（原料5万t，出厂产品4.5万t）。</w:t>
            </w:r>
          </w:p>
          <w:p w14:paraId="3E26A3B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经计算运输扬尘产生量约为1.34kg/km·辆，汽车运输总扬尘产生量0.254t/a。对运输车辆进行覆盖，道路洒水抑尘等措施，可使扬尘排放量减少80%以上，则运输扬尘排放量为0.0508t/a，排放速率为0.0176kg/h。</w:t>
            </w:r>
          </w:p>
          <w:p w14:paraId="6B6271D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2）运输尾气</w:t>
            </w:r>
          </w:p>
          <w:p w14:paraId="3AB5A92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本项目原料及产品均使用汽车运输，项目配套6台50t汽车。车辆平均运距30km/d。单车排放因子运营近期按照</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国Ⅳ</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（取值相对保守）标准取值（参照国家环保部机动车尾气监控中心公布的《在用车综合排放因子》），取值情况详见下表。</w:t>
            </w:r>
          </w:p>
          <w:p w14:paraId="662746F6">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表4-5单车排放因子系数    单位：g/km·辆</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1672"/>
              <w:gridCol w:w="1672"/>
              <w:gridCol w:w="1672"/>
              <w:gridCol w:w="1673"/>
            </w:tblGrid>
            <w:tr w14:paraId="28404A4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PrEx>
              <w:trPr>
                <w:jc w:val="center"/>
              </w:trPr>
              <w:tc>
                <w:tcPr>
                  <w:tcW w:w="1589" w:type="dxa"/>
                  <w:vAlign w:val="center"/>
                </w:tcPr>
                <w:p w14:paraId="0BDA26A2">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类别</w:t>
                  </w:r>
                </w:p>
              </w:tc>
              <w:tc>
                <w:tcPr>
                  <w:tcW w:w="1589" w:type="dxa"/>
                  <w:vAlign w:val="center"/>
                </w:tcPr>
                <w:p w14:paraId="4B08D178">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污染物</w:t>
                  </w:r>
                </w:p>
              </w:tc>
              <w:tc>
                <w:tcPr>
                  <w:tcW w:w="1589" w:type="dxa"/>
                  <w:vAlign w:val="center"/>
                </w:tcPr>
                <w:p w14:paraId="2C58C069">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小型车</w:t>
                  </w:r>
                </w:p>
              </w:tc>
              <w:tc>
                <w:tcPr>
                  <w:tcW w:w="1589" w:type="dxa"/>
                  <w:vAlign w:val="center"/>
                </w:tcPr>
                <w:p w14:paraId="63DA517C">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中型车</w:t>
                  </w:r>
                </w:p>
              </w:tc>
              <w:tc>
                <w:tcPr>
                  <w:tcW w:w="1590" w:type="dxa"/>
                  <w:vAlign w:val="center"/>
                </w:tcPr>
                <w:p w14:paraId="4974FDFA">
                  <w:pPr>
                    <w:adjustRightInd w:val="0"/>
                    <w:snapToGrid w:val="0"/>
                    <w:ind w:firstLine="422"/>
                    <w:jc w:val="center"/>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大型车</w:t>
                  </w:r>
                </w:p>
              </w:tc>
            </w:tr>
            <w:tr w14:paraId="25BD9C0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Merge w:val="restart"/>
                  <w:vAlign w:val="center"/>
                </w:tcPr>
                <w:p w14:paraId="456EFD5B">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国Ⅳ</w:t>
                  </w:r>
                </w:p>
              </w:tc>
              <w:tc>
                <w:tcPr>
                  <w:tcW w:w="1589" w:type="dxa"/>
                  <w:vAlign w:val="center"/>
                </w:tcPr>
                <w:p w14:paraId="4DFA6B4B">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CO</w:t>
                  </w:r>
                </w:p>
              </w:tc>
              <w:tc>
                <w:tcPr>
                  <w:tcW w:w="1589" w:type="dxa"/>
                  <w:vAlign w:val="center"/>
                </w:tcPr>
                <w:p w14:paraId="1AF2F0EB">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0.22</w:t>
                  </w:r>
                </w:p>
              </w:tc>
              <w:tc>
                <w:tcPr>
                  <w:tcW w:w="1589" w:type="dxa"/>
                  <w:vAlign w:val="center"/>
                </w:tcPr>
                <w:p w14:paraId="75112496">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0.90</w:t>
                  </w:r>
                </w:p>
              </w:tc>
              <w:tc>
                <w:tcPr>
                  <w:tcW w:w="1590" w:type="dxa"/>
                  <w:vAlign w:val="center"/>
                </w:tcPr>
                <w:p w14:paraId="2DB577B1">
                  <w:pPr>
                    <w:adjustRightInd w:val="0"/>
                    <w:snapToGrid w:val="0"/>
                    <w:ind w:firstLine="422"/>
                    <w:jc w:val="center"/>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2.00</w:t>
                  </w:r>
                </w:p>
              </w:tc>
            </w:tr>
            <w:tr w14:paraId="7B5DC0D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Merge w:val="continue"/>
                  <w:vAlign w:val="center"/>
                </w:tcPr>
                <w:p w14:paraId="76180432">
                  <w:pPr>
                    <w:widowControl/>
                    <w:rPr>
                      <w:rFonts w:eastAsiaTheme="minorEastAsia"/>
                      <w:color w:val="000000" w:themeColor="text1"/>
                      <w:szCs w:val="21"/>
                      <w14:textFill>
                        <w14:solidFill>
                          <w14:schemeClr w14:val="tx1"/>
                        </w14:solidFill>
                      </w14:textFill>
                    </w:rPr>
                  </w:pPr>
                </w:p>
              </w:tc>
              <w:tc>
                <w:tcPr>
                  <w:tcW w:w="1589" w:type="dxa"/>
                  <w:vAlign w:val="center"/>
                </w:tcPr>
                <w:p w14:paraId="1265E6D5">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NO</w:t>
                  </w:r>
                  <w:r>
                    <w:rPr>
                      <w:rFonts w:eastAsiaTheme="minorEastAsia"/>
                      <w:color w:val="000000" w:themeColor="text1"/>
                      <w:szCs w:val="21"/>
                      <w:vertAlign w:val="subscript"/>
                      <w14:textFill>
                        <w14:solidFill>
                          <w14:schemeClr w14:val="tx1"/>
                        </w14:solidFill>
                      </w14:textFill>
                    </w:rPr>
                    <w:t>X</w:t>
                  </w:r>
                </w:p>
              </w:tc>
              <w:tc>
                <w:tcPr>
                  <w:tcW w:w="1589" w:type="dxa"/>
                  <w:vAlign w:val="center"/>
                </w:tcPr>
                <w:p w14:paraId="6A5525CF">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0.05</w:t>
                  </w:r>
                </w:p>
              </w:tc>
              <w:tc>
                <w:tcPr>
                  <w:tcW w:w="1589" w:type="dxa"/>
                  <w:vAlign w:val="center"/>
                </w:tcPr>
                <w:p w14:paraId="5F986B63">
                  <w:pPr>
                    <w:adjustRightInd w:val="0"/>
                    <w:snapToGrid w:val="0"/>
                    <w:ind w:firstLine="42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0.84</w:t>
                  </w:r>
                </w:p>
              </w:tc>
              <w:tc>
                <w:tcPr>
                  <w:tcW w:w="1590" w:type="dxa"/>
                  <w:vAlign w:val="center"/>
                </w:tcPr>
                <w:p w14:paraId="755C9219">
                  <w:pPr>
                    <w:adjustRightInd w:val="0"/>
                    <w:snapToGrid w:val="0"/>
                    <w:ind w:firstLine="422"/>
                    <w:jc w:val="center"/>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3.80</w:t>
                  </w:r>
                </w:p>
              </w:tc>
            </w:tr>
          </w:tbl>
          <w:p w14:paraId="56BAF5F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综上所述，本项目车辆为大型车，车辆尾气中废气按照下式计算：</w:t>
            </w:r>
          </w:p>
          <w:p w14:paraId="5D7A7E5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污染物排放量=平均运距×排放因子系数×汽车数量×180天</w:t>
            </w:r>
          </w:p>
          <w:p w14:paraId="3F4E7EC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计算结果单位转化为t/a，则CO排放量为0.0648t/a、NO</w:t>
            </w:r>
            <w:r>
              <w:rPr>
                <w:rFonts w:eastAsiaTheme="minorEastAsia"/>
                <w:color w:val="000000" w:themeColor="text1"/>
                <w:vertAlign w:val="subscript"/>
                <w14:textFill>
                  <w14:solidFill>
                    <w14:schemeClr w14:val="tx1"/>
                  </w14:solidFill>
                </w14:textFill>
              </w:rPr>
              <w:t>X</w:t>
            </w:r>
            <w:r>
              <w:rPr>
                <w:rFonts w:eastAsiaTheme="minorEastAsia"/>
                <w:color w:val="000000" w:themeColor="text1"/>
                <w14:textFill>
                  <w14:solidFill>
                    <w14:schemeClr w14:val="tx1"/>
                  </w14:solidFill>
                </w14:textFill>
              </w:rPr>
              <w:t>排放量为0.1236t/a。</w:t>
            </w:r>
          </w:p>
          <w:p w14:paraId="4161FBE5">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2.大气污染物排放量核算</w:t>
            </w:r>
          </w:p>
          <w:p w14:paraId="67096019">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表4-6本项目DA001排气筒废气产生及排放情况一览表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79"/>
              <w:gridCol w:w="579"/>
              <w:gridCol w:w="578"/>
              <w:gridCol w:w="578"/>
              <w:gridCol w:w="497"/>
              <w:gridCol w:w="662"/>
              <w:gridCol w:w="579"/>
              <w:gridCol w:w="581"/>
              <w:gridCol w:w="579"/>
              <w:gridCol w:w="487"/>
              <w:gridCol w:w="633"/>
              <w:gridCol w:w="649"/>
              <w:gridCol w:w="651"/>
              <w:gridCol w:w="730"/>
            </w:tblGrid>
            <w:tr w14:paraId="5F94050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579" w:type="dxa"/>
                  <w:vMerge w:val="restart"/>
                  <w:tcBorders>
                    <w:top w:val="double" w:color="auto" w:sz="2" w:space="0"/>
                    <w:left w:val="nil"/>
                    <w:bottom w:val="single" w:color="auto" w:sz="4" w:space="0"/>
                    <w:right w:val="single" w:color="auto" w:sz="4" w:space="0"/>
                  </w:tcBorders>
                  <w:vAlign w:val="center"/>
                </w:tcPr>
                <w:p w14:paraId="6DB88C1A">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排气筒编号</w:t>
                  </w:r>
                </w:p>
              </w:tc>
              <w:tc>
                <w:tcPr>
                  <w:tcW w:w="579" w:type="dxa"/>
                  <w:vMerge w:val="restart"/>
                  <w:tcBorders>
                    <w:top w:val="double" w:color="auto" w:sz="2" w:space="0"/>
                    <w:left w:val="single" w:color="auto" w:sz="4" w:space="0"/>
                    <w:bottom w:val="single" w:color="auto" w:sz="4" w:space="0"/>
                    <w:right w:val="single" w:color="auto" w:sz="4" w:space="0"/>
                  </w:tcBorders>
                  <w:vAlign w:val="center"/>
                </w:tcPr>
                <w:p w14:paraId="5BE3A64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产污环节</w:t>
                  </w:r>
                </w:p>
              </w:tc>
              <w:tc>
                <w:tcPr>
                  <w:tcW w:w="578" w:type="dxa"/>
                  <w:vMerge w:val="restart"/>
                  <w:tcBorders>
                    <w:top w:val="double" w:color="auto" w:sz="2" w:space="0"/>
                    <w:left w:val="single" w:color="auto" w:sz="4" w:space="0"/>
                    <w:bottom w:val="single" w:color="auto" w:sz="4" w:space="0"/>
                    <w:right w:val="single" w:color="auto" w:sz="4" w:space="0"/>
                  </w:tcBorders>
                  <w:vAlign w:val="center"/>
                </w:tcPr>
                <w:p w14:paraId="476F9E5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污染物</w:t>
                  </w:r>
                </w:p>
              </w:tc>
              <w:tc>
                <w:tcPr>
                  <w:tcW w:w="578" w:type="dxa"/>
                  <w:vMerge w:val="restart"/>
                  <w:tcBorders>
                    <w:top w:val="double" w:color="auto" w:sz="2" w:space="0"/>
                    <w:left w:val="single" w:color="auto" w:sz="4" w:space="0"/>
                    <w:bottom w:val="single" w:color="auto" w:sz="4" w:space="0"/>
                    <w:right w:val="single" w:color="auto" w:sz="4" w:space="0"/>
                  </w:tcBorders>
                  <w:vAlign w:val="center"/>
                </w:tcPr>
                <w:p w14:paraId="2019EBDD">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风量m</w:t>
                  </w:r>
                  <w:r>
                    <w:rPr>
                      <w:rFonts w:eastAsiaTheme="minorEastAsia"/>
                      <w:color w:val="000000" w:themeColor="text1"/>
                      <w:szCs w:val="21"/>
                      <w:vertAlign w:val="superscript"/>
                      <w14:textFill>
                        <w14:solidFill>
                          <w14:schemeClr w14:val="tx1"/>
                        </w14:solidFill>
                      </w14:textFill>
                    </w:rPr>
                    <w:t>3</w:t>
                  </w:r>
                  <w:r>
                    <w:rPr>
                      <w:rFonts w:eastAsiaTheme="minorEastAsia"/>
                      <w:color w:val="000000" w:themeColor="text1"/>
                      <w:szCs w:val="21"/>
                      <w14:textFill>
                        <w14:solidFill>
                          <w14:schemeClr w14:val="tx1"/>
                        </w14:solidFill>
                      </w14:textFill>
                    </w:rPr>
                    <w:t>/h</w:t>
                  </w:r>
                </w:p>
              </w:tc>
              <w:tc>
                <w:tcPr>
                  <w:tcW w:w="497" w:type="dxa"/>
                  <w:vMerge w:val="restart"/>
                  <w:tcBorders>
                    <w:top w:val="double" w:color="auto" w:sz="2" w:space="0"/>
                    <w:left w:val="single" w:color="auto" w:sz="4" w:space="0"/>
                    <w:bottom w:val="single" w:color="auto" w:sz="4" w:space="0"/>
                    <w:right w:val="single" w:color="auto" w:sz="4" w:space="0"/>
                  </w:tcBorders>
                  <w:vAlign w:val="center"/>
                </w:tcPr>
                <w:p w14:paraId="1D7A2D9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排放时间h</w:t>
                  </w:r>
                </w:p>
              </w:tc>
              <w:tc>
                <w:tcPr>
                  <w:tcW w:w="1822" w:type="dxa"/>
                  <w:gridSpan w:val="3"/>
                  <w:tcBorders>
                    <w:top w:val="double" w:color="auto" w:sz="2" w:space="0"/>
                    <w:left w:val="single" w:color="auto" w:sz="4" w:space="0"/>
                    <w:bottom w:val="single" w:color="auto" w:sz="4" w:space="0"/>
                    <w:right w:val="single" w:color="auto" w:sz="4" w:space="0"/>
                  </w:tcBorders>
                  <w:vAlign w:val="center"/>
                </w:tcPr>
                <w:p w14:paraId="7334BFF1">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产生情况</w:t>
                  </w:r>
                </w:p>
              </w:tc>
              <w:tc>
                <w:tcPr>
                  <w:tcW w:w="579" w:type="dxa"/>
                  <w:vMerge w:val="restart"/>
                  <w:tcBorders>
                    <w:top w:val="double" w:color="auto" w:sz="2" w:space="0"/>
                    <w:left w:val="single" w:color="auto" w:sz="4" w:space="0"/>
                    <w:bottom w:val="single" w:color="auto" w:sz="4" w:space="0"/>
                    <w:right w:val="single" w:color="auto" w:sz="4" w:space="0"/>
                  </w:tcBorders>
                  <w:vAlign w:val="center"/>
                </w:tcPr>
                <w:p w14:paraId="49B46D9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治理措施</w:t>
                  </w:r>
                </w:p>
              </w:tc>
              <w:tc>
                <w:tcPr>
                  <w:tcW w:w="487" w:type="dxa"/>
                  <w:vMerge w:val="restart"/>
                  <w:tcBorders>
                    <w:top w:val="double" w:color="auto" w:sz="2" w:space="0"/>
                    <w:left w:val="single" w:color="auto" w:sz="4" w:space="0"/>
                    <w:bottom w:val="single" w:color="auto" w:sz="4" w:space="0"/>
                    <w:right w:val="single" w:color="auto" w:sz="4" w:space="0"/>
                  </w:tcBorders>
                  <w:vAlign w:val="center"/>
                </w:tcPr>
                <w:p w14:paraId="29DC5EF8">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去除效率%</w:t>
                  </w:r>
                </w:p>
              </w:tc>
              <w:tc>
                <w:tcPr>
                  <w:tcW w:w="633" w:type="dxa"/>
                  <w:vMerge w:val="restart"/>
                  <w:tcBorders>
                    <w:top w:val="double" w:color="auto" w:sz="2" w:space="0"/>
                    <w:left w:val="single" w:color="auto" w:sz="4" w:space="0"/>
                    <w:bottom w:val="single" w:color="auto" w:sz="4" w:space="0"/>
                    <w:right w:val="single" w:color="auto" w:sz="4" w:space="0"/>
                  </w:tcBorders>
                  <w:vAlign w:val="center"/>
                </w:tcPr>
                <w:p w14:paraId="06341D4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是否为可行技术</w:t>
                  </w:r>
                </w:p>
              </w:tc>
              <w:tc>
                <w:tcPr>
                  <w:tcW w:w="2030" w:type="dxa"/>
                  <w:gridSpan w:val="3"/>
                  <w:tcBorders>
                    <w:top w:val="double" w:color="auto" w:sz="2" w:space="0"/>
                    <w:left w:val="single" w:color="auto" w:sz="4" w:space="0"/>
                    <w:bottom w:val="nil"/>
                    <w:right w:val="nil"/>
                  </w:tcBorders>
                  <w:vAlign w:val="center"/>
                </w:tcPr>
                <w:p w14:paraId="1853BD5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排放情况</w:t>
                  </w:r>
                </w:p>
              </w:tc>
            </w:tr>
            <w:tr w14:paraId="664E189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79" w:type="dxa"/>
                  <w:vMerge w:val="continue"/>
                  <w:tcBorders>
                    <w:top w:val="double" w:color="auto" w:sz="2" w:space="0"/>
                    <w:left w:val="nil"/>
                    <w:bottom w:val="single" w:color="auto" w:sz="4" w:space="0"/>
                    <w:right w:val="single" w:color="auto" w:sz="4" w:space="0"/>
                  </w:tcBorders>
                  <w:vAlign w:val="center"/>
                </w:tcPr>
                <w:p w14:paraId="4C90D300">
                  <w:pPr>
                    <w:widowControl/>
                    <w:rPr>
                      <w:rFonts w:eastAsiaTheme="minorEastAsia"/>
                      <w:color w:val="000000" w:themeColor="text1"/>
                      <w:szCs w:val="21"/>
                      <w14:textFill>
                        <w14:solidFill>
                          <w14:schemeClr w14:val="tx1"/>
                        </w14:solidFill>
                      </w14:textFill>
                    </w:rPr>
                  </w:pPr>
                </w:p>
              </w:tc>
              <w:tc>
                <w:tcPr>
                  <w:tcW w:w="579" w:type="dxa"/>
                  <w:vMerge w:val="continue"/>
                  <w:tcBorders>
                    <w:top w:val="double" w:color="auto" w:sz="2" w:space="0"/>
                    <w:left w:val="single" w:color="auto" w:sz="4" w:space="0"/>
                    <w:bottom w:val="single" w:color="auto" w:sz="4" w:space="0"/>
                    <w:right w:val="single" w:color="auto" w:sz="4" w:space="0"/>
                  </w:tcBorders>
                  <w:vAlign w:val="center"/>
                </w:tcPr>
                <w:p w14:paraId="6AFB8675">
                  <w:pPr>
                    <w:widowControl/>
                    <w:rPr>
                      <w:rFonts w:eastAsiaTheme="minorEastAsia"/>
                      <w:color w:val="000000" w:themeColor="text1"/>
                      <w:szCs w:val="21"/>
                      <w14:textFill>
                        <w14:solidFill>
                          <w14:schemeClr w14:val="tx1"/>
                        </w14:solidFill>
                      </w14:textFill>
                    </w:rPr>
                  </w:pPr>
                </w:p>
              </w:tc>
              <w:tc>
                <w:tcPr>
                  <w:tcW w:w="578" w:type="dxa"/>
                  <w:vMerge w:val="continue"/>
                  <w:tcBorders>
                    <w:top w:val="double" w:color="auto" w:sz="2" w:space="0"/>
                    <w:left w:val="single" w:color="auto" w:sz="4" w:space="0"/>
                    <w:bottom w:val="single" w:color="auto" w:sz="4" w:space="0"/>
                    <w:right w:val="single" w:color="auto" w:sz="4" w:space="0"/>
                  </w:tcBorders>
                  <w:vAlign w:val="center"/>
                </w:tcPr>
                <w:p w14:paraId="4E622014">
                  <w:pPr>
                    <w:widowControl/>
                    <w:rPr>
                      <w:rFonts w:eastAsiaTheme="minorEastAsia"/>
                      <w:color w:val="000000" w:themeColor="text1"/>
                      <w:szCs w:val="21"/>
                      <w14:textFill>
                        <w14:solidFill>
                          <w14:schemeClr w14:val="tx1"/>
                        </w14:solidFill>
                      </w14:textFill>
                    </w:rPr>
                  </w:pPr>
                </w:p>
              </w:tc>
              <w:tc>
                <w:tcPr>
                  <w:tcW w:w="578" w:type="dxa"/>
                  <w:vMerge w:val="continue"/>
                  <w:tcBorders>
                    <w:top w:val="double" w:color="auto" w:sz="2" w:space="0"/>
                    <w:left w:val="single" w:color="auto" w:sz="4" w:space="0"/>
                    <w:bottom w:val="single" w:color="auto" w:sz="4" w:space="0"/>
                    <w:right w:val="single" w:color="auto" w:sz="4" w:space="0"/>
                  </w:tcBorders>
                  <w:vAlign w:val="center"/>
                </w:tcPr>
                <w:p w14:paraId="2575768F">
                  <w:pPr>
                    <w:widowControl/>
                    <w:rPr>
                      <w:rFonts w:eastAsiaTheme="minorEastAsia"/>
                      <w:color w:val="000000" w:themeColor="text1"/>
                      <w:szCs w:val="21"/>
                      <w14:textFill>
                        <w14:solidFill>
                          <w14:schemeClr w14:val="tx1"/>
                        </w14:solidFill>
                      </w14:textFill>
                    </w:rPr>
                  </w:pPr>
                </w:p>
              </w:tc>
              <w:tc>
                <w:tcPr>
                  <w:tcW w:w="497" w:type="dxa"/>
                  <w:vMerge w:val="continue"/>
                  <w:tcBorders>
                    <w:top w:val="double" w:color="auto" w:sz="2" w:space="0"/>
                    <w:left w:val="single" w:color="auto" w:sz="4" w:space="0"/>
                    <w:bottom w:val="single" w:color="auto" w:sz="4" w:space="0"/>
                    <w:right w:val="single" w:color="auto" w:sz="4" w:space="0"/>
                  </w:tcBorders>
                  <w:vAlign w:val="center"/>
                </w:tcPr>
                <w:p w14:paraId="265216E1">
                  <w:pPr>
                    <w:widowControl/>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364481C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浓度mg/m</w:t>
                  </w:r>
                  <w:r>
                    <w:rPr>
                      <w:rFonts w:eastAsiaTheme="minorEastAsia"/>
                      <w:color w:val="000000" w:themeColor="text1"/>
                      <w:szCs w:val="21"/>
                      <w:vertAlign w:val="superscript"/>
                      <w14:textFill>
                        <w14:solidFill>
                          <w14:schemeClr w14:val="tx1"/>
                        </w14:solidFill>
                      </w14:textFill>
                    </w:rPr>
                    <w:t>3</w:t>
                  </w:r>
                </w:p>
              </w:tc>
              <w:tc>
                <w:tcPr>
                  <w:tcW w:w="579" w:type="dxa"/>
                  <w:tcBorders>
                    <w:top w:val="single" w:color="auto" w:sz="4" w:space="0"/>
                    <w:left w:val="single" w:color="auto" w:sz="4" w:space="0"/>
                    <w:bottom w:val="single" w:color="auto" w:sz="4" w:space="0"/>
                    <w:right w:val="single" w:color="auto" w:sz="4" w:space="0"/>
                  </w:tcBorders>
                  <w:vAlign w:val="center"/>
                </w:tcPr>
                <w:p w14:paraId="7D340A3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速率kg/h</w:t>
                  </w:r>
                </w:p>
              </w:tc>
              <w:tc>
                <w:tcPr>
                  <w:tcW w:w="581" w:type="dxa"/>
                  <w:tcBorders>
                    <w:top w:val="single" w:color="auto" w:sz="4" w:space="0"/>
                    <w:left w:val="single" w:color="auto" w:sz="4" w:space="0"/>
                    <w:bottom w:val="single" w:color="auto" w:sz="4" w:space="0"/>
                    <w:right w:val="single" w:color="auto" w:sz="4" w:space="0"/>
                  </w:tcBorders>
                  <w:vAlign w:val="center"/>
                </w:tcPr>
                <w:p w14:paraId="5079703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产生量t/a</w:t>
                  </w:r>
                </w:p>
              </w:tc>
              <w:tc>
                <w:tcPr>
                  <w:tcW w:w="579" w:type="dxa"/>
                  <w:vMerge w:val="continue"/>
                  <w:tcBorders>
                    <w:top w:val="double" w:color="auto" w:sz="2" w:space="0"/>
                    <w:left w:val="single" w:color="auto" w:sz="4" w:space="0"/>
                    <w:bottom w:val="single" w:color="auto" w:sz="4" w:space="0"/>
                    <w:right w:val="single" w:color="auto" w:sz="4" w:space="0"/>
                  </w:tcBorders>
                  <w:vAlign w:val="center"/>
                </w:tcPr>
                <w:p w14:paraId="5DD20441">
                  <w:pPr>
                    <w:widowControl/>
                    <w:rPr>
                      <w:rFonts w:eastAsiaTheme="minorEastAsia"/>
                      <w:color w:val="000000" w:themeColor="text1"/>
                      <w:szCs w:val="21"/>
                      <w14:textFill>
                        <w14:solidFill>
                          <w14:schemeClr w14:val="tx1"/>
                        </w14:solidFill>
                      </w14:textFill>
                    </w:rPr>
                  </w:pPr>
                </w:p>
              </w:tc>
              <w:tc>
                <w:tcPr>
                  <w:tcW w:w="487" w:type="dxa"/>
                  <w:vMerge w:val="continue"/>
                  <w:tcBorders>
                    <w:top w:val="double" w:color="auto" w:sz="2" w:space="0"/>
                    <w:left w:val="single" w:color="auto" w:sz="4" w:space="0"/>
                    <w:bottom w:val="single" w:color="auto" w:sz="4" w:space="0"/>
                    <w:right w:val="single" w:color="auto" w:sz="4" w:space="0"/>
                  </w:tcBorders>
                  <w:vAlign w:val="center"/>
                </w:tcPr>
                <w:p w14:paraId="5CFA2680">
                  <w:pPr>
                    <w:widowControl/>
                    <w:rPr>
                      <w:rFonts w:eastAsiaTheme="minorEastAsia"/>
                      <w:color w:val="000000" w:themeColor="text1"/>
                      <w:szCs w:val="21"/>
                      <w14:textFill>
                        <w14:solidFill>
                          <w14:schemeClr w14:val="tx1"/>
                        </w14:solidFill>
                      </w14:textFill>
                    </w:rPr>
                  </w:pPr>
                </w:p>
              </w:tc>
              <w:tc>
                <w:tcPr>
                  <w:tcW w:w="633" w:type="dxa"/>
                  <w:vMerge w:val="continue"/>
                  <w:tcBorders>
                    <w:top w:val="double" w:color="auto" w:sz="2" w:space="0"/>
                    <w:left w:val="single" w:color="auto" w:sz="4" w:space="0"/>
                    <w:bottom w:val="single" w:color="auto" w:sz="4" w:space="0"/>
                    <w:right w:val="single" w:color="auto" w:sz="4" w:space="0"/>
                  </w:tcBorders>
                  <w:vAlign w:val="center"/>
                </w:tcPr>
                <w:p w14:paraId="03A3E421">
                  <w:pPr>
                    <w:widowControl/>
                    <w:rPr>
                      <w:rFonts w:eastAsiaTheme="minorEastAsia"/>
                      <w:color w:val="000000" w:themeColor="text1"/>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vAlign w:val="center"/>
                </w:tcPr>
                <w:p w14:paraId="4173817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浓度mg/m</w:t>
                  </w:r>
                  <w:r>
                    <w:rPr>
                      <w:rFonts w:eastAsiaTheme="minorEastAsia"/>
                      <w:color w:val="000000" w:themeColor="text1"/>
                      <w:szCs w:val="21"/>
                      <w:vertAlign w:val="superscript"/>
                      <w14:textFill>
                        <w14:solidFill>
                          <w14:schemeClr w14:val="tx1"/>
                        </w14:solidFill>
                      </w14:textFill>
                    </w:rPr>
                    <w:t>3</w:t>
                  </w:r>
                </w:p>
              </w:tc>
              <w:tc>
                <w:tcPr>
                  <w:tcW w:w="651" w:type="dxa"/>
                  <w:tcBorders>
                    <w:top w:val="single" w:color="auto" w:sz="4" w:space="0"/>
                    <w:left w:val="single" w:color="auto" w:sz="4" w:space="0"/>
                    <w:bottom w:val="single" w:color="auto" w:sz="4" w:space="0"/>
                    <w:right w:val="single" w:color="auto" w:sz="4" w:space="0"/>
                  </w:tcBorders>
                  <w:vAlign w:val="center"/>
                </w:tcPr>
                <w:p w14:paraId="073B2E11">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速率kg/h</w:t>
                  </w:r>
                </w:p>
              </w:tc>
              <w:tc>
                <w:tcPr>
                  <w:tcW w:w="730" w:type="dxa"/>
                  <w:tcBorders>
                    <w:top w:val="single" w:color="auto" w:sz="4" w:space="0"/>
                    <w:left w:val="single" w:color="auto" w:sz="4" w:space="0"/>
                    <w:bottom w:val="single" w:color="auto" w:sz="4" w:space="0"/>
                    <w:right w:val="nil"/>
                  </w:tcBorders>
                  <w:vAlign w:val="center"/>
                </w:tcPr>
                <w:p w14:paraId="0463089D">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排放量t/a</w:t>
                  </w:r>
                </w:p>
              </w:tc>
            </w:tr>
            <w:tr w14:paraId="5531125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restart"/>
                  <w:tcBorders>
                    <w:top w:val="single" w:color="auto" w:sz="4" w:space="0"/>
                    <w:left w:val="nil"/>
                    <w:right w:val="single" w:color="auto" w:sz="4" w:space="0"/>
                  </w:tcBorders>
                  <w:vAlign w:val="center"/>
                </w:tcPr>
                <w:p w14:paraId="5D135E5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DA001</w:t>
                  </w:r>
                </w:p>
              </w:tc>
              <w:tc>
                <w:tcPr>
                  <w:tcW w:w="579" w:type="dxa"/>
                  <w:vMerge w:val="restart"/>
                  <w:tcBorders>
                    <w:top w:val="single" w:color="auto" w:sz="4" w:space="0"/>
                    <w:left w:val="single" w:color="auto" w:sz="4" w:space="0"/>
                    <w:right w:val="single" w:color="auto" w:sz="4" w:space="0"/>
                  </w:tcBorders>
                  <w:vAlign w:val="center"/>
                </w:tcPr>
                <w:p w14:paraId="4B16C329">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烘干</w:t>
                  </w:r>
                </w:p>
              </w:tc>
              <w:tc>
                <w:tcPr>
                  <w:tcW w:w="578" w:type="dxa"/>
                  <w:tcBorders>
                    <w:top w:val="single" w:color="auto" w:sz="4" w:space="0"/>
                    <w:left w:val="single" w:color="auto" w:sz="4" w:space="0"/>
                    <w:bottom w:val="single" w:color="auto" w:sz="4" w:space="0"/>
                    <w:right w:val="single" w:color="auto" w:sz="4" w:space="0"/>
                  </w:tcBorders>
                  <w:vAlign w:val="center"/>
                </w:tcPr>
                <w:p w14:paraId="4349E565">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578" w:type="dxa"/>
                  <w:vMerge w:val="restart"/>
                  <w:tcBorders>
                    <w:top w:val="single" w:color="auto" w:sz="4" w:space="0"/>
                    <w:left w:val="single" w:color="auto" w:sz="4" w:space="0"/>
                    <w:right w:val="single" w:color="auto" w:sz="4" w:space="0"/>
                  </w:tcBorders>
                  <w:vAlign w:val="center"/>
                </w:tcPr>
                <w:p w14:paraId="04F223F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5000</w:t>
                  </w:r>
                </w:p>
              </w:tc>
              <w:tc>
                <w:tcPr>
                  <w:tcW w:w="497" w:type="dxa"/>
                  <w:vMerge w:val="restart"/>
                  <w:tcBorders>
                    <w:top w:val="single" w:color="auto" w:sz="4" w:space="0"/>
                    <w:left w:val="single" w:color="auto" w:sz="4" w:space="0"/>
                    <w:right w:val="single" w:color="auto" w:sz="4" w:space="0"/>
                  </w:tcBorders>
                  <w:vAlign w:val="center"/>
                </w:tcPr>
                <w:p w14:paraId="58599CA1">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2880</w:t>
                  </w:r>
                </w:p>
              </w:tc>
              <w:tc>
                <w:tcPr>
                  <w:tcW w:w="662" w:type="dxa"/>
                  <w:tcBorders>
                    <w:top w:val="single" w:color="auto" w:sz="4" w:space="0"/>
                    <w:left w:val="single" w:color="auto" w:sz="4" w:space="0"/>
                    <w:bottom w:val="single" w:color="auto" w:sz="4" w:space="0"/>
                    <w:right w:val="single" w:color="auto" w:sz="4" w:space="0"/>
                  </w:tcBorders>
                  <w:vAlign w:val="center"/>
                </w:tcPr>
                <w:p w14:paraId="00DAC2A8">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2360.5313 </w:t>
                  </w:r>
                </w:p>
              </w:tc>
              <w:tc>
                <w:tcPr>
                  <w:tcW w:w="579" w:type="dxa"/>
                  <w:tcBorders>
                    <w:top w:val="single" w:color="auto" w:sz="4" w:space="0"/>
                    <w:left w:val="single" w:color="auto" w:sz="4" w:space="0"/>
                    <w:bottom w:val="single" w:color="auto" w:sz="4" w:space="0"/>
                    <w:right w:val="single" w:color="auto" w:sz="4" w:space="0"/>
                  </w:tcBorders>
                  <w:vAlign w:val="center"/>
                </w:tcPr>
                <w:p w14:paraId="636A454D">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11.8027 </w:t>
                  </w:r>
                </w:p>
              </w:tc>
              <w:tc>
                <w:tcPr>
                  <w:tcW w:w="581" w:type="dxa"/>
                  <w:tcBorders>
                    <w:top w:val="single" w:color="auto" w:sz="4" w:space="0"/>
                    <w:left w:val="single" w:color="auto" w:sz="4" w:space="0"/>
                    <w:bottom w:val="single" w:color="auto" w:sz="4" w:space="0"/>
                    <w:right w:val="single" w:color="auto" w:sz="4" w:space="0"/>
                  </w:tcBorders>
                  <w:vAlign w:val="center"/>
                </w:tcPr>
                <w:p w14:paraId="7EF1837F">
                  <w:pPr>
                    <w:widowControl/>
                    <w:jc w:val="center"/>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33.9917 </w:t>
                  </w:r>
                </w:p>
              </w:tc>
              <w:tc>
                <w:tcPr>
                  <w:tcW w:w="579" w:type="dxa"/>
                  <w:vMerge w:val="restart"/>
                  <w:tcBorders>
                    <w:top w:val="single" w:color="auto" w:sz="4" w:space="0"/>
                    <w:left w:val="single" w:color="auto" w:sz="4" w:space="0"/>
                    <w:right w:val="single" w:color="auto" w:sz="4" w:space="0"/>
                  </w:tcBorders>
                  <w:vAlign w:val="center"/>
                </w:tcPr>
                <w:p w14:paraId="124E935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石灰石/石膏法脱硫+脉冲袋式除尘器</w:t>
                  </w:r>
                </w:p>
              </w:tc>
              <w:tc>
                <w:tcPr>
                  <w:tcW w:w="487" w:type="dxa"/>
                  <w:tcBorders>
                    <w:top w:val="single" w:color="auto" w:sz="4" w:space="0"/>
                    <w:left w:val="single" w:color="auto" w:sz="4" w:space="0"/>
                    <w:bottom w:val="single" w:color="auto" w:sz="4" w:space="0"/>
                    <w:right w:val="single" w:color="auto" w:sz="4" w:space="0"/>
                  </w:tcBorders>
                  <w:vAlign w:val="center"/>
                </w:tcPr>
                <w:p w14:paraId="6B77B30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99</w:t>
                  </w:r>
                </w:p>
              </w:tc>
              <w:tc>
                <w:tcPr>
                  <w:tcW w:w="633" w:type="dxa"/>
                  <w:tcBorders>
                    <w:top w:val="single" w:color="auto" w:sz="4" w:space="0"/>
                    <w:left w:val="single" w:color="auto" w:sz="4" w:space="0"/>
                    <w:bottom w:val="single" w:color="auto" w:sz="4" w:space="0"/>
                    <w:right w:val="single" w:color="auto" w:sz="4" w:space="0"/>
                  </w:tcBorders>
                  <w:vAlign w:val="center"/>
                </w:tcPr>
                <w:p w14:paraId="6A1C948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657B99E5">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23.6053 </w:t>
                  </w:r>
                </w:p>
              </w:tc>
              <w:tc>
                <w:tcPr>
                  <w:tcW w:w="651" w:type="dxa"/>
                  <w:tcBorders>
                    <w:top w:val="single" w:color="auto" w:sz="4" w:space="0"/>
                    <w:left w:val="single" w:color="auto" w:sz="4" w:space="0"/>
                    <w:bottom w:val="single" w:color="auto" w:sz="4" w:space="0"/>
                    <w:right w:val="single" w:color="auto" w:sz="4" w:space="0"/>
                  </w:tcBorders>
                  <w:vAlign w:val="center"/>
                </w:tcPr>
                <w:p w14:paraId="51CBDAA1">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0.1180 </w:t>
                  </w:r>
                </w:p>
              </w:tc>
              <w:tc>
                <w:tcPr>
                  <w:tcW w:w="730" w:type="dxa"/>
                  <w:tcBorders>
                    <w:top w:val="single" w:color="auto" w:sz="4" w:space="0"/>
                    <w:left w:val="single" w:color="auto" w:sz="4" w:space="0"/>
                    <w:bottom w:val="single" w:color="auto" w:sz="4" w:space="0"/>
                    <w:right w:val="nil"/>
                  </w:tcBorders>
                  <w:vAlign w:val="center"/>
                </w:tcPr>
                <w:p w14:paraId="148F36AC">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0.3399 </w:t>
                  </w:r>
                </w:p>
              </w:tc>
            </w:tr>
            <w:tr w14:paraId="22F26FC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continue"/>
                  <w:tcBorders>
                    <w:left w:val="nil"/>
                    <w:right w:val="single" w:color="auto" w:sz="4" w:space="0"/>
                  </w:tcBorders>
                  <w:vAlign w:val="center"/>
                </w:tcPr>
                <w:p w14:paraId="569973BD">
                  <w:pPr>
                    <w:jc w:val="center"/>
                    <w:rPr>
                      <w:rFonts w:eastAsiaTheme="minorEastAsia"/>
                      <w:color w:val="000000" w:themeColor="text1"/>
                      <w:szCs w:val="21"/>
                      <w14:textFill>
                        <w14:solidFill>
                          <w14:schemeClr w14:val="tx1"/>
                        </w14:solidFill>
                      </w14:textFill>
                    </w:rPr>
                  </w:pPr>
                </w:p>
              </w:tc>
              <w:tc>
                <w:tcPr>
                  <w:tcW w:w="579" w:type="dxa"/>
                  <w:vMerge w:val="continue"/>
                  <w:tcBorders>
                    <w:left w:val="single" w:color="auto" w:sz="4" w:space="0"/>
                    <w:right w:val="single" w:color="auto" w:sz="4" w:space="0"/>
                  </w:tcBorders>
                  <w:vAlign w:val="center"/>
                </w:tcPr>
                <w:p w14:paraId="57F9F539">
                  <w:pPr>
                    <w:jc w:val="center"/>
                    <w:rPr>
                      <w:rFonts w:eastAsiaTheme="minorEastAsia"/>
                      <w:color w:val="000000" w:themeColor="text1"/>
                      <w:szCs w:val="21"/>
                      <w14:textFill>
                        <w14:solidFill>
                          <w14:schemeClr w14:val="tx1"/>
                        </w14:solidFill>
                      </w14:textFill>
                    </w:rPr>
                  </w:pPr>
                </w:p>
              </w:tc>
              <w:tc>
                <w:tcPr>
                  <w:tcW w:w="578" w:type="dxa"/>
                  <w:tcBorders>
                    <w:top w:val="single" w:color="auto" w:sz="4" w:space="0"/>
                    <w:left w:val="single" w:color="auto" w:sz="4" w:space="0"/>
                    <w:bottom w:val="single" w:color="auto" w:sz="4" w:space="0"/>
                    <w:right w:val="single" w:color="auto" w:sz="4" w:space="0"/>
                  </w:tcBorders>
                  <w:vAlign w:val="center"/>
                </w:tcPr>
                <w:p w14:paraId="2B416433">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二氧化硫</w:t>
                  </w:r>
                </w:p>
              </w:tc>
              <w:tc>
                <w:tcPr>
                  <w:tcW w:w="578" w:type="dxa"/>
                  <w:vMerge w:val="continue"/>
                  <w:tcBorders>
                    <w:left w:val="single" w:color="auto" w:sz="4" w:space="0"/>
                    <w:right w:val="single" w:color="auto" w:sz="4" w:space="0"/>
                  </w:tcBorders>
                  <w:vAlign w:val="center"/>
                </w:tcPr>
                <w:p w14:paraId="06ADBFDD">
                  <w:pPr>
                    <w:jc w:val="center"/>
                    <w:rPr>
                      <w:rFonts w:eastAsiaTheme="minorEastAsia"/>
                      <w:color w:val="000000" w:themeColor="text1"/>
                      <w:szCs w:val="21"/>
                      <w14:textFill>
                        <w14:solidFill>
                          <w14:schemeClr w14:val="tx1"/>
                        </w14:solidFill>
                      </w14:textFill>
                    </w:rPr>
                  </w:pPr>
                </w:p>
              </w:tc>
              <w:tc>
                <w:tcPr>
                  <w:tcW w:w="497" w:type="dxa"/>
                  <w:vMerge w:val="continue"/>
                  <w:tcBorders>
                    <w:left w:val="single" w:color="auto" w:sz="4" w:space="0"/>
                    <w:right w:val="single" w:color="auto" w:sz="4" w:space="0"/>
                  </w:tcBorders>
                  <w:vAlign w:val="center"/>
                </w:tcPr>
                <w:p w14:paraId="52A631C3">
                  <w:pPr>
                    <w:jc w:val="center"/>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4CCFF3AF">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650.2375 </w:t>
                  </w:r>
                </w:p>
              </w:tc>
              <w:tc>
                <w:tcPr>
                  <w:tcW w:w="579" w:type="dxa"/>
                  <w:tcBorders>
                    <w:top w:val="single" w:color="auto" w:sz="4" w:space="0"/>
                    <w:left w:val="single" w:color="auto" w:sz="4" w:space="0"/>
                    <w:bottom w:val="single" w:color="auto" w:sz="4" w:space="0"/>
                    <w:right w:val="single" w:color="auto" w:sz="4" w:space="0"/>
                  </w:tcBorders>
                  <w:vAlign w:val="center"/>
                </w:tcPr>
                <w:p w14:paraId="60C4655A">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3.2512 </w:t>
                  </w:r>
                </w:p>
              </w:tc>
              <w:tc>
                <w:tcPr>
                  <w:tcW w:w="581" w:type="dxa"/>
                  <w:tcBorders>
                    <w:top w:val="single" w:color="auto" w:sz="4" w:space="0"/>
                    <w:left w:val="single" w:color="auto" w:sz="4" w:space="0"/>
                    <w:bottom w:val="single" w:color="auto" w:sz="4" w:space="0"/>
                    <w:right w:val="single" w:color="auto" w:sz="4" w:space="0"/>
                  </w:tcBorders>
                  <w:vAlign w:val="center"/>
                </w:tcPr>
                <w:p w14:paraId="6971134C">
                  <w:pPr>
                    <w:widowControl/>
                    <w:jc w:val="center"/>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9.3634 </w:t>
                  </w:r>
                </w:p>
              </w:tc>
              <w:tc>
                <w:tcPr>
                  <w:tcW w:w="579" w:type="dxa"/>
                  <w:vMerge w:val="continue"/>
                  <w:tcBorders>
                    <w:left w:val="single" w:color="auto" w:sz="4" w:space="0"/>
                    <w:right w:val="single" w:color="auto" w:sz="4" w:space="0"/>
                  </w:tcBorders>
                  <w:vAlign w:val="center"/>
                </w:tcPr>
                <w:p w14:paraId="31FE3023">
                  <w:pPr>
                    <w:jc w:val="center"/>
                    <w:rPr>
                      <w:rFonts w:eastAsiaTheme="minorEastAsia"/>
                      <w:color w:val="000000" w:themeColor="text1"/>
                      <w:szCs w:val="21"/>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14:paraId="7F898D4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90</w:t>
                  </w:r>
                </w:p>
              </w:tc>
              <w:tc>
                <w:tcPr>
                  <w:tcW w:w="633" w:type="dxa"/>
                  <w:tcBorders>
                    <w:top w:val="single" w:color="auto" w:sz="4" w:space="0"/>
                    <w:left w:val="single" w:color="auto" w:sz="4" w:space="0"/>
                    <w:bottom w:val="single" w:color="auto" w:sz="4" w:space="0"/>
                    <w:right w:val="single" w:color="auto" w:sz="4" w:space="0"/>
                  </w:tcBorders>
                  <w:vAlign w:val="center"/>
                </w:tcPr>
                <w:p w14:paraId="5AFD991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4DE7A98D">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65.0238 </w:t>
                  </w:r>
                </w:p>
              </w:tc>
              <w:tc>
                <w:tcPr>
                  <w:tcW w:w="651" w:type="dxa"/>
                  <w:tcBorders>
                    <w:top w:val="single" w:color="auto" w:sz="4" w:space="0"/>
                    <w:left w:val="single" w:color="auto" w:sz="4" w:space="0"/>
                    <w:bottom w:val="single" w:color="auto" w:sz="4" w:space="0"/>
                    <w:right w:val="single" w:color="auto" w:sz="4" w:space="0"/>
                  </w:tcBorders>
                  <w:vAlign w:val="center"/>
                </w:tcPr>
                <w:p w14:paraId="4B607305">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0.3251 </w:t>
                  </w:r>
                </w:p>
              </w:tc>
              <w:tc>
                <w:tcPr>
                  <w:tcW w:w="730" w:type="dxa"/>
                  <w:tcBorders>
                    <w:top w:val="single" w:color="auto" w:sz="4" w:space="0"/>
                    <w:left w:val="single" w:color="auto" w:sz="4" w:space="0"/>
                    <w:bottom w:val="single" w:color="auto" w:sz="4" w:space="0"/>
                    <w:right w:val="nil"/>
                  </w:tcBorders>
                  <w:vAlign w:val="center"/>
                </w:tcPr>
                <w:p w14:paraId="4E2956C4">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0.9363 </w:t>
                  </w:r>
                </w:p>
              </w:tc>
            </w:tr>
            <w:tr w14:paraId="6A39964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continue"/>
                  <w:tcBorders>
                    <w:left w:val="nil"/>
                    <w:right w:val="single" w:color="auto" w:sz="4" w:space="0"/>
                  </w:tcBorders>
                  <w:vAlign w:val="center"/>
                </w:tcPr>
                <w:p w14:paraId="49B6DF36">
                  <w:pPr>
                    <w:jc w:val="center"/>
                    <w:rPr>
                      <w:rFonts w:eastAsiaTheme="minorEastAsia"/>
                      <w:color w:val="000000" w:themeColor="text1"/>
                      <w:szCs w:val="21"/>
                      <w14:textFill>
                        <w14:solidFill>
                          <w14:schemeClr w14:val="tx1"/>
                        </w14:solidFill>
                      </w14:textFill>
                    </w:rPr>
                  </w:pPr>
                </w:p>
              </w:tc>
              <w:tc>
                <w:tcPr>
                  <w:tcW w:w="579" w:type="dxa"/>
                  <w:vMerge w:val="continue"/>
                  <w:tcBorders>
                    <w:left w:val="single" w:color="auto" w:sz="4" w:space="0"/>
                    <w:right w:val="single" w:color="auto" w:sz="4" w:space="0"/>
                  </w:tcBorders>
                  <w:vAlign w:val="center"/>
                </w:tcPr>
                <w:p w14:paraId="079E041F">
                  <w:pPr>
                    <w:jc w:val="center"/>
                    <w:rPr>
                      <w:rFonts w:eastAsiaTheme="minorEastAsia"/>
                      <w:color w:val="000000" w:themeColor="text1"/>
                      <w:szCs w:val="21"/>
                      <w14:textFill>
                        <w14:solidFill>
                          <w14:schemeClr w14:val="tx1"/>
                        </w14:solidFill>
                      </w14:textFill>
                    </w:rPr>
                  </w:pPr>
                </w:p>
              </w:tc>
              <w:tc>
                <w:tcPr>
                  <w:tcW w:w="578" w:type="dxa"/>
                  <w:tcBorders>
                    <w:top w:val="single" w:color="auto" w:sz="4" w:space="0"/>
                    <w:left w:val="single" w:color="auto" w:sz="4" w:space="0"/>
                    <w:bottom w:val="single" w:color="auto" w:sz="4" w:space="0"/>
                    <w:right w:val="single" w:color="auto" w:sz="4" w:space="0"/>
                  </w:tcBorders>
                  <w:vAlign w:val="center"/>
                </w:tcPr>
                <w:p w14:paraId="5410C325">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氮氧化物</w:t>
                  </w:r>
                </w:p>
              </w:tc>
              <w:tc>
                <w:tcPr>
                  <w:tcW w:w="578" w:type="dxa"/>
                  <w:vMerge w:val="continue"/>
                  <w:tcBorders>
                    <w:left w:val="single" w:color="auto" w:sz="4" w:space="0"/>
                    <w:right w:val="single" w:color="auto" w:sz="4" w:space="0"/>
                  </w:tcBorders>
                  <w:vAlign w:val="center"/>
                </w:tcPr>
                <w:p w14:paraId="221B50E3">
                  <w:pPr>
                    <w:jc w:val="center"/>
                    <w:rPr>
                      <w:rFonts w:eastAsiaTheme="minorEastAsia"/>
                      <w:color w:val="000000" w:themeColor="text1"/>
                      <w:szCs w:val="21"/>
                      <w14:textFill>
                        <w14:solidFill>
                          <w14:schemeClr w14:val="tx1"/>
                        </w14:solidFill>
                      </w14:textFill>
                    </w:rPr>
                  </w:pPr>
                </w:p>
              </w:tc>
              <w:tc>
                <w:tcPr>
                  <w:tcW w:w="497" w:type="dxa"/>
                  <w:vMerge w:val="continue"/>
                  <w:tcBorders>
                    <w:left w:val="single" w:color="auto" w:sz="4" w:space="0"/>
                    <w:right w:val="single" w:color="auto" w:sz="4" w:space="0"/>
                  </w:tcBorders>
                  <w:vAlign w:val="center"/>
                </w:tcPr>
                <w:p w14:paraId="0CFAE444">
                  <w:pPr>
                    <w:jc w:val="center"/>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1013C957">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31.9275 </w:t>
                  </w:r>
                </w:p>
              </w:tc>
              <w:tc>
                <w:tcPr>
                  <w:tcW w:w="579" w:type="dxa"/>
                  <w:tcBorders>
                    <w:top w:val="single" w:color="auto" w:sz="4" w:space="0"/>
                    <w:left w:val="single" w:color="auto" w:sz="4" w:space="0"/>
                    <w:bottom w:val="single" w:color="auto" w:sz="4" w:space="0"/>
                    <w:right w:val="single" w:color="auto" w:sz="4" w:space="0"/>
                  </w:tcBorders>
                  <w:vAlign w:val="center"/>
                </w:tcPr>
                <w:p w14:paraId="621FD0C4">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0.1596 </w:t>
                  </w:r>
                </w:p>
              </w:tc>
              <w:tc>
                <w:tcPr>
                  <w:tcW w:w="581" w:type="dxa"/>
                  <w:tcBorders>
                    <w:top w:val="single" w:color="auto" w:sz="4" w:space="0"/>
                    <w:left w:val="single" w:color="auto" w:sz="4" w:space="0"/>
                    <w:bottom w:val="single" w:color="auto" w:sz="4" w:space="0"/>
                    <w:right w:val="single" w:color="auto" w:sz="4" w:space="0"/>
                  </w:tcBorders>
                  <w:vAlign w:val="center"/>
                </w:tcPr>
                <w:p w14:paraId="7998D7F3">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0.4598 </w:t>
                  </w:r>
                </w:p>
              </w:tc>
              <w:tc>
                <w:tcPr>
                  <w:tcW w:w="579" w:type="dxa"/>
                  <w:vMerge w:val="continue"/>
                  <w:tcBorders>
                    <w:left w:val="single" w:color="auto" w:sz="4" w:space="0"/>
                    <w:right w:val="single" w:color="auto" w:sz="4" w:space="0"/>
                  </w:tcBorders>
                  <w:vAlign w:val="center"/>
                </w:tcPr>
                <w:p w14:paraId="77A182EE">
                  <w:pPr>
                    <w:jc w:val="center"/>
                    <w:rPr>
                      <w:rFonts w:eastAsiaTheme="minorEastAsia"/>
                      <w:color w:val="000000" w:themeColor="text1"/>
                      <w:szCs w:val="21"/>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14:paraId="0A28D5D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w:t>
                  </w:r>
                </w:p>
              </w:tc>
              <w:tc>
                <w:tcPr>
                  <w:tcW w:w="633" w:type="dxa"/>
                  <w:tcBorders>
                    <w:top w:val="single" w:color="auto" w:sz="4" w:space="0"/>
                    <w:left w:val="single" w:color="auto" w:sz="4" w:space="0"/>
                    <w:bottom w:val="single" w:color="auto" w:sz="4" w:space="0"/>
                    <w:right w:val="single" w:color="auto" w:sz="4" w:space="0"/>
                  </w:tcBorders>
                  <w:vAlign w:val="center"/>
                </w:tcPr>
                <w:p w14:paraId="5B9FF91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w:t>
                  </w:r>
                </w:p>
              </w:tc>
              <w:tc>
                <w:tcPr>
                  <w:tcW w:w="649" w:type="dxa"/>
                  <w:tcBorders>
                    <w:top w:val="single" w:color="auto" w:sz="4" w:space="0"/>
                    <w:left w:val="single" w:color="auto" w:sz="4" w:space="0"/>
                    <w:bottom w:val="single" w:color="auto" w:sz="4" w:space="0"/>
                    <w:right w:val="single" w:color="auto" w:sz="4" w:space="0"/>
                  </w:tcBorders>
                  <w:vAlign w:val="center"/>
                </w:tcPr>
                <w:p w14:paraId="232491DF">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31.9275 </w:t>
                  </w:r>
                </w:p>
              </w:tc>
              <w:tc>
                <w:tcPr>
                  <w:tcW w:w="651" w:type="dxa"/>
                  <w:tcBorders>
                    <w:top w:val="single" w:color="auto" w:sz="4" w:space="0"/>
                    <w:left w:val="single" w:color="auto" w:sz="4" w:space="0"/>
                    <w:bottom w:val="single" w:color="auto" w:sz="4" w:space="0"/>
                    <w:right w:val="single" w:color="auto" w:sz="4" w:space="0"/>
                  </w:tcBorders>
                  <w:vAlign w:val="center"/>
                </w:tcPr>
                <w:p w14:paraId="4CFCE4AA">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0.1596 </w:t>
                  </w:r>
                </w:p>
              </w:tc>
              <w:tc>
                <w:tcPr>
                  <w:tcW w:w="730" w:type="dxa"/>
                  <w:tcBorders>
                    <w:top w:val="single" w:color="auto" w:sz="4" w:space="0"/>
                    <w:left w:val="single" w:color="auto" w:sz="4" w:space="0"/>
                    <w:bottom w:val="single" w:color="auto" w:sz="4" w:space="0"/>
                    <w:right w:val="nil"/>
                  </w:tcBorders>
                  <w:vAlign w:val="center"/>
                </w:tcPr>
                <w:p w14:paraId="1CDD20A2">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0.4598 </w:t>
                  </w:r>
                </w:p>
              </w:tc>
            </w:tr>
            <w:tr w14:paraId="6A84C22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tcBorders>
                    <w:left w:val="nil"/>
                    <w:right w:val="single" w:color="auto" w:sz="4" w:space="0"/>
                  </w:tcBorders>
                  <w:vAlign w:val="center"/>
                </w:tcPr>
                <w:p w14:paraId="3E47212C">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DA002</w:t>
                  </w:r>
                </w:p>
              </w:tc>
              <w:tc>
                <w:tcPr>
                  <w:tcW w:w="579" w:type="dxa"/>
                  <w:tcBorders>
                    <w:left w:val="single" w:color="auto" w:sz="4" w:space="0"/>
                    <w:right w:val="single" w:color="auto" w:sz="4" w:space="0"/>
                  </w:tcBorders>
                  <w:vAlign w:val="center"/>
                </w:tcPr>
                <w:p w14:paraId="49D066BB">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投料、混料、造球、烘干卸料</w:t>
                  </w:r>
                </w:p>
              </w:tc>
              <w:tc>
                <w:tcPr>
                  <w:tcW w:w="578" w:type="dxa"/>
                  <w:tcBorders>
                    <w:top w:val="single" w:color="auto" w:sz="4" w:space="0"/>
                    <w:left w:val="single" w:color="auto" w:sz="4" w:space="0"/>
                    <w:bottom w:val="single" w:color="auto" w:sz="4" w:space="0"/>
                    <w:right w:val="single" w:color="auto" w:sz="4" w:space="0"/>
                  </w:tcBorders>
                  <w:vAlign w:val="center"/>
                </w:tcPr>
                <w:p w14:paraId="5B01F44A">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578" w:type="dxa"/>
                  <w:tcBorders>
                    <w:left w:val="single" w:color="auto" w:sz="4" w:space="0"/>
                    <w:right w:val="single" w:color="auto" w:sz="4" w:space="0"/>
                  </w:tcBorders>
                  <w:vAlign w:val="center"/>
                </w:tcPr>
                <w:p w14:paraId="7505AB59">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17820</w:t>
                  </w:r>
                  <w:r>
                    <w:rPr>
                      <w:rFonts w:hint="eastAsia" w:ascii="宋体" w:hAnsi="宋体" w:cs="宋体"/>
                      <w:color w:val="000000" w:themeColor="text1"/>
                      <w:vertAlign w:val="superscript"/>
                      <w14:textFill>
                        <w14:solidFill>
                          <w14:schemeClr w14:val="tx1"/>
                        </w14:solidFill>
                      </w14:textFill>
                    </w:rPr>
                    <w:t>②</w:t>
                  </w:r>
                </w:p>
              </w:tc>
              <w:tc>
                <w:tcPr>
                  <w:tcW w:w="497" w:type="dxa"/>
                  <w:tcBorders>
                    <w:left w:val="single" w:color="auto" w:sz="4" w:space="0"/>
                    <w:right w:val="single" w:color="auto" w:sz="4" w:space="0"/>
                  </w:tcBorders>
                  <w:vAlign w:val="center"/>
                </w:tcPr>
                <w:p w14:paraId="758B67D2">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2880</w:t>
                  </w:r>
                </w:p>
              </w:tc>
              <w:tc>
                <w:tcPr>
                  <w:tcW w:w="662" w:type="dxa"/>
                  <w:tcBorders>
                    <w:top w:val="single" w:color="auto" w:sz="4" w:space="0"/>
                    <w:left w:val="single" w:color="auto" w:sz="4" w:space="0"/>
                    <w:bottom w:val="single" w:color="auto" w:sz="4" w:space="0"/>
                    <w:right w:val="single" w:color="auto" w:sz="4" w:space="0"/>
                  </w:tcBorders>
                  <w:vAlign w:val="center"/>
                </w:tcPr>
                <w:p w14:paraId="001AD21D">
                  <w:pPr>
                    <w:jc w:val="center"/>
                    <w:rPr>
                      <w:rFonts w:eastAsiaTheme="minorEastAsia"/>
                      <w:color w:val="0000FF"/>
                      <w:sz w:val="22"/>
                      <w:szCs w:val="22"/>
                    </w:rPr>
                  </w:pPr>
                  <w:r>
                    <w:rPr>
                      <w:rFonts w:eastAsiaTheme="minorEastAsia"/>
                      <w:color w:val="0000FF"/>
                      <w:sz w:val="22"/>
                      <w:szCs w:val="22"/>
                    </w:rPr>
                    <w:t xml:space="preserve">641.2563 </w:t>
                  </w:r>
                </w:p>
              </w:tc>
              <w:tc>
                <w:tcPr>
                  <w:tcW w:w="579" w:type="dxa"/>
                  <w:tcBorders>
                    <w:top w:val="single" w:color="auto" w:sz="4" w:space="0"/>
                    <w:left w:val="single" w:color="auto" w:sz="4" w:space="0"/>
                    <w:bottom w:val="single" w:color="auto" w:sz="4" w:space="0"/>
                    <w:right w:val="single" w:color="auto" w:sz="4" w:space="0"/>
                  </w:tcBorders>
                  <w:vAlign w:val="center"/>
                </w:tcPr>
                <w:p w14:paraId="1FFB4887">
                  <w:pPr>
                    <w:jc w:val="center"/>
                    <w:rPr>
                      <w:rFonts w:eastAsiaTheme="minorEastAsia"/>
                      <w:color w:val="0000FF"/>
                      <w:sz w:val="22"/>
                      <w:szCs w:val="22"/>
                    </w:rPr>
                  </w:pPr>
                  <w:r>
                    <w:rPr>
                      <w:rFonts w:eastAsiaTheme="minorEastAsia"/>
                      <w:color w:val="0000FF"/>
                      <w:sz w:val="22"/>
                      <w:szCs w:val="22"/>
                    </w:rPr>
                    <w:t xml:space="preserve">11.4272 </w:t>
                  </w:r>
                </w:p>
              </w:tc>
              <w:tc>
                <w:tcPr>
                  <w:tcW w:w="581" w:type="dxa"/>
                  <w:tcBorders>
                    <w:top w:val="single" w:color="auto" w:sz="4" w:space="0"/>
                    <w:left w:val="single" w:color="auto" w:sz="4" w:space="0"/>
                    <w:bottom w:val="single" w:color="auto" w:sz="4" w:space="0"/>
                    <w:right w:val="single" w:color="auto" w:sz="4" w:space="0"/>
                  </w:tcBorders>
                  <w:vAlign w:val="center"/>
                </w:tcPr>
                <w:p w14:paraId="061A1A0C">
                  <w:pPr>
                    <w:jc w:val="center"/>
                    <w:rPr>
                      <w:rFonts w:eastAsiaTheme="minorEastAsia"/>
                      <w:color w:val="0000FF"/>
                      <w:sz w:val="22"/>
                      <w:szCs w:val="22"/>
                    </w:rPr>
                  </w:pPr>
                  <w:r>
                    <w:rPr>
                      <w:rFonts w:eastAsiaTheme="minorEastAsia"/>
                      <w:color w:val="0000FF"/>
                      <w:sz w:val="22"/>
                      <w:szCs w:val="22"/>
                    </w:rPr>
                    <w:t xml:space="preserve">32.9103 </w:t>
                  </w:r>
                </w:p>
              </w:tc>
              <w:tc>
                <w:tcPr>
                  <w:tcW w:w="579" w:type="dxa"/>
                  <w:tcBorders>
                    <w:left w:val="single" w:color="auto" w:sz="4" w:space="0"/>
                    <w:right w:val="single" w:color="auto" w:sz="4" w:space="0"/>
                  </w:tcBorders>
                  <w:vAlign w:val="center"/>
                </w:tcPr>
                <w:p w14:paraId="3265E64C">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脉冲袋式除尘器</w:t>
                  </w:r>
                </w:p>
              </w:tc>
              <w:tc>
                <w:tcPr>
                  <w:tcW w:w="487" w:type="dxa"/>
                  <w:tcBorders>
                    <w:top w:val="single" w:color="auto" w:sz="4" w:space="0"/>
                    <w:left w:val="single" w:color="auto" w:sz="4" w:space="0"/>
                    <w:bottom w:val="single" w:color="auto" w:sz="4" w:space="0"/>
                    <w:right w:val="single" w:color="auto" w:sz="4" w:space="0"/>
                  </w:tcBorders>
                  <w:vAlign w:val="center"/>
                </w:tcPr>
                <w:p w14:paraId="0A40C455">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99</w:t>
                  </w:r>
                </w:p>
              </w:tc>
              <w:tc>
                <w:tcPr>
                  <w:tcW w:w="633" w:type="dxa"/>
                  <w:tcBorders>
                    <w:top w:val="single" w:color="auto" w:sz="4" w:space="0"/>
                    <w:left w:val="single" w:color="auto" w:sz="4" w:space="0"/>
                    <w:bottom w:val="single" w:color="auto" w:sz="4" w:space="0"/>
                    <w:right w:val="single" w:color="auto" w:sz="4" w:space="0"/>
                  </w:tcBorders>
                  <w:vAlign w:val="center"/>
                </w:tcPr>
                <w:p w14:paraId="71B8B8BC">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5693E58E">
                  <w:pPr>
                    <w:jc w:val="center"/>
                    <w:rPr>
                      <w:rFonts w:eastAsiaTheme="minorEastAsia"/>
                      <w:color w:val="0000FF"/>
                      <w:sz w:val="22"/>
                      <w:szCs w:val="22"/>
                    </w:rPr>
                  </w:pPr>
                  <w:r>
                    <w:rPr>
                      <w:rFonts w:eastAsiaTheme="minorEastAsia"/>
                      <w:color w:val="0000FF"/>
                      <w:sz w:val="22"/>
                      <w:szCs w:val="22"/>
                    </w:rPr>
                    <w:t xml:space="preserve">6.4126 </w:t>
                  </w:r>
                </w:p>
              </w:tc>
              <w:tc>
                <w:tcPr>
                  <w:tcW w:w="651" w:type="dxa"/>
                  <w:tcBorders>
                    <w:top w:val="single" w:color="auto" w:sz="4" w:space="0"/>
                    <w:left w:val="single" w:color="auto" w:sz="4" w:space="0"/>
                    <w:bottom w:val="single" w:color="auto" w:sz="4" w:space="0"/>
                    <w:right w:val="single" w:color="auto" w:sz="4" w:space="0"/>
                  </w:tcBorders>
                  <w:vAlign w:val="center"/>
                </w:tcPr>
                <w:p w14:paraId="02DA49BD">
                  <w:pPr>
                    <w:jc w:val="center"/>
                    <w:rPr>
                      <w:rFonts w:eastAsiaTheme="minorEastAsia"/>
                      <w:color w:val="0000FF"/>
                      <w:sz w:val="22"/>
                      <w:szCs w:val="22"/>
                    </w:rPr>
                  </w:pPr>
                  <w:r>
                    <w:rPr>
                      <w:rFonts w:eastAsiaTheme="minorEastAsia"/>
                      <w:color w:val="0000FF"/>
                      <w:sz w:val="22"/>
                      <w:szCs w:val="22"/>
                    </w:rPr>
                    <w:t xml:space="preserve">0.1143 </w:t>
                  </w:r>
                </w:p>
              </w:tc>
              <w:tc>
                <w:tcPr>
                  <w:tcW w:w="730" w:type="dxa"/>
                  <w:tcBorders>
                    <w:top w:val="single" w:color="auto" w:sz="4" w:space="0"/>
                    <w:left w:val="single" w:color="auto" w:sz="4" w:space="0"/>
                    <w:bottom w:val="single" w:color="auto" w:sz="4" w:space="0"/>
                    <w:right w:val="nil"/>
                  </w:tcBorders>
                  <w:vAlign w:val="center"/>
                </w:tcPr>
                <w:p w14:paraId="0B4B8046">
                  <w:pPr>
                    <w:jc w:val="center"/>
                    <w:rPr>
                      <w:rFonts w:eastAsiaTheme="minorEastAsia"/>
                      <w:color w:val="0000FF"/>
                      <w:sz w:val="22"/>
                      <w:szCs w:val="22"/>
                    </w:rPr>
                  </w:pPr>
                  <w:r>
                    <w:rPr>
                      <w:rFonts w:eastAsiaTheme="minorEastAsia"/>
                      <w:color w:val="0000FF"/>
                      <w:sz w:val="22"/>
                      <w:szCs w:val="22"/>
                    </w:rPr>
                    <w:t xml:space="preserve">0.3291 </w:t>
                  </w:r>
                </w:p>
              </w:tc>
            </w:tr>
            <w:tr w14:paraId="6B691A0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8362" w:type="dxa"/>
                  <w:gridSpan w:val="14"/>
                  <w:tcBorders>
                    <w:left w:val="nil"/>
                    <w:bottom w:val="double" w:color="auto" w:sz="2" w:space="0"/>
                    <w:right w:val="nil"/>
                  </w:tcBorders>
                  <w:vAlign w:val="center"/>
                </w:tcPr>
                <w:p w14:paraId="0218BF35">
                  <w:pPr>
                    <w:jc w:val="left"/>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注：</w:t>
                  </w: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烘干风量为企业提供设备能够正常生产所需风量；</w:t>
                  </w:r>
                </w:p>
                <w:p w14:paraId="0A6BFA2C">
                  <w:pPr>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废气风量按照设备对应集气罩规格</w:t>
                  </w:r>
                </w:p>
              </w:tc>
            </w:tr>
          </w:tbl>
          <w:p w14:paraId="3A17E67B">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表4-7无组织废气产生及排放情况一览表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57"/>
              <w:gridCol w:w="707"/>
              <w:gridCol w:w="708"/>
              <w:gridCol w:w="991"/>
              <w:gridCol w:w="998"/>
              <w:gridCol w:w="851"/>
              <w:gridCol w:w="850"/>
              <w:gridCol w:w="851"/>
              <w:gridCol w:w="846"/>
              <w:gridCol w:w="903"/>
            </w:tblGrid>
            <w:tr w14:paraId="024872F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restart"/>
                  <w:vAlign w:val="center"/>
                </w:tcPr>
                <w:p w14:paraId="41F1E1E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产污环节</w:t>
                  </w:r>
                </w:p>
              </w:tc>
              <w:tc>
                <w:tcPr>
                  <w:tcW w:w="707" w:type="dxa"/>
                  <w:vMerge w:val="restart"/>
                  <w:vAlign w:val="center"/>
                </w:tcPr>
                <w:p w14:paraId="777490B1">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w:t>
                  </w:r>
                </w:p>
              </w:tc>
              <w:tc>
                <w:tcPr>
                  <w:tcW w:w="708" w:type="dxa"/>
                  <w:vMerge w:val="restart"/>
                  <w:vAlign w:val="center"/>
                </w:tcPr>
                <w:p w14:paraId="4DDFC97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排放时间h</w:t>
                  </w:r>
                </w:p>
              </w:tc>
              <w:tc>
                <w:tcPr>
                  <w:tcW w:w="1989" w:type="dxa"/>
                  <w:gridSpan w:val="2"/>
                  <w:vAlign w:val="center"/>
                </w:tcPr>
                <w:p w14:paraId="1D40BB1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产生情况</w:t>
                  </w:r>
                </w:p>
              </w:tc>
              <w:tc>
                <w:tcPr>
                  <w:tcW w:w="851" w:type="dxa"/>
                  <w:vMerge w:val="restart"/>
                  <w:vAlign w:val="center"/>
                </w:tcPr>
                <w:p w14:paraId="57571C0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洒水抑尘控制效率%</w:t>
                  </w:r>
                </w:p>
              </w:tc>
              <w:tc>
                <w:tcPr>
                  <w:tcW w:w="850" w:type="dxa"/>
                  <w:vMerge w:val="restart"/>
                  <w:vAlign w:val="center"/>
                </w:tcPr>
                <w:p w14:paraId="43DC1AB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车间沉降</w:t>
                  </w:r>
                </w:p>
              </w:tc>
              <w:tc>
                <w:tcPr>
                  <w:tcW w:w="1697" w:type="dxa"/>
                  <w:gridSpan w:val="2"/>
                  <w:vAlign w:val="center"/>
                </w:tcPr>
                <w:p w14:paraId="6DFA430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排放情况</w:t>
                  </w:r>
                </w:p>
              </w:tc>
              <w:tc>
                <w:tcPr>
                  <w:tcW w:w="903" w:type="dxa"/>
                  <w:vMerge w:val="restart"/>
                  <w:vAlign w:val="center"/>
                </w:tcPr>
                <w:p w14:paraId="34E9A414">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位置</w:t>
                  </w:r>
                </w:p>
              </w:tc>
            </w:tr>
            <w:tr w14:paraId="5C2E528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continue"/>
                  <w:vAlign w:val="center"/>
                </w:tcPr>
                <w:p w14:paraId="306EAC65">
                  <w:pPr>
                    <w:pStyle w:val="122"/>
                    <w:rPr>
                      <w:rFonts w:eastAsiaTheme="minorEastAsia"/>
                      <w:color w:val="000000" w:themeColor="text1"/>
                      <w14:textFill>
                        <w14:solidFill>
                          <w14:schemeClr w14:val="tx1"/>
                        </w14:solidFill>
                      </w14:textFill>
                    </w:rPr>
                  </w:pPr>
                </w:p>
              </w:tc>
              <w:tc>
                <w:tcPr>
                  <w:tcW w:w="707" w:type="dxa"/>
                  <w:vMerge w:val="continue"/>
                  <w:vAlign w:val="center"/>
                </w:tcPr>
                <w:p w14:paraId="20D8698D">
                  <w:pPr>
                    <w:pStyle w:val="122"/>
                    <w:rPr>
                      <w:rFonts w:eastAsiaTheme="minorEastAsia"/>
                      <w:color w:val="000000" w:themeColor="text1"/>
                      <w14:textFill>
                        <w14:solidFill>
                          <w14:schemeClr w14:val="tx1"/>
                        </w14:solidFill>
                      </w14:textFill>
                    </w:rPr>
                  </w:pPr>
                </w:p>
              </w:tc>
              <w:tc>
                <w:tcPr>
                  <w:tcW w:w="708" w:type="dxa"/>
                  <w:vMerge w:val="continue"/>
                  <w:vAlign w:val="center"/>
                </w:tcPr>
                <w:p w14:paraId="2955FBF3">
                  <w:pPr>
                    <w:pStyle w:val="122"/>
                    <w:rPr>
                      <w:rFonts w:eastAsiaTheme="minorEastAsia"/>
                      <w:color w:val="000000" w:themeColor="text1"/>
                      <w14:textFill>
                        <w14:solidFill>
                          <w14:schemeClr w14:val="tx1"/>
                        </w14:solidFill>
                      </w14:textFill>
                    </w:rPr>
                  </w:pPr>
                </w:p>
              </w:tc>
              <w:tc>
                <w:tcPr>
                  <w:tcW w:w="991" w:type="dxa"/>
                  <w:vAlign w:val="center"/>
                </w:tcPr>
                <w:p w14:paraId="62AF55D1">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速率kg/h</w:t>
                  </w:r>
                </w:p>
              </w:tc>
              <w:tc>
                <w:tcPr>
                  <w:tcW w:w="998" w:type="dxa"/>
                  <w:vAlign w:val="center"/>
                </w:tcPr>
                <w:p w14:paraId="7B7C2A2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产生量t/a</w:t>
                  </w:r>
                </w:p>
              </w:tc>
              <w:tc>
                <w:tcPr>
                  <w:tcW w:w="851" w:type="dxa"/>
                  <w:vMerge w:val="continue"/>
                  <w:vAlign w:val="center"/>
                </w:tcPr>
                <w:p w14:paraId="65695A2D">
                  <w:pPr>
                    <w:pStyle w:val="122"/>
                    <w:rPr>
                      <w:rFonts w:eastAsiaTheme="minorEastAsia"/>
                      <w:color w:val="000000" w:themeColor="text1"/>
                      <w14:textFill>
                        <w14:solidFill>
                          <w14:schemeClr w14:val="tx1"/>
                        </w14:solidFill>
                      </w14:textFill>
                    </w:rPr>
                  </w:pPr>
                </w:p>
              </w:tc>
              <w:tc>
                <w:tcPr>
                  <w:tcW w:w="850" w:type="dxa"/>
                  <w:vMerge w:val="continue"/>
                  <w:vAlign w:val="center"/>
                </w:tcPr>
                <w:p w14:paraId="15B56C0F">
                  <w:pPr>
                    <w:pStyle w:val="122"/>
                    <w:rPr>
                      <w:rFonts w:eastAsiaTheme="minorEastAsia"/>
                      <w:color w:val="000000" w:themeColor="text1"/>
                      <w14:textFill>
                        <w14:solidFill>
                          <w14:schemeClr w14:val="tx1"/>
                        </w14:solidFill>
                      </w14:textFill>
                    </w:rPr>
                  </w:pPr>
                </w:p>
              </w:tc>
              <w:tc>
                <w:tcPr>
                  <w:tcW w:w="851" w:type="dxa"/>
                  <w:vAlign w:val="center"/>
                </w:tcPr>
                <w:p w14:paraId="6BFF2AA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速率kg/h</w:t>
                  </w:r>
                </w:p>
              </w:tc>
              <w:tc>
                <w:tcPr>
                  <w:tcW w:w="846" w:type="dxa"/>
                  <w:vAlign w:val="center"/>
                </w:tcPr>
                <w:p w14:paraId="37143324">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排放量t/a</w:t>
                  </w:r>
                </w:p>
              </w:tc>
              <w:tc>
                <w:tcPr>
                  <w:tcW w:w="903" w:type="dxa"/>
                  <w:vMerge w:val="continue"/>
                  <w:vAlign w:val="center"/>
                </w:tcPr>
                <w:p w14:paraId="1CFACA44">
                  <w:pPr>
                    <w:pStyle w:val="122"/>
                    <w:rPr>
                      <w:rFonts w:eastAsiaTheme="minorEastAsia"/>
                      <w:color w:val="000000" w:themeColor="text1"/>
                      <w14:textFill>
                        <w14:solidFill>
                          <w14:schemeClr w14:val="tx1"/>
                        </w14:solidFill>
                      </w14:textFill>
                    </w:rPr>
                  </w:pPr>
                </w:p>
              </w:tc>
            </w:tr>
            <w:tr w14:paraId="50E839D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78216F0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原料入库和储存</w:t>
                  </w:r>
                </w:p>
              </w:tc>
              <w:tc>
                <w:tcPr>
                  <w:tcW w:w="707" w:type="dxa"/>
                  <w:vAlign w:val="center"/>
                </w:tcPr>
                <w:p w14:paraId="35ADDCF4">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6A023C1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r>
                    <w:rPr>
                      <w:rFonts w:hint="eastAsia" w:ascii="宋体" w:hAnsi="宋体" w:cs="宋体"/>
                      <w:color w:val="000000" w:themeColor="text1"/>
                      <w:vertAlign w:val="superscript"/>
                      <w14:textFill>
                        <w14:solidFill>
                          <w14:schemeClr w14:val="tx1"/>
                        </w14:solidFill>
                      </w14:textFill>
                    </w:rPr>
                    <w:t>①</w:t>
                  </w:r>
                </w:p>
              </w:tc>
              <w:tc>
                <w:tcPr>
                  <w:tcW w:w="991" w:type="dxa"/>
                  <w:vAlign w:val="center"/>
                </w:tcPr>
                <w:p w14:paraId="72C8ABE0">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56.9482 </w:t>
                  </w:r>
                </w:p>
              </w:tc>
              <w:tc>
                <w:tcPr>
                  <w:tcW w:w="998" w:type="dxa"/>
                  <w:vAlign w:val="center"/>
                </w:tcPr>
                <w:p w14:paraId="1776A8F0">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164.0110 </w:t>
                  </w:r>
                </w:p>
              </w:tc>
              <w:tc>
                <w:tcPr>
                  <w:tcW w:w="851" w:type="dxa"/>
                  <w:vAlign w:val="center"/>
                </w:tcPr>
                <w:p w14:paraId="3E3BBCB4">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74</w:t>
                  </w:r>
                </w:p>
              </w:tc>
              <w:tc>
                <w:tcPr>
                  <w:tcW w:w="850" w:type="dxa"/>
                  <w:vAlign w:val="center"/>
                </w:tcPr>
                <w:p w14:paraId="14C3241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99</w:t>
                  </w:r>
                </w:p>
              </w:tc>
              <w:tc>
                <w:tcPr>
                  <w:tcW w:w="851" w:type="dxa"/>
                  <w:vAlign w:val="center"/>
                </w:tcPr>
                <w:p w14:paraId="1D4CC3B4">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0.1481 </w:t>
                  </w:r>
                </w:p>
              </w:tc>
              <w:tc>
                <w:tcPr>
                  <w:tcW w:w="846" w:type="dxa"/>
                  <w:vAlign w:val="center"/>
                </w:tcPr>
                <w:p w14:paraId="24FC8418">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0.4264 </w:t>
                  </w:r>
                </w:p>
              </w:tc>
              <w:tc>
                <w:tcPr>
                  <w:tcW w:w="903" w:type="dxa"/>
                  <w:vAlign w:val="center"/>
                </w:tcPr>
                <w:p w14:paraId="06644CF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r>
            <w:tr w14:paraId="70CEC24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78002F8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投料</w:t>
                  </w:r>
                </w:p>
              </w:tc>
              <w:tc>
                <w:tcPr>
                  <w:tcW w:w="707" w:type="dxa"/>
                  <w:vAlign w:val="center"/>
                </w:tcPr>
                <w:p w14:paraId="3A2CCF0C">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640FDA65">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4F3A4921">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0.0715 </w:t>
                  </w:r>
                </w:p>
              </w:tc>
              <w:tc>
                <w:tcPr>
                  <w:tcW w:w="998" w:type="dxa"/>
                  <w:vAlign w:val="center"/>
                </w:tcPr>
                <w:p w14:paraId="0A145B2C">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0.206</w:t>
                  </w:r>
                </w:p>
              </w:tc>
              <w:tc>
                <w:tcPr>
                  <w:tcW w:w="851" w:type="dxa"/>
                  <w:vAlign w:val="center"/>
                </w:tcPr>
                <w:p w14:paraId="49FA54D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23959C3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851" w:type="dxa"/>
                  <w:vAlign w:val="center"/>
                </w:tcPr>
                <w:p w14:paraId="3D97ABB9">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0.0143 </w:t>
                  </w:r>
                </w:p>
              </w:tc>
              <w:tc>
                <w:tcPr>
                  <w:tcW w:w="846" w:type="dxa"/>
                  <w:vAlign w:val="center"/>
                </w:tcPr>
                <w:p w14:paraId="7EA3B0B2">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0.0412 </w:t>
                  </w:r>
                </w:p>
              </w:tc>
              <w:tc>
                <w:tcPr>
                  <w:tcW w:w="903" w:type="dxa"/>
                  <w:vAlign w:val="center"/>
                </w:tcPr>
                <w:p w14:paraId="68BE8A5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原料库</w:t>
                  </w:r>
                </w:p>
              </w:tc>
            </w:tr>
            <w:tr w14:paraId="5FFCDAA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46FF722F">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混料入口</w:t>
                  </w:r>
                </w:p>
              </w:tc>
              <w:tc>
                <w:tcPr>
                  <w:tcW w:w="707" w:type="dxa"/>
                  <w:vAlign w:val="center"/>
                </w:tcPr>
                <w:p w14:paraId="50CC5A0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4AA5A58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4FCC7C6B">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0.5365 </w:t>
                  </w:r>
                </w:p>
              </w:tc>
              <w:tc>
                <w:tcPr>
                  <w:tcW w:w="998" w:type="dxa"/>
                  <w:vAlign w:val="center"/>
                </w:tcPr>
                <w:p w14:paraId="72CDF42D">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1.545</w:t>
                  </w:r>
                </w:p>
              </w:tc>
              <w:tc>
                <w:tcPr>
                  <w:tcW w:w="851" w:type="dxa"/>
                  <w:vAlign w:val="center"/>
                </w:tcPr>
                <w:p w14:paraId="621D645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1C9F89D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851" w:type="dxa"/>
                  <w:vAlign w:val="center"/>
                </w:tcPr>
                <w:p w14:paraId="2F78D3D4">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0.1073 </w:t>
                  </w:r>
                </w:p>
              </w:tc>
              <w:tc>
                <w:tcPr>
                  <w:tcW w:w="846" w:type="dxa"/>
                  <w:vAlign w:val="center"/>
                </w:tcPr>
                <w:p w14:paraId="49633F1C">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0.3090 </w:t>
                  </w:r>
                </w:p>
              </w:tc>
              <w:tc>
                <w:tcPr>
                  <w:tcW w:w="903" w:type="dxa"/>
                  <w:vAlign w:val="center"/>
                </w:tcPr>
                <w:p w14:paraId="7F78FFD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28461E5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025D7EB5">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混料过程</w:t>
                  </w:r>
                </w:p>
              </w:tc>
              <w:tc>
                <w:tcPr>
                  <w:tcW w:w="707" w:type="dxa"/>
                  <w:vAlign w:val="center"/>
                </w:tcPr>
                <w:p w14:paraId="57D29C2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45BD591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0C0EA3F1">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1.1588 </w:t>
                  </w:r>
                </w:p>
              </w:tc>
              <w:tc>
                <w:tcPr>
                  <w:tcW w:w="998" w:type="dxa"/>
                  <w:vAlign w:val="center"/>
                </w:tcPr>
                <w:p w14:paraId="28B401F6">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3.3372</w:t>
                  </w:r>
                </w:p>
              </w:tc>
              <w:tc>
                <w:tcPr>
                  <w:tcW w:w="851" w:type="dxa"/>
                  <w:vAlign w:val="center"/>
                </w:tcPr>
                <w:p w14:paraId="1CBBF0B1">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710D843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851" w:type="dxa"/>
                  <w:vAlign w:val="center"/>
                </w:tcPr>
                <w:p w14:paraId="2E967B50">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0.2318 </w:t>
                  </w:r>
                </w:p>
              </w:tc>
              <w:tc>
                <w:tcPr>
                  <w:tcW w:w="846" w:type="dxa"/>
                  <w:vAlign w:val="center"/>
                </w:tcPr>
                <w:p w14:paraId="5E058899">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0.6674 </w:t>
                  </w:r>
                </w:p>
              </w:tc>
              <w:tc>
                <w:tcPr>
                  <w:tcW w:w="903" w:type="dxa"/>
                  <w:vAlign w:val="center"/>
                </w:tcPr>
                <w:p w14:paraId="15563BF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2BDE336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2505986A">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混料出口</w:t>
                  </w:r>
                </w:p>
              </w:tc>
              <w:tc>
                <w:tcPr>
                  <w:tcW w:w="707" w:type="dxa"/>
                  <w:vAlign w:val="center"/>
                </w:tcPr>
                <w:p w14:paraId="62B4DA9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4F31F87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5387" w:type="dxa"/>
                  <w:gridSpan w:val="6"/>
                  <w:vAlign w:val="center"/>
                </w:tcPr>
                <w:p w14:paraId="4B16D15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混料出料表面湿润，产尘极少，且通过封闭传送带连接并经过生产车间沉降，不对其进行详细计算。</w:t>
                  </w:r>
                </w:p>
              </w:tc>
              <w:tc>
                <w:tcPr>
                  <w:tcW w:w="903" w:type="dxa"/>
                  <w:vAlign w:val="center"/>
                </w:tcPr>
                <w:p w14:paraId="456AC396">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23A4643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06679F96">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造球入料</w:t>
                  </w:r>
                </w:p>
              </w:tc>
              <w:tc>
                <w:tcPr>
                  <w:tcW w:w="707" w:type="dxa"/>
                  <w:vAlign w:val="center"/>
                </w:tcPr>
                <w:p w14:paraId="5061FFC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5A9F522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5387" w:type="dxa"/>
                  <w:gridSpan w:val="6"/>
                  <w:vAlign w:val="center"/>
                </w:tcPr>
                <w:p w14:paraId="2D1FBDF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造球入料表面湿润，产尘极少，且通过封闭传送带连接并经过生产车间沉降，不对其进行详细计算。</w:t>
                  </w:r>
                </w:p>
              </w:tc>
              <w:tc>
                <w:tcPr>
                  <w:tcW w:w="903" w:type="dxa"/>
                  <w:vAlign w:val="center"/>
                </w:tcPr>
                <w:p w14:paraId="35C6B89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735067A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74A5EA12">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造球过程</w:t>
                  </w:r>
                </w:p>
              </w:tc>
              <w:tc>
                <w:tcPr>
                  <w:tcW w:w="707" w:type="dxa"/>
                  <w:vAlign w:val="center"/>
                </w:tcPr>
                <w:p w14:paraId="1C11AF0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6D75389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45092C3C">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0.3576 </w:t>
                  </w:r>
                </w:p>
              </w:tc>
              <w:tc>
                <w:tcPr>
                  <w:tcW w:w="998" w:type="dxa"/>
                  <w:vAlign w:val="center"/>
                </w:tcPr>
                <w:p w14:paraId="0BF2CDF2">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1.03</w:t>
                  </w:r>
                </w:p>
              </w:tc>
              <w:tc>
                <w:tcPr>
                  <w:tcW w:w="851" w:type="dxa"/>
                  <w:vAlign w:val="center"/>
                </w:tcPr>
                <w:p w14:paraId="7CD36FB6">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56719F2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851" w:type="dxa"/>
                  <w:vAlign w:val="center"/>
                </w:tcPr>
                <w:p w14:paraId="5FF3E672">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0.0143 </w:t>
                  </w:r>
                </w:p>
              </w:tc>
              <w:tc>
                <w:tcPr>
                  <w:tcW w:w="846" w:type="dxa"/>
                  <w:vAlign w:val="center"/>
                </w:tcPr>
                <w:p w14:paraId="2ADC9B9A">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0.0412 </w:t>
                  </w:r>
                </w:p>
              </w:tc>
              <w:tc>
                <w:tcPr>
                  <w:tcW w:w="903" w:type="dxa"/>
                  <w:vAlign w:val="center"/>
                </w:tcPr>
                <w:p w14:paraId="6C4A23E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7CAEA74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6EA45823">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造球出料</w:t>
                  </w:r>
                </w:p>
              </w:tc>
              <w:tc>
                <w:tcPr>
                  <w:tcW w:w="707" w:type="dxa"/>
                  <w:vAlign w:val="center"/>
                </w:tcPr>
                <w:p w14:paraId="31D63006">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00FD3305">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5387" w:type="dxa"/>
                  <w:gridSpan w:val="6"/>
                  <w:vAlign w:val="center"/>
                </w:tcPr>
                <w:p w14:paraId="0C9AFC5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造球出料表面湿润，产尘极少，且通过封闭传送带连接并经过生产车间沉降，不对其进行详细计算。</w:t>
                  </w:r>
                </w:p>
              </w:tc>
              <w:tc>
                <w:tcPr>
                  <w:tcW w:w="903" w:type="dxa"/>
                  <w:vAlign w:val="center"/>
                </w:tcPr>
                <w:p w14:paraId="30CE7D6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r>
            <w:tr w14:paraId="20732CE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535568B0">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烘干投料</w:t>
                  </w:r>
                </w:p>
              </w:tc>
              <w:tc>
                <w:tcPr>
                  <w:tcW w:w="707" w:type="dxa"/>
                  <w:vAlign w:val="center"/>
                </w:tcPr>
                <w:p w14:paraId="0E9E083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5FAE35D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5387" w:type="dxa"/>
                  <w:gridSpan w:val="6"/>
                  <w:vAlign w:val="center"/>
                </w:tcPr>
                <w:p w14:paraId="39546FB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造球后的湿料通过传送带投入至温控烘干炉配套的容器中，此处没有封闭条件，但物料表面湿润，产尘极少且通过车间沉降，不对其进行详细计算。</w:t>
                  </w:r>
                </w:p>
              </w:tc>
              <w:tc>
                <w:tcPr>
                  <w:tcW w:w="903" w:type="dxa"/>
                  <w:vAlign w:val="center"/>
                </w:tcPr>
                <w:p w14:paraId="774EADEC">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烘干车间</w:t>
                  </w:r>
                </w:p>
              </w:tc>
            </w:tr>
            <w:tr w14:paraId="67DFDC8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restart"/>
                  <w:vAlign w:val="center"/>
                </w:tcPr>
                <w:p w14:paraId="7D8E3843">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烘干</w:t>
                  </w:r>
                </w:p>
              </w:tc>
              <w:tc>
                <w:tcPr>
                  <w:tcW w:w="707" w:type="dxa"/>
                  <w:vAlign w:val="center"/>
                </w:tcPr>
                <w:p w14:paraId="541151D5">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tcPr>
                <w:p w14:paraId="377D3D02">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5A9A4D64">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0.1192 </w:t>
                  </w:r>
                </w:p>
              </w:tc>
              <w:tc>
                <w:tcPr>
                  <w:tcW w:w="998" w:type="dxa"/>
                  <w:vAlign w:val="center"/>
                </w:tcPr>
                <w:p w14:paraId="6C97E318">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0.34335</w:t>
                  </w:r>
                </w:p>
              </w:tc>
              <w:tc>
                <w:tcPr>
                  <w:tcW w:w="851" w:type="dxa"/>
                  <w:vAlign w:val="center"/>
                </w:tcPr>
                <w:p w14:paraId="19F013E5">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2A37FB8E">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851" w:type="dxa"/>
                  <w:vAlign w:val="center"/>
                </w:tcPr>
                <w:p w14:paraId="40BA3560">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0.0238 </w:t>
                  </w:r>
                </w:p>
              </w:tc>
              <w:tc>
                <w:tcPr>
                  <w:tcW w:w="846" w:type="dxa"/>
                  <w:vAlign w:val="center"/>
                </w:tcPr>
                <w:p w14:paraId="429E85F5">
                  <w:pPr>
                    <w:pStyle w:val="122"/>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0.0687 </w:t>
                  </w:r>
                </w:p>
              </w:tc>
              <w:tc>
                <w:tcPr>
                  <w:tcW w:w="903" w:type="dxa"/>
                  <w:vMerge w:val="restart"/>
                  <w:vAlign w:val="center"/>
                </w:tcPr>
                <w:p w14:paraId="5685D8ED">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14:textFill>
                        <w14:solidFill>
                          <w14:schemeClr w14:val="tx1"/>
                        </w14:solidFill>
                      </w14:textFill>
                    </w:rPr>
                    <w:t>烘干车间</w:t>
                  </w:r>
                </w:p>
              </w:tc>
            </w:tr>
            <w:tr w14:paraId="32DB860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continue"/>
                  <w:vAlign w:val="center"/>
                </w:tcPr>
                <w:p w14:paraId="121C1E7B">
                  <w:pPr>
                    <w:pStyle w:val="122"/>
                    <w:rPr>
                      <w:rFonts w:eastAsiaTheme="minorEastAsia"/>
                      <w:color w:val="000000" w:themeColor="text1"/>
                      <w:sz w:val="22"/>
                      <w:szCs w:val="22"/>
                      <w:highlight w:val="yellow"/>
                      <w14:textFill>
                        <w14:solidFill>
                          <w14:schemeClr w14:val="tx1"/>
                        </w14:solidFill>
                      </w14:textFill>
                    </w:rPr>
                  </w:pPr>
                </w:p>
              </w:tc>
              <w:tc>
                <w:tcPr>
                  <w:tcW w:w="707" w:type="dxa"/>
                  <w:vAlign w:val="center"/>
                </w:tcPr>
                <w:p w14:paraId="5BCA1CB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708" w:type="dxa"/>
                </w:tcPr>
                <w:p w14:paraId="73BB7B21">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7A6F901B">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0.0328 </w:t>
                  </w:r>
                </w:p>
              </w:tc>
              <w:tc>
                <w:tcPr>
                  <w:tcW w:w="998" w:type="dxa"/>
                  <w:vAlign w:val="center"/>
                </w:tcPr>
                <w:p w14:paraId="24F84409">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0.0946 </w:t>
                  </w:r>
                </w:p>
              </w:tc>
              <w:tc>
                <w:tcPr>
                  <w:tcW w:w="851" w:type="dxa"/>
                  <w:vAlign w:val="center"/>
                </w:tcPr>
                <w:p w14:paraId="6356DA3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15FE851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604488AA">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0.0328 </w:t>
                  </w:r>
                </w:p>
              </w:tc>
              <w:tc>
                <w:tcPr>
                  <w:tcW w:w="846" w:type="dxa"/>
                  <w:vAlign w:val="center"/>
                </w:tcPr>
                <w:p w14:paraId="403BBC46">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0.0946 </w:t>
                  </w:r>
                </w:p>
              </w:tc>
              <w:tc>
                <w:tcPr>
                  <w:tcW w:w="903" w:type="dxa"/>
                  <w:vMerge w:val="continue"/>
                  <w:vAlign w:val="center"/>
                </w:tcPr>
                <w:p w14:paraId="4EB28D17">
                  <w:pPr>
                    <w:pStyle w:val="122"/>
                    <w:rPr>
                      <w:rFonts w:eastAsiaTheme="minorEastAsia"/>
                      <w:color w:val="000000" w:themeColor="text1"/>
                      <w:highlight w:val="yellow"/>
                      <w14:textFill>
                        <w14:solidFill>
                          <w14:schemeClr w14:val="tx1"/>
                        </w14:solidFill>
                      </w14:textFill>
                    </w:rPr>
                  </w:pPr>
                </w:p>
              </w:tc>
            </w:tr>
            <w:tr w14:paraId="43BE6C5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continue"/>
                  <w:vAlign w:val="center"/>
                </w:tcPr>
                <w:p w14:paraId="2AB13F6A">
                  <w:pPr>
                    <w:pStyle w:val="122"/>
                    <w:rPr>
                      <w:rFonts w:eastAsiaTheme="minorEastAsia"/>
                      <w:color w:val="000000" w:themeColor="text1"/>
                      <w:sz w:val="22"/>
                      <w:szCs w:val="22"/>
                      <w:highlight w:val="yellow"/>
                      <w14:textFill>
                        <w14:solidFill>
                          <w14:schemeClr w14:val="tx1"/>
                        </w14:solidFill>
                      </w14:textFill>
                    </w:rPr>
                  </w:pPr>
                </w:p>
              </w:tc>
              <w:tc>
                <w:tcPr>
                  <w:tcW w:w="707" w:type="dxa"/>
                  <w:vAlign w:val="center"/>
                </w:tcPr>
                <w:p w14:paraId="6CDA97E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氮氧化物</w:t>
                  </w:r>
                </w:p>
              </w:tc>
              <w:tc>
                <w:tcPr>
                  <w:tcW w:w="708" w:type="dxa"/>
                </w:tcPr>
                <w:p w14:paraId="190357CF">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304C6BA7">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0.0016 </w:t>
                  </w:r>
                </w:p>
              </w:tc>
              <w:tc>
                <w:tcPr>
                  <w:tcW w:w="998" w:type="dxa"/>
                  <w:vAlign w:val="center"/>
                </w:tcPr>
                <w:p w14:paraId="7ECABC22">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0.0046 </w:t>
                  </w:r>
                </w:p>
              </w:tc>
              <w:tc>
                <w:tcPr>
                  <w:tcW w:w="851" w:type="dxa"/>
                  <w:vAlign w:val="center"/>
                </w:tcPr>
                <w:p w14:paraId="42A055B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1C0546F1">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117F4FE3">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0.0016 </w:t>
                  </w:r>
                </w:p>
              </w:tc>
              <w:tc>
                <w:tcPr>
                  <w:tcW w:w="846" w:type="dxa"/>
                  <w:vAlign w:val="center"/>
                </w:tcPr>
                <w:p w14:paraId="5C28841D">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0.0046 </w:t>
                  </w:r>
                </w:p>
              </w:tc>
              <w:tc>
                <w:tcPr>
                  <w:tcW w:w="903" w:type="dxa"/>
                  <w:vMerge w:val="continue"/>
                  <w:vAlign w:val="center"/>
                </w:tcPr>
                <w:p w14:paraId="196145C6">
                  <w:pPr>
                    <w:pStyle w:val="122"/>
                    <w:rPr>
                      <w:rFonts w:eastAsiaTheme="minorEastAsia"/>
                      <w:color w:val="000000" w:themeColor="text1"/>
                      <w:highlight w:val="yellow"/>
                      <w14:textFill>
                        <w14:solidFill>
                          <w14:schemeClr w14:val="tx1"/>
                        </w14:solidFill>
                      </w14:textFill>
                    </w:rPr>
                  </w:pPr>
                </w:p>
              </w:tc>
            </w:tr>
            <w:tr w14:paraId="1F42890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7B4FDE6F">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烘干卸料</w:t>
                  </w:r>
                </w:p>
              </w:tc>
              <w:tc>
                <w:tcPr>
                  <w:tcW w:w="707" w:type="dxa"/>
                  <w:vAlign w:val="center"/>
                </w:tcPr>
                <w:p w14:paraId="4215406F">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4455C2C2">
                  <w:pPr>
                    <w:pStyle w:val="122"/>
                    <w:rPr>
                      <w:rFonts w:eastAsiaTheme="minorEastAsia"/>
                      <w:color w:val="0000FF"/>
                    </w:rPr>
                  </w:pPr>
                  <w:r>
                    <w:rPr>
                      <w:rFonts w:eastAsiaTheme="minorEastAsia"/>
                      <w:color w:val="0000FF"/>
                    </w:rPr>
                    <w:t>2880</w:t>
                  </w:r>
                </w:p>
              </w:tc>
              <w:tc>
                <w:tcPr>
                  <w:tcW w:w="991" w:type="dxa"/>
                  <w:vAlign w:val="center"/>
                </w:tcPr>
                <w:p w14:paraId="291D5D8D">
                  <w:pPr>
                    <w:pStyle w:val="122"/>
                    <w:rPr>
                      <w:rFonts w:eastAsiaTheme="minorEastAsia"/>
                      <w:color w:val="0000FF"/>
                    </w:rPr>
                  </w:pPr>
                  <w:r>
                    <w:rPr>
                      <w:rFonts w:eastAsiaTheme="minorEastAsia"/>
                      <w:color w:val="0000FF"/>
                      <w:sz w:val="22"/>
                      <w:szCs w:val="22"/>
                    </w:rPr>
                    <w:t>0.7324</w:t>
                  </w:r>
                </w:p>
              </w:tc>
              <w:tc>
                <w:tcPr>
                  <w:tcW w:w="998" w:type="dxa"/>
                  <w:vAlign w:val="center"/>
                </w:tcPr>
                <w:p w14:paraId="669AB23A">
                  <w:pPr>
                    <w:pStyle w:val="122"/>
                    <w:rPr>
                      <w:rFonts w:eastAsiaTheme="minorEastAsia"/>
                      <w:color w:val="0000FF"/>
                    </w:rPr>
                  </w:pPr>
                  <w:r>
                    <w:rPr>
                      <w:rFonts w:eastAsiaTheme="minorEastAsia"/>
                      <w:color w:val="0000FF"/>
                      <w:sz w:val="22"/>
                      <w:szCs w:val="22"/>
                    </w:rPr>
                    <w:t>2.1094</w:t>
                  </w:r>
                </w:p>
              </w:tc>
              <w:tc>
                <w:tcPr>
                  <w:tcW w:w="851" w:type="dxa"/>
                  <w:vAlign w:val="center"/>
                </w:tcPr>
                <w:p w14:paraId="57B44A43">
                  <w:pPr>
                    <w:pStyle w:val="122"/>
                    <w:rPr>
                      <w:rFonts w:eastAsiaTheme="minorEastAsia"/>
                      <w:color w:val="0000FF"/>
                    </w:rPr>
                  </w:pPr>
                  <w:r>
                    <w:rPr>
                      <w:rFonts w:eastAsiaTheme="minorEastAsia"/>
                      <w:color w:val="0000FF"/>
                    </w:rPr>
                    <w:t>无</w:t>
                  </w:r>
                </w:p>
              </w:tc>
              <w:tc>
                <w:tcPr>
                  <w:tcW w:w="850" w:type="dxa"/>
                  <w:vAlign w:val="center"/>
                </w:tcPr>
                <w:p w14:paraId="3A91DB76">
                  <w:pPr>
                    <w:pStyle w:val="122"/>
                    <w:rPr>
                      <w:rFonts w:eastAsiaTheme="minorEastAsia"/>
                      <w:color w:val="0000FF"/>
                    </w:rPr>
                  </w:pPr>
                  <w:r>
                    <w:rPr>
                      <w:rFonts w:eastAsiaTheme="minorEastAsia"/>
                      <w:color w:val="0000FF"/>
                    </w:rPr>
                    <w:t>80</w:t>
                  </w:r>
                </w:p>
              </w:tc>
              <w:tc>
                <w:tcPr>
                  <w:tcW w:w="851" w:type="dxa"/>
                  <w:vAlign w:val="center"/>
                </w:tcPr>
                <w:p w14:paraId="089CFFA8">
                  <w:pPr>
                    <w:pStyle w:val="122"/>
                    <w:rPr>
                      <w:rFonts w:eastAsiaTheme="minorEastAsia"/>
                      <w:color w:val="0000FF"/>
                    </w:rPr>
                  </w:pPr>
                  <w:r>
                    <w:rPr>
                      <w:rFonts w:eastAsiaTheme="minorEastAsia"/>
                      <w:color w:val="0000FF"/>
                      <w:sz w:val="22"/>
                      <w:szCs w:val="22"/>
                    </w:rPr>
                    <w:t xml:space="preserve">0.1465 </w:t>
                  </w:r>
                </w:p>
              </w:tc>
              <w:tc>
                <w:tcPr>
                  <w:tcW w:w="846" w:type="dxa"/>
                  <w:vAlign w:val="center"/>
                </w:tcPr>
                <w:p w14:paraId="0A0895F1">
                  <w:pPr>
                    <w:pStyle w:val="122"/>
                    <w:rPr>
                      <w:rFonts w:eastAsiaTheme="minorEastAsia"/>
                      <w:color w:val="0000FF"/>
                    </w:rPr>
                  </w:pPr>
                  <w:r>
                    <w:rPr>
                      <w:rFonts w:eastAsiaTheme="minorEastAsia"/>
                      <w:color w:val="0000FF"/>
                      <w:sz w:val="22"/>
                      <w:szCs w:val="22"/>
                    </w:rPr>
                    <w:t>0.4219</w:t>
                  </w:r>
                </w:p>
              </w:tc>
              <w:tc>
                <w:tcPr>
                  <w:tcW w:w="903" w:type="dxa"/>
                  <w:vAlign w:val="center"/>
                </w:tcPr>
                <w:p w14:paraId="066D041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产品库</w:t>
                  </w:r>
                </w:p>
              </w:tc>
            </w:tr>
            <w:tr w14:paraId="56BF561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56906F05">
                  <w:pPr>
                    <w:pStyle w:val="122"/>
                    <w:rPr>
                      <w:rFonts w:eastAsiaTheme="minorEastAsia"/>
                      <w:color w:val="000000" w:themeColor="text1"/>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产品储存和装车</w:t>
                  </w:r>
                </w:p>
              </w:tc>
              <w:tc>
                <w:tcPr>
                  <w:tcW w:w="707" w:type="dxa"/>
                  <w:vAlign w:val="center"/>
                </w:tcPr>
                <w:p w14:paraId="7DFFEE9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708" w:type="dxa"/>
                  <w:vAlign w:val="center"/>
                </w:tcPr>
                <w:p w14:paraId="5E71775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41FC25F0">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3.6621 </w:t>
                  </w:r>
                </w:p>
              </w:tc>
              <w:tc>
                <w:tcPr>
                  <w:tcW w:w="998" w:type="dxa"/>
                  <w:vAlign w:val="center"/>
                </w:tcPr>
                <w:p w14:paraId="01484028">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10.5469 </w:t>
                  </w:r>
                </w:p>
              </w:tc>
              <w:tc>
                <w:tcPr>
                  <w:tcW w:w="851" w:type="dxa"/>
                  <w:vAlign w:val="center"/>
                </w:tcPr>
                <w:p w14:paraId="4BD1FB73">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无</w:t>
                  </w:r>
                </w:p>
              </w:tc>
              <w:tc>
                <w:tcPr>
                  <w:tcW w:w="850" w:type="dxa"/>
                  <w:vAlign w:val="center"/>
                </w:tcPr>
                <w:p w14:paraId="51A8381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99</w:t>
                  </w:r>
                </w:p>
              </w:tc>
              <w:tc>
                <w:tcPr>
                  <w:tcW w:w="851" w:type="dxa"/>
                  <w:vAlign w:val="center"/>
                </w:tcPr>
                <w:p w14:paraId="3D7D3422">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0.0366 </w:t>
                  </w:r>
                </w:p>
              </w:tc>
              <w:tc>
                <w:tcPr>
                  <w:tcW w:w="846" w:type="dxa"/>
                  <w:vAlign w:val="center"/>
                </w:tcPr>
                <w:p w14:paraId="0745CB68">
                  <w:pPr>
                    <w:pStyle w:val="122"/>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0.1055 </w:t>
                  </w:r>
                </w:p>
              </w:tc>
              <w:tc>
                <w:tcPr>
                  <w:tcW w:w="903" w:type="dxa"/>
                  <w:vAlign w:val="center"/>
                </w:tcPr>
                <w:p w14:paraId="1B98FA19">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产品库</w:t>
                  </w:r>
                </w:p>
              </w:tc>
            </w:tr>
            <w:tr w14:paraId="65ACBE9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362" w:type="dxa"/>
                  <w:gridSpan w:val="10"/>
                  <w:vAlign w:val="center"/>
                </w:tcPr>
                <w:p w14:paraId="0556955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按建筑/车间统计</w:t>
                  </w:r>
                </w:p>
              </w:tc>
            </w:tr>
            <w:tr w14:paraId="4E8ED5E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2F1799D8">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原料库</w:t>
                  </w:r>
                </w:p>
              </w:tc>
              <w:tc>
                <w:tcPr>
                  <w:tcW w:w="707" w:type="dxa"/>
                  <w:vAlign w:val="center"/>
                </w:tcPr>
                <w:p w14:paraId="3775ACCA">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708" w:type="dxa"/>
                  <w:vAlign w:val="center"/>
                </w:tcPr>
                <w:p w14:paraId="3872998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1F778E5B">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57.0198 </w:t>
                  </w:r>
                </w:p>
              </w:tc>
              <w:tc>
                <w:tcPr>
                  <w:tcW w:w="998" w:type="dxa"/>
                  <w:vAlign w:val="center"/>
                </w:tcPr>
                <w:p w14:paraId="489CFE24">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164.2170 </w:t>
                  </w:r>
                </w:p>
              </w:tc>
              <w:tc>
                <w:tcPr>
                  <w:tcW w:w="851" w:type="dxa"/>
                  <w:vAlign w:val="center"/>
                </w:tcPr>
                <w:p w14:paraId="49CE970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0" w:type="dxa"/>
                  <w:vAlign w:val="center"/>
                </w:tcPr>
                <w:p w14:paraId="15859DC0">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420181ED">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0.1624 </w:t>
                  </w:r>
                </w:p>
              </w:tc>
              <w:tc>
                <w:tcPr>
                  <w:tcW w:w="846" w:type="dxa"/>
                  <w:vAlign w:val="center"/>
                </w:tcPr>
                <w:p w14:paraId="4EE23D42">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0.4676 </w:t>
                  </w:r>
                </w:p>
              </w:tc>
              <w:tc>
                <w:tcPr>
                  <w:tcW w:w="903" w:type="dxa"/>
                  <w:vAlign w:val="center"/>
                </w:tcPr>
                <w:p w14:paraId="5854F6D9">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原料库</w:t>
                  </w:r>
                </w:p>
              </w:tc>
            </w:tr>
            <w:tr w14:paraId="4C954B7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58B19892">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生产车间</w:t>
                  </w:r>
                </w:p>
              </w:tc>
              <w:tc>
                <w:tcPr>
                  <w:tcW w:w="707" w:type="dxa"/>
                  <w:vAlign w:val="center"/>
                </w:tcPr>
                <w:p w14:paraId="30371113">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708" w:type="dxa"/>
                  <w:vAlign w:val="center"/>
                </w:tcPr>
                <w:p w14:paraId="4B96DF4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76010E78">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2.0528 </w:t>
                  </w:r>
                </w:p>
              </w:tc>
              <w:tc>
                <w:tcPr>
                  <w:tcW w:w="998" w:type="dxa"/>
                  <w:vAlign w:val="center"/>
                </w:tcPr>
                <w:p w14:paraId="219503B6">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5.9122 </w:t>
                  </w:r>
                </w:p>
              </w:tc>
              <w:tc>
                <w:tcPr>
                  <w:tcW w:w="851" w:type="dxa"/>
                  <w:vAlign w:val="center"/>
                </w:tcPr>
                <w:p w14:paraId="6CBC292B">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0" w:type="dxa"/>
                  <w:vAlign w:val="center"/>
                </w:tcPr>
                <w:p w14:paraId="09843E7A">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315D7882">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0.4106 </w:t>
                  </w:r>
                </w:p>
              </w:tc>
              <w:tc>
                <w:tcPr>
                  <w:tcW w:w="846" w:type="dxa"/>
                  <w:vAlign w:val="center"/>
                </w:tcPr>
                <w:p w14:paraId="69E4D0D1">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1.1824 </w:t>
                  </w:r>
                </w:p>
              </w:tc>
              <w:tc>
                <w:tcPr>
                  <w:tcW w:w="903" w:type="dxa"/>
                  <w:vAlign w:val="center"/>
                </w:tcPr>
                <w:p w14:paraId="0A2BC79B">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生产车间</w:t>
                  </w:r>
                </w:p>
              </w:tc>
            </w:tr>
            <w:tr w14:paraId="7E60FE4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Align w:val="center"/>
                </w:tcPr>
                <w:p w14:paraId="167C087E">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产品库</w:t>
                  </w:r>
                </w:p>
              </w:tc>
              <w:tc>
                <w:tcPr>
                  <w:tcW w:w="707" w:type="dxa"/>
                  <w:vAlign w:val="center"/>
                </w:tcPr>
                <w:p w14:paraId="2F5E8677">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708" w:type="dxa"/>
                  <w:vAlign w:val="center"/>
                </w:tcPr>
                <w:p w14:paraId="58596203">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781204AC">
                  <w:pPr>
                    <w:pStyle w:val="122"/>
                    <w:rPr>
                      <w:rFonts w:eastAsiaTheme="minorEastAsia"/>
                      <w:color w:val="0000FF"/>
                      <w:sz w:val="22"/>
                      <w:szCs w:val="22"/>
                      <w:highlight w:val="yellow"/>
                    </w:rPr>
                  </w:pPr>
                  <w:r>
                    <w:rPr>
                      <w:rFonts w:eastAsiaTheme="minorEastAsia"/>
                      <w:color w:val="0000FF"/>
                      <w:sz w:val="22"/>
                      <w:szCs w:val="22"/>
                    </w:rPr>
                    <w:t>4.3945</w:t>
                  </w:r>
                </w:p>
              </w:tc>
              <w:tc>
                <w:tcPr>
                  <w:tcW w:w="998" w:type="dxa"/>
                  <w:vAlign w:val="center"/>
                </w:tcPr>
                <w:p w14:paraId="664A36CA">
                  <w:pPr>
                    <w:pStyle w:val="122"/>
                    <w:rPr>
                      <w:rFonts w:eastAsiaTheme="minorEastAsia"/>
                      <w:color w:val="0000FF"/>
                      <w:sz w:val="22"/>
                      <w:szCs w:val="22"/>
                      <w:highlight w:val="yellow"/>
                    </w:rPr>
                  </w:pPr>
                  <w:r>
                    <w:rPr>
                      <w:rFonts w:eastAsiaTheme="minorEastAsia"/>
                      <w:color w:val="0000FF"/>
                      <w:sz w:val="22"/>
                      <w:szCs w:val="22"/>
                    </w:rPr>
                    <w:t>12.6563</w:t>
                  </w:r>
                </w:p>
              </w:tc>
              <w:tc>
                <w:tcPr>
                  <w:tcW w:w="851" w:type="dxa"/>
                  <w:vAlign w:val="center"/>
                </w:tcPr>
                <w:p w14:paraId="4824CA69">
                  <w:pPr>
                    <w:pStyle w:val="122"/>
                    <w:rPr>
                      <w:rFonts w:eastAsiaTheme="minorEastAsia"/>
                      <w:color w:val="0000FF"/>
                    </w:rPr>
                  </w:pPr>
                  <w:r>
                    <w:rPr>
                      <w:rFonts w:eastAsiaTheme="minorEastAsia"/>
                      <w:color w:val="0000FF"/>
                    </w:rPr>
                    <w:t>-</w:t>
                  </w:r>
                </w:p>
              </w:tc>
              <w:tc>
                <w:tcPr>
                  <w:tcW w:w="850" w:type="dxa"/>
                  <w:vAlign w:val="center"/>
                </w:tcPr>
                <w:p w14:paraId="4675EE9E">
                  <w:pPr>
                    <w:pStyle w:val="122"/>
                    <w:rPr>
                      <w:rFonts w:eastAsiaTheme="minorEastAsia"/>
                      <w:color w:val="0000FF"/>
                    </w:rPr>
                  </w:pPr>
                  <w:r>
                    <w:rPr>
                      <w:rFonts w:eastAsiaTheme="minorEastAsia"/>
                      <w:color w:val="0000FF"/>
                    </w:rPr>
                    <w:t>-</w:t>
                  </w:r>
                </w:p>
              </w:tc>
              <w:tc>
                <w:tcPr>
                  <w:tcW w:w="851" w:type="dxa"/>
                  <w:vAlign w:val="center"/>
                </w:tcPr>
                <w:p w14:paraId="35500063">
                  <w:pPr>
                    <w:pStyle w:val="122"/>
                    <w:rPr>
                      <w:rFonts w:eastAsiaTheme="minorEastAsia"/>
                      <w:color w:val="0000FF"/>
                      <w:sz w:val="22"/>
                      <w:szCs w:val="22"/>
                      <w:highlight w:val="yellow"/>
                    </w:rPr>
                  </w:pPr>
                  <w:r>
                    <w:rPr>
                      <w:rFonts w:eastAsiaTheme="minorEastAsia"/>
                      <w:color w:val="0000FF"/>
                      <w:sz w:val="22"/>
                      <w:szCs w:val="22"/>
                    </w:rPr>
                    <w:t xml:space="preserve">0.1831 </w:t>
                  </w:r>
                </w:p>
              </w:tc>
              <w:tc>
                <w:tcPr>
                  <w:tcW w:w="846" w:type="dxa"/>
                  <w:vAlign w:val="center"/>
                </w:tcPr>
                <w:p w14:paraId="592B9966">
                  <w:pPr>
                    <w:pStyle w:val="122"/>
                    <w:rPr>
                      <w:rFonts w:eastAsiaTheme="minorEastAsia"/>
                      <w:color w:val="0000FF"/>
                      <w:sz w:val="22"/>
                      <w:szCs w:val="22"/>
                      <w:highlight w:val="yellow"/>
                    </w:rPr>
                  </w:pPr>
                  <w:r>
                    <w:rPr>
                      <w:rFonts w:eastAsiaTheme="minorEastAsia"/>
                      <w:color w:val="0000FF"/>
                      <w:sz w:val="22"/>
                      <w:szCs w:val="22"/>
                    </w:rPr>
                    <w:t xml:space="preserve">0.5273 </w:t>
                  </w:r>
                </w:p>
              </w:tc>
              <w:tc>
                <w:tcPr>
                  <w:tcW w:w="903" w:type="dxa"/>
                  <w:vAlign w:val="center"/>
                </w:tcPr>
                <w:p w14:paraId="78A8CA2C">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产品库</w:t>
                  </w:r>
                </w:p>
              </w:tc>
            </w:tr>
            <w:tr w14:paraId="01B6C4A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restart"/>
                  <w:vAlign w:val="center"/>
                </w:tcPr>
                <w:p w14:paraId="6A08EE25">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烘干车间</w:t>
                  </w:r>
                </w:p>
              </w:tc>
              <w:tc>
                <w:tcPr>
                  <w:tcW w:w="707" w:type="dxa"/>
                  <w:vAlign w:val="center"/>
                </w:tcPr>
                <w:p w14:paraId="73A4EC5C">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708" w:type="dxa"/>
                  <w:vAlign w:val="center"/>
                </w:tcPr>
                <w:p w14:paraId="190C8D5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11972FA1">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3.7813 </w:t>
                  </w:r>
                </w:p>
              </w:tc>
              <w:tc>
                <w:tcPr>
                  <w:tcW w:w="998" w:type="dxa"/>
                  <w:vAlign w:val="center"/>
                </w:tcPr>
                <w:p w14:paraId="700AF1FA">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10.8902 </w:t>
                  </w:r>
                </w:p>
              </w:tc>
              <w:tc>
                <w:tcPr>
                  <w:tcW w:w="851" w:type="dxa"/>
                  <w:vAlign w:val="center"/>
                </w:tcPr>
                <w:p w14:paraId="6EF1F064">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0" w:type="dxa"/>
                  <w:vAlign w:val="center"/>
                </w:tcPr>
                <w:p w14:paraId="52A00DCF">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613EA42D">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0.0605 </w:t>
                  </w:r>
                </w:p>
              </w:tc>
              <w:tc>
                <w:tcPr>
                  <w:tcW w:w="846" w:type="dxa"/>
                  <w:vAlign w:val="center"/>
                </w:tcPr>
                <w:p w14:paraId="3B2D345B">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0.1741 </w:t>
                  </w:r>
                </w:p>
              </w:tc>
              <w:tc>
                <w:tcPr>
                  <w:tcW w:w="903" w:type="dxa"/>
                  <w:vMerge w:val="restart"/>
                  <w:vAlign w:val="center"/>
                </w:tcPr>
                <w:p w14:paraId="503E5103">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烘干车间</w:t>
                  </w:r>
                </w:p>
              </w:tc>
            </w:tr>
            <w:tr w14:paraId="15B93D0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continue"/>
                  <w:vAlign w:val="center"/>
                </w:tcPr>
                <w:p w14:paraId="5BA2BEA3">
                  <w:pPr>
                    <w:pStyle w:val="122"/>
                    <w:rPr>
                      <w:rFonts w:eastAsiaTheme="minorEastAsia"/>
                      <w:color w:val="000000" w:themeColor="text1"/>
                      <w:highlight w:val="yellow"/>
                      <w14:textFill>
                        <w14:solidFill>
                          <w14:schemeClr w14:val="tx1"/>
                        </w14:solidFill>
                      </w14:textFill>
                    </w:rPr>
                  </w:pPr>
                </w:p>
              </w:tc>
              <w:tc>
                <w:tcPr>
                  <w:tcW w:w="707" w:type="dxa"/>
                  <w:vAlign w:val="center"/>
                </w:tcPr>
                <w:p w14:paraId="0D78651D">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二氧化硫</w:t>
                  </w:r>
                </w:p>
              </w:tc>
              <w:tc>
                <w:tcPr>
                  <w:tcW w:w="708" w:type="dxa"/>
                  <w:vAlign w:val="center"/>
                </w:tcPr>
                <w:p w14:paraId="5ECBB13F">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475BA211">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0.0328 </w:t>
                  </w:r>
                </w:p>
              </w:tc>
              <w:tc>
                <w:tcPr>
                  <w:tcW w:w="998" w:type="dxa"/>
                  <w:vAlign w:val="center"/>
                </w:tcPr>
                <w:p w14:paraId="21653A66">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0.0946 </w:t>
                  </w:r>
                </w:p>
              </w:tc>
              <w:tc>
                <w:tcPr>
                  <w:tcW w:w="851" w:type="dxa"/>
                  <w:vAlign w:val="center"/>
                </w:tcPr>
                <w:p w14:paraId="437E14D3">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0" w:type="dxa"/>
                  <w:vAlign w:val="center"/>
                </w:tcPr>
                <w:p w14:paraId="56F1BE37">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131B1C79">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0.0328 </w:t>
                  </w:r>
                </w:p>
              </w:tc>
              <w:tc>
                <w:tcPr>
                  <w:tcW w:w="846" w:type="dxa"/>
                  <w:vAlign w:val="center"/>
                </w:tcPr>
                <w:p w14:paraId="1220154B">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0.0946 </w:t>
                  </w:r>
                </w:p>
              </w:tc>
              <w:tc>
                <w:tcPr>
                  <w:tcW w:w="903" w:type="dxa"/>
                  <w:vMerge w:val="continue"/>
                  <w:vAlign w:val="center"/>
                </w:tcPr>
                <w:p w14:paraId="73DD8EB9">
                  <w:pPr>
                    <w:pStyle w:val="122"/>
                    <w:rPr>
                      <w:rFonts w:eastAsiaTheme="minorEastAsia"/>
                      <w:color w:val="000000" w:themeColor="text1"/>
                      <w:highlight w:val="yellow"/>
                      <w14:textFill>
                        <w14:solidFill>
                          <w14:schemeClr w14:val="tx1"/>
                        </w14:solidFill>
                      </w14:textFill>
                    </w:rPr>
                  </w:pPr>
                </w:p>
              </w:tc>
            </w:tr>
            <w:tr w14:paraId="4657A05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57" w:type="dxa"/>
                  <w:vMerge w:val="continue"/>
                  <w:vAlign w:val="center"/>
                </w:tcPr>
                <w:p w14:paraId="7E6800A6">
                  <w:pPr>
                    <w:pStyle w:val="122"/>
                    <w:rPr>
                      <w:rFonts w:eastAsiaTheme="minorEastAsia"/>
                      <w:color w:val="000000" w:themeColor="text1"/>
                      <w:highlight w:val="yellow"/>
                      <w14:textFill>
                        <w14:solidFill>
                          <w14:schemeClr w14:val="tx1"/>
                        </w14:solidFill>
                      </w14:textFill>
                    </w:rPr>
                  </w:pPr>
                </w:p>
              </w:tc>
              <w:tc>
                <w:tcPr>
                  <w:tcW w:w="707" w:type="dxa"/>
                  <w:vAlign w:val="center"/>
                </w:tcPr>
                <w:p w14:paraId="76EDD3D7">
                  <w:pPr>
                    <w:pStyle w:val="122"/>
                    <w:rPr>
                      <w:rFonts w:eastAsiaTheme="minorEastAsia"/>
                      <w:color w:val="000000" w:themeColor="text1"/>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氮氧化物</w:t>
                  </w:r>
                </w:p>
              </w:tc>
              <w:tc>
                <w:tcPr>
                  <w:tcW w:w="708" w:type="dxa"/>
                  <w:vAlign w:val="center"/>
                </w:tcPr>
                <w:p w14:paraId="1CE4E2E8">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2880</w:t>
                  </w:r>
                </w:p>
              </w:tc>
              <w:tc>
                <w:tcPr>
                  <w:tcW w:w="991" w:type="dxa"/>
                  <w:vAlign w:val="center"/>
                </w:tcPr>
                <w:p w14:paraId="13E1A53E">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0.0016 </w:t>
                  </w:r>
                </w:p>
              </w:tc>
              <w:tc>
                <w:tcPr>
                  <w:tcW w:w="998" w:type="dxa"/>
                  <w:vAlign w:val="center"/>
                </w:tcPr>
                <w:p w14:paraId="528CEF86">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0.0046 </w:t>
                  </w:r>
                </w:p>
              </w:tc>
              <w:tc>
                <w:tcPr>
                  <w:tcW w:w="851" w:type="dxa"/>
                  <w:vAlign w:val="center"/>
                </w:tcPr>
                <w:p w14:paraId="03CDC3C5">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0" w:type="dxa"/>
                  <w:vAlign w:val="center"/>
                </w:tcPr>
                <w:p w14:paraId="07DC191D">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51" w:type="dxa"/>
                  <w:vAlign w:val="center"/>
                </w:tcPr>
                <w:p w14:paraId="21BC1806">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0.0016 </w:t>
                  </w:r>
                </w:p>
              </w:tc>
              <w:tc>
                <w:tcPr>
                  <w:tcW w:w="846" w:type="dxa"/>
                  <w:vAlign w:val="center"/>
                </w:tcPr>
                <w:p w14:paraId="47F25148">
                  <w:pPr>
                    <w:pStyle w:val="122"/>
                    <w:rPr>
                      <w:rFonts w:eastAsiaTheme="minorEastAsia"/>
                      <w:color w:val="000000" w:themeColor="text1"/>
                      <w:sz w:val="22"/>
                      <w:szCs w:val="22"/>
                      <w:highlight w:val="yellow"/>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0.0046 </w:t>
                  </w:r>
                </w:p>
              </w:tc>
              <w:tc>
                <w:tcPr>
                  <w:tcW w:w="903" w:type="dxa"/>
                  <w:vMerge w:val="continue"/>
                  <w:vAlign w:val="center"/>
                </w:tcPr>
                <w:p w14:paraId="36250C5A">
                  <w:pPr>
                    <w:pStyle w:val="122"/>
                    <w:rPr>
                      <w:rFonts w:eastAsiaTheme="minorEastAsia"/>
                      <w:color w:val="000000" w:themeColor="text1"/>
                      <w:highlight w:val="yellow"/>
                      <w14:textFill>
                        <w14:solidFill>
                          <w14:schemeClr w14:val="tx1"/>
                        </w14:solidFill>
                      </w14:textFill>
                    </w:rPr>
                  </w:pPr>
                </w:p>
              </w:tc>
            </w:tr>
            <w:tr w14:paraId="79B5C0E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362" w:type="dxa"/>
                  <w:gridSpan w:val="10"/>
                  <w:vAlign w:val="center"/>
                </w:tcPr>
                <w:p w14:paraId="2AAE82DF">
                  <w:pPr>
                    <w:pStyle w:val="1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注：</w:t>
                  </w: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原料不中断储存，但考虑原料卸车集中在生产时间，按照工作时间2880h计算。</w:t>
                  </w:r>
                </w:p>
                <w:p w14:paraId="03DF5C03">
                  <w:pPr>
                    <w:pStyle w:val="122"/>
                    <w:jc w:val="both"/>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原料库洒水抑尘74%，抑尘量未计入产生量中。</w:t>
                  </w:r>
                </w:p>
                <w:p w14:paraId="2AD99F01">
                  <w:pPr>
                    <w:pStyle w:val="122"/>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本项目集气罩的收集效率为80%。</w:t>
                  </w:r>
                </w:p>
              </w:tc>
            </w:tr>
          </w:tbl>
          <w:p w14:paraId="4CB55792">
            <w:pPr>
              <w:pStyle w:val="65"/>
              <w:widowControl/>
              <w:ind w:firstLine="482"/>
              <w:rPr>
                <w:rFonts w:eastAsiaTheme="minorEastAsia"/>
                <w:b/>
                <w:bCs/>
                <w:color w:val="0000FF"/>
              </w:rPr>
            </w:pPr>
            <w:r>
              <w:rPr>
                <w:rFonts w:eastAsiaTheme="minorEastAsia"/>
                <w:b/>
                <w:bCs/>
                <w:color w:val="0000FF"/>
              </w:rPr>
              <w:t>3、周边污染源及其影响情况调查</w:t>
            </w:r>
          </w:p>
          <w:p w14:paraId="63ED622A">
            <w:pPr>
              <w:pStyle w:val="65"/>
              <w:widowControl/>
              <w:ind w:firstLine="480"/>
              <w:rPr>
                <w:rFonts w:eastAsiaTheme="minorEastAsia"/>
                <w:color w:val="0000FF"/>
              </w:rPr>
            </w:pPr>
            <w:r>
              <w:rPr>
                <w:rFonts w:eastAsiaTheme="minorEastAsia"/>
                <w:color w:val="0000FF"/>
              </w:rPr>
              <w:t>本项目租用朝阳县瓦房子镇宏兴锰矿场地，周边污染源主要为朝阳县瓦房子镇宏兴锰矿污染源，其余方向基本为公路、空地，无工业企业。</w:t>
            </w:r>
          </w:p>
          <w:p w14:paraId="24DBD534">
            <w:pPr>
              <w:pStyle w:val="92"/>
              <w:widowControl/>
              <w:rPr>
                <w:rFonts w:eastAsiaTheme="minorEastAsia"/>
                <w:color w:val="0000FF"/>
              </w:rPr>
            </w:pPr>
            <w:r>
              <w:rPr>
                <w:rFonts w:eastAsiaTheme="minorEastAsia"/>
                <w:color w:val="0000FF"/>
              </w:rPr>
              <w:t>表4-8本项目周边污染源调查表</w:t>
            </w:r>
          </w:p>
          <w:tbl>
            <w:tblPr>
              <w:tblStyle w:val="36"/>
              <w:tblW w:w="4949" w:type="pct"/>
              <w:tblInd w:w="0"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2"/>
              <w:gridCol w:w="2782"/>
              <w:gridCol w:w="2106"/>
              <w:gridCol w:w="2590"/>
            </w:tblGrid>
            <w:tr w14:paraId="06F7548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8" w:type="dxa"/>
                  <w:tcBorders>
                    <w:top w:val="double" w:color="auto" w:sz="2" w:space="0"/>
                    <w:left w:val="nil"/>
                    <w:bottom w:val="single" w:color="auto" w:sz="4" w:space="0"/>
                    <w:right w:val="single" w:color="auto" w:sz="4" w:space="0"/>
                  </w:tcBorders>
                  <w:vAlign w:val="center"/>
                </w:tcPr>
                <w:p w14:paraId="208EED9B">
                  <w:pPr>
                    <w:pStyle w:val="48"/>
                    <w:rPr>
                      <w:color w:val="0000FF"/>
                    </w:rPr>
                  </w:pPr>
                  <w:r>
                    <w:rPr>
                      <w:color w:val="0000FF"/>
                    </w:rPr>
                    <w:t>序号</w:t>
                  </w:r>
                </w:p>
              </w:tc>
              <w:tc>
                <w:tcPr>
                  <w:tcW w:w="2921" w:type="dxa"/>
                  <w:tcBorders>
                    <w:top w:val="double" w:color="auto" w:sz="2" w:space="0"/>
                    <w:left w:val="nil"/>
                    <w:bottom w:val="single" w:color="auto" w:sz="4" w:space="0"/>
                    <w:right w:val="single" w:color="auto" w:sz="4" w:space="0"/>
                  </w:tcBorders>
                  <w:vAlign w:val="center"/>
                </w:tcPr>
                <w:p w14:paraId="263E1240">
                  <w:pPr>
                    <w:pStyle w:val="48"/>
                    <w:rPr>
                      <w:color w:val="0000FF"/>
                    </w:rPr>
                  </w:pPr>
                  <w:r>
                    <w:rPr>
                      <w:color w:val="0000FF"/>
                    </w:rPr>
                    <w:t>污染源</w:t>
                  </w:r>
                </w:p>
              </w:tc>
              <w:tc>
                <w:tcPr>
                  <w:tcW w:w="2208" w:type="dxa"/>
                  <w:tcBorders>
                    <w:top w:val="double" w:color="auto" w:sz="2" w:space="0"/>
                    <w:left w:val="nil"/>
                    <w:bottom w:val="single" w:color="auto" w:sz="4" w:space="0"/>
                    <w:right w:val="single" w:color="auto" w:sz="4" w:space="0"/>
                  </w:tcBorders>
                  <w:vAlign w:val="center"/>
                </w:tcPr>
                <w:p w14:paraId="364EEAE8">
                  <w:pPr>
                    <w:pStyle w:val="48"/>
                    <w:rPr>
                      <w:color w:val="0000FF"/>
                    </w:rPr>
                  </w:pPr>
                  <w:r>
                    <w:rPr>
                      <w:color w:val="0000FF"/>
                    </w:rPr>
                    <w:t>污染物</w:t>
                  </w:r>
                </w:p>
              </w:tc>
              <w:tc>
                <w:tcPr>
                  <w:tcW w:w="2719" w:type="dxa"/>
                  <w:tcBorders>
                    <w:top w:val="double" w:color="auto" w:sz="2" w:space="0"/>
                    <w:left w:val="nil"/>
                    <w:bottom w:val="single" w:color="auto" w:sz="4" w:space="0"/>
                    <w:right w:val="nil"/>
                  </w:tcBorders>
                  <w:vAlign w:val="center"/>
                </w:tcPr>
                <w:p w14:paraId="0C968EF7">
                  <w:pPr>
                    <w:pStyle w:val="48"/>
                    <w:rPr>
                      <w:color w:val="0000FF"/>
                    </w:rPr>
                  </w:pPr>
                  <w:r>
                    <w:rPr>
                      <w:color w:val="0000FF"/>
                    </w:rPr>
                    <w:t>来源</w:t>
                  </w:r>
                </w:p>
              </w:tc>
            </w:tr>
            <w:tr w14:paraId="132CF7E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8" w:type="dxa"/>
                  <w:tcBorders>
                    <w:top w:val="single" w:color="auto" w:sz="4" w:space="0"/>
                    <w:left w:val="nil"/>
                    <w:bottom w:val="single" w:color="auto" w:sz="4" w:space="0"/>
                    <w:right w:val="single" w:color="auto" w:sz="4" w:space="0"/>
                  </w:tcBorders>
                  <w:vAlign w:val="center"/>
                </w:tcPr>
                <w:p w14:paraId="59736F40">
                  <w:pPr>
                    <w:pStyle w:val="48"/>
                    <w:rPr>
                      <w:color w:val="0000FF"/>
                    </w:rPr>
                  </w:pPr>
                  <w:r>
                    <w:rPr>
                      <w:color w:val="0000FF"/>
                    </w:rPr>
                    <w:t>1</w:t>
                  </w:r>
                </w:p>
              </w:tc>
              <w:tc>
                <w:tcPr>
                  <w:tcW w:w="2921" w:type="dxa"/>
                  <w:tcBorders>
                    <w:top w:val="single" w:color="auto" w:sz="4" w:space="0"/>
                    <w:left w:val="nil"/>
                    <w:bottom w:val="single" w:color="auto" w:sz="4" w:space="0"/>
                    <w:right w:val="single" w:color="auto" w:sz="4" w:space="0"/>
                  </w:tcBorders>
                  <w:vAlign w:val="center"/>
                </w:tcPr>
                <w:p w14:paraId="3C7FD5C6">
                  <w:pPr>
                    <w:pStyle w:val="48"/>
                    <w:rPr>
                      <w:color w:val="0000FF"/>
                    </w:rPr>
                  </w:pPr>
                  <w:r>
                    <w:rPr>
                      <w:color w:val="0000FF"/>
                    </w:rPr>
                    <w:t>高炉烟气</w:t>
                  </w:r>
                </w:p>
              </w:tc>
              <w:tc>
                <w:tcPr>
                  <w:tcW w:w="2208" w:type="dxa"/>
                  <w:tcBorders>
                    <w:top w:val="single" w:color="auto" w:sz="4" w:space="0"/>
                    <w:left w:val="nil"/>
                    <w:bottom w:val="single" w:color="auto" w:sz="4" w:space="0"/>
                    <w:right w:val="single" w:color="auto" w:sz="4" w:space="0"/>
                  </w:tcBorders>
                  <w:vAlign w:val="center"/>
                </w:tcPr>
                <w:p w14:paraId="0F38D982">
                  <w:pPr>
                    <w:pStyle w:val="48"/>
                    <w:rPr>
                      <w:color w:val="0000FF"/>
                    </w:rPr>
                  </w:pPr>
                  <w:r>
                    <w:rPr>
                      <w:color w:val="0000FF"/>
                    </w:rPr>
                    <w:t>颗粒物、二氧化硫、氮氧化物</w:t>
                  </w:r>
                </w:p>
              </w:tc>
              <w:tc>
                <w:tcPr>
                  <w:tcW w:w="2719" w:type="dxa"/>
                  <w:tcBorders>
                    <w:top w:val="single" w:color="auto" w:sz="4" w:space="0"/>
                    <w:left w:val="nil"/>
                    <w:bottom w:val="single" w:color="auto" w:sz="4" w:space="0"/>
                    <w:right w:val="nil"/>
                  </w:tcBorders>
                  <w:vAlign w:val="center"/>
                </w:tcPr>
                <w:p w14:paraId="12FD1C22">
                  <w:pPr>
                    <w:pStyle w:val="48"/>
                    <w:rPr>
                      <w:color w:val="0000FF"/>
                    </w:rPr>
                  </w:pPr>
                  <w:r>
                    <w:rPr>
                      <w:color w:val="0000FF"/>
                      <w:sz w:val="24"/>
                      <w:szCs w:val="24"/>
                    </w:rPr>
                    <w:t>朝阳县瓦房子镇宏兴锰矿</w:t>
                  </w:r>
                </w:p>
              </w:tc>
            </w:tr>
            <w:tr w14:paraId="327B572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8" w:type="dxa"/>
                  <w:tcBorders>
                    <w:top w:val="single" w:color="auto" w:sz="4" w:space="0"/>
                    <w:left w:val="nil"/>
                    <w:bottom w:val="single" w:color="auto" w:sz="4" w:space="0"/>
                    <w:right w:val="single" w:color="auto" w:sz="4" w:space="0"/>
                  </w:tcBorders>
                  <w:vAlign w:val="center"/>
                </w:tcPr>
                <w:p w14:paraId="3F2F318F">
                  <w:pPr>
                    <w:pStyle w:val="48"/>
                    <w:rPr>
                      <w:color w:val="0000FF"/>
                    </w:rPr>
                  </w:pPr>
                  <w:r>
                    <w:rPr>
                      <w:color w:val="0000FF"/>
                    </w:rPr>
                    <w:t>2</w:t>
                  </w:r>
                </w:p>
              </w:tc>
              <w:tc>
                <w:tcPr>
                  <w:tcW w:w="2921" w:type="dxa"/>
                  <w:tcBorders>
                    <w:top w:val="single" w:color="auto" w:sz="4" w:space="0"/>
                    <w:left w:val="nil"/>
                    <w:bottom w:val="single" w:color="auto" w:sz="4" w:space="0"/>
                    <w:right w:val="single" w:color="auto" w:sz="4" w:space="0"/>
                  </w:tcBorders>
                  <w:vAlign w:val="center"/>
                </w:tcPr>
                <w:p w14:paraId="108D1039">
                  <w:pPr>
                    <w:pStyle w:val="48"/>
                    <w:rPr>
                      <w:color w:val="0000FF"/>
                    </w:rPr>
                  </w:pPr>
                  <w:r>
                    <w:rPr>
                      <w:color w:val="0000FF"/>
                    </w:rPr>
                    <w:t>锅炉烟气</w:t>
                  </w:r>
                </w:p>
              </w:tc>
              <w:tc>
                <w:tcPr>
                  <w:tcW w:w="2208" w:type="dxa"/>
                  <w:tcBorders>
                    <w:top w:val="single" w:color="auto" w:sz="4" w:space="0"/>
                    <w:left w:val="nil"/>
                    <w:bottom w:val="single" w:color="auto" w:sz="4" w:space="0"/>
                    <w:right w:val="single" w:color="auto" w:sz="4" w:space="0"/>
                  </w:tcBorders>
                  <w:vAlign w:val="center"/>
                </w:tcPr>
                <w:p w14:paraId="0EB402F2">
                  <w:pPr>
                    <w:pStyle w:val="48"/>
                    <w:rPr>
                      <w:color w:val="0000FF"/>
                    </w:rPr>
                  </w:pPr>
                  <w:r>
                    <w:rPr>
                      <w:color w:val="0000FF"/>
                    </w:rPr>
                    <w:t>颗粒物、二氧化硫、氮氧化物</w:t>
                  </w:r>
                </w:p>
              </w:tc>
              <w:tc>
                <w:tcPr>
                  <w:tcW w:w="2719" w:type="dxa"/>
                  <w:tcBorders>
                    <w:top w:val="single" w:color="auto" w:sz="4" w:space="0"/>
                    <w:left w:val="nil"/>
                    <w:bottom w:val="single" w:color="auto" w:sz="4" w:space="0"/>
                    <w:right w:val="nil"/>
                  </w:tcBorders>
                  <w:vAlign w:val="center"/>
                </w:tcPr>
                <w:p w14:paraId="2AE1C626">
                  <w:pPr>
                    <w:pStyle w:val="48"/>
                    <w:rPr>
                      <w:color w:val="0000FF"/>
                    </w:rPr>
                  </w:pPr>
                  <w:r>
                    <w:rPr>
                      <w:color w:val="0000FF"/>
                      <w:sz w:val="24"/>
                      <w:szCs w:val="24"/>
                    </w:rPr>
                    <w:t>朝阳县瓦房子镇宏兴锰矿</w:t>
                  </w:r>
                </w:p>
              </w:tc>
            </w:tr>
            <w:tr w14:paraId="426685C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8" w:type="dxa"/>
                  <w:tcBorders>
                    <w:top w:val="single" w:color="auto" w:sz="4" w:space="0"/>
                    <w:left w:val="nil"/>
                    <w:bottom w:val="single" w:color="auto" w:sz="4" w:space="0"/>
                    <w:right w:val="single" w:color="auto" w:sz="4" w:space="0"/>
                  </w:tcBorders>
                  <w:vAlign w:val="center"/>
                </w:tcPr>
                <w:p w14:paraId="40CC3C1A">
                  <w:pPr>
                    <w:pStyle w:val="48"/>
                    <w:rPr>
                      <w:color w:val="0000FF"/>
                    </w:rPr>
                  </w:pPr>
                  <w:r>
                    <w:rPr>
                      <w:color w:val="0000FF"/>
                    </w:rPr>
                    <w:t>3</w:t>
                  </w:r>
                </w:p>
              </w:tc>
              <w:tc>
                <w:tcPr>
                  <w:tcW w:w="2921" w:type="dxa"/>
                  <w:tcBorders>
                    <w:top w:val="single" w:color="auto" w:sz="4" w:space="0"/>
                    <w:left w:val="nil"/>
                    <w:bottom w:val="single" w:color="auto" w:sz="4" w:space="0"/>
                    <w:right w:val="single" w:color="auto" w:sz="4" w:space="0"/>
                  </w:tcBorders>
                  <w:vAlign w:val="center"/>
                </w:tcPr>
                <w:p w14:paraId="762A9AB7">
                  <w:pPr>
                    <w:pStyle w:val="48"/>
                    <w:rPr>
                      <w:color w:val="0000FF"/>
                    </w:rPr>
                  </w:pPr>
                  <w:r>
                    <w:rPr>
                      <w:color w:val="0000FF"/>
                    </w:rPr>
                    <w:t>破碎排气筒</w:t>
                  </w:r>
                </w:p>
              </w:tc>
              <w:tc>
                <w:tcPr>
                  <w:tcW w:w="2208" w:type="dxa"/>
                  <w:tcBorders>
                    <w:top w:val="single" w:color="auto" w:sz="4" w:space="0"/>
                    <w:left w:val="nil"/>
                    <w:bottom w:val="single" w:color="auto" w:sz="4" w:space="0"/>
                    <w:right w:val="single" w:color="auto" w:sz="4" w:space="0"/>
                  </w:tcBorders>
                  <w:vAlign w:val="center"/>
                </w:tcPr>
                <w:p w14:paraId="5B7E668D">
                  <w:pPr>
                    <w:pStyle w:val="48"/>
                    <w:rPr>
                      <w:color w:val="0000FF"/>
                    </w:rPr>
                  </w:pPr>
                  <w:r>
                    <w:rPr>
                      <w:color w:val="0000FF"/>
                    </w:rPr>
                    <w:t>颗粒物</w:t>
                  </w:r>
                </w:p>
              </w:tc>
              <w:tc>
                <w:tcPr>
                  <w:tcW w:w="2719" w:type="dxa"/>
                  <w:tcBorders>
                    <w:top w:val="single" w:color="auto" w:sz="4" w:space="0"/>
                    <w:left w:val="nil"/>
                    <w:bottom w:val="single" w:color="auto" w:sz="4" w:space="0"/>
                    <w:right w:val="nil"/>
                  </w:tcBorders>
                  <w:vAlign w:val="center"/>
                </w:tcPr>
                <w:p w14:paraId="1B3103AB">
                  <w:pPr>
                    <w:pStyle w:val="48"/>
                    <w:rPr>
                      <w:color w:val="0000FF"/>
                    </w:rPr>
                  </w:pPr>
                  <w:r>
                    <w:rPr>
                      <w:color w:val="0000FF"/>
                      <w:sz w:val="24"/>
                      <w:szCs w:val="24"/>
                    </w:rPr>
                    <w:t>朝阳县瓦房子镇宏兴锰矿</w:t>
                  </w:r>
                </w:p>
              </w:tc>
            </w:tr>
            <w:tr w14:paraId="0276BF9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8" w:type="dxa"/>
                  <w:tcBorders>
                    <w:top w:val="single" w:color="auto" w:sz="4" w:space="0"/>
                    <w:left w:val="nil"/>
                    <w:bottom w:val="single" w:color="auto" w:sz="4" w:space="0"/>
                    <w:right w:val="single" w:color="auto" w:sz="4" w:space="0"/>
                  </w:tcBorders>
                  <w:vAlign w:val="center"/>
                </w:tcPr>
                <w:p w14:paraId="7227B24E">
                  <w:pPr>
                    <w:pStyle w:val="48"/>
                    <w:rPr>
                      <w:color w:val="0000FF"/>
                    </w:rPr>
                  </w:pPr>
                  <w:r>
                    <w:rPr>
                      <w:color w:val="0000FF"/>
                    </w:rPr>
                    <w:t>4</w:t>
                  </w:r>
                </w:p>
              </w:tc>
              <w:tc>
                <w:tcPr>
                  <w:tcW w:w="2921" w:type="dxa"/>
                  <w:tcBorders>
                    <w:top w:val="single" w:color="auto" w:sz="4" w:space="0"/>
                    <w:left w:val="nil"/>
                    <w:bottom w:val="single" w:color="auto" w:sz="4" w:space="0"/>
                    <w:right w:val="single" w:color="auto" w:sz="4" w:space="0"/>
                  </w:tcBorders>
                  <w:vAlign w:val="center"/>
                </w:tcPr>
                <w:p w14:paraId="77F05A4F">
                  <w:pPr>
                    <w:pStyle w:val="48"/>
                    <w:rPr>
                      <w:color w:val="0000FF"/>
                    </w:rPr>
                  </w:pPr>
                  <w:r>
                    <w:rPr>
                      <w:color w:val="0000FF"/>
                    </w:rPr>
                    <w:t>堆场</w:t>
                  </w:r>
                </w:p>
              </w:tc>
              <w:tc>
                <w:tcPr>
                  <w:tcW w:w="2208" w:type="dxa"/>
                  <w:tcBorders>
                    <w:top w:val="single" w:color="auto" w:sz="4" w:space="0"/>
                    <w:left w:val="nil"/>
                    <w:bottom w:val="single" w:color="auto" w:sz="4" w:space="0"/>
                    <w:right w:val="single" w:color="auto" w:sz="4" w:space="0"/>
                  </w:tcBorders>
                  <w:vAlign w:val="center"/>
                </w:tcPr>
                <w:p w14:paraId="5AC59231">
                  <w:pPr>
                    <w:pStyle w:val="48"/>
                    <w:rPr>
                      <w:color w:val="0000FF"/>
                    </w:rPr>
                  </w:pPr>
                  <w:r>
                    <w:rPr>
                      <w:color w:val="0000FF"/>
                    </w:rPr>
                    <w:t>颗粒物</w:t>
                  </w:r>
                </w:p>
              </w:tc>
              <w:tc>
                <w:tcPr>
                  <w:tcW w:w="2719" w:type="dxa"/>
                  <w:tcBorders>
                    <w:top w:val="single" w:color="auto" w:sz="4" w:space="0"/>
                    <w:left w:val="nil"/>
                    <w:bottom w:val="single" w:color="auto" w:sz="4" w:space="0"/>
                    <w:right w:val="nil"/>
                  </w:tcBorders>
                  <w:vAlign w:val="center"/>
                </w:tcPr>
                <w:p w14:paraId="688647A0">
                  <w:pPr>
                    <w:pStyle w:val="48"/>
                    <w:rPr>
                      <w:color w:val="0000FF"/>
                    </w:rPr>
                  </w:pPr>
                  <w:r>
                    <w:rPr>
                      <w:color w:val="0000FF"/>
                      <w:sz w:val="24"/>
                      <w:szCs w:val="24"/>
                    </w:rPr>
                    <w:t>朝阳县瓦房子镇宏兴锰矿</w:t>
                  </w:r>
                </w:p>
              </w:tc>
            </w:tr>
          </w:tbl>
          <w:p w14:paraId="209FA326">
            <w:pPr>
              <w:pStyle w:val="65"/>
              <w:widowControl/>
              <w:ind w:firstLine="480"/>
              <w:rPr>
                <w:rFonts w:eastAsiaTheme="minorEastAsia"/>
                <w:color w:val="0000FF"/>
              </w:rPr>
            </w:pPr>
            <w:r>
              <w:rPr>
                <w:rFonts w:eastAsiaTheme="minorEastAsia"/>
                <w:color w:val="0000FF"/>
              </w:rPr>
              <w:t>周边污染源产生的颗粒物、二氧化硫、氮氧化物均会对本项目产生影响，根据现场调查及监测结果影响较小，监测结果满足</w:t>
            </w:r>
            <w:r>
              <w:rPr>
                <w:rFonts w:eastAsiaTheme="minorEastAsia"/>
                <w:color w:val="0000FF"/>
                <w:spacing w:val="10"/>
              </w:rPr>
              <w:t>《环</w:t>
            </w:r>
            <w:r>
              <w:rPr>
                <w:rFonts w:eastAsiaTheme="minorEastAsia"/>
                <w:color w:val="0000FF"/>
                <w:spacing w:val="8"/>
              </w:rPr>
              <w:t>境空气质量标准》</w:t>
            </w:r>
            <w:r>
              <w:rPr>
                <w:rFonts w:eastAsiaTheme="minorEastAsia"/>
                <w:color w:val="0000FF"/>
                <w:spacing w:val="4"/>
              </w:rPr>
              <w:t>（</w:t>
            </w:r>
            <w:r>
              <w:rPr>
                <w:rFonts w:eastAsiaTheme="minorEastAsia"/>
                <w:color w:val="0000FF"/>
              </w:rPr>
              <w:t xml:space="preserve">GB </w:t>
            </w:r>
            <w:r>
              <w:rPr>
                <w:rFonts w:eastAsiaTheme="minorEastAsia"/>
                <w:color w:val="0000FF"/>
                <w:spacing w:val="4"/>
              </w:rPr>
              <w:t>3095-2026）中的过渡阶段二级标准要求。</w:t>
            </w:r>
          </w:p>
          <w:p w14:paraId="2742A640">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4.大气环境保护措施</w:t>
            </w:r>
          </w:p>
          <w:p w14:paraId="42F0ADA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（1）原料入库及储存</w:t>
            </w:r>
          </w:p>
          <w:p w14:paraId="2641E52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设置250m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封闭原料库，运输车辆来料后在原料库内卸车，原料储存于原料库内，日常通过洒水降尘的措施减少原料入库及储存产生的扬尘。洒水降尘的控制效率为74%，封闭原料库的控制效率为99%。</w:t>
            </w:r>
          </w:p>
          <w:p w14:paraId="4901306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（2）投料</w:t>
            </w:r>
          </w:p>
          <w:p w14:paraId="4DAAEFC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上料口设置在原料库内，通过铲车将原料投入至上料口，上料口侧方设置集气罩（控制风速≥1.2m/s），集气效率为80%，收集的废气经过布袋除尘器处理，处理效率为99%，无组织废气通过车间沉降后排放，车间沉降效率80%。</w:t>
            </w:r>
          </w:p>
          <w:p w14:paraId="31BE8C8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（3）混料</w:t>
            </w:r>
          </w:p>
          <w:p w14:paraId="7620DC1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机设置在封闭生产车间内，封闭传送带封闭连接进料口及出料口，混料过程设备封闭，在设备上方设上部伞形集气罩（安装于正上方0.3-0.5m，控制风速≥1.0m/s），收集的废气经过布袋除尘器处理，处理效率为99%，无组织废气车间沉降后排放，车间沉降效率80%。</w:t>
            </w:r>
          </w:p>
          <w:p w14:paraId="65A87D8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（4）造球</w:t>
            </w:r>
          </w:p>
          <w:p w14:paraId="0BE3903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造球机设置在封闭生产车间内，封闭传送带封闭连接进料口，造粒过程设备封闭，在设备上方设上部伞形集气罩（安装于正上方0.3-0.5m，控制风速≥1.0m/s），集气效率为80%，收集的废气经过布袋除尘器处理，处理效率为99%，出料为湿料产生扬尘极少，无组织废气车间沉降后排放。</w:t>
            </w:r>
          </w:p>
          <w:p w14:paraId="342032F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（5）烘干</w:t>
            </w:r>
          </w:p>
          <w:p w14:paraId="5251302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本项目通过传送带将物料输送至温控烘干炉，混合后的物料表面湿润，产尘极少，且通过车间沉降后无组织排放，不对其进行详细计算。</w:t>
            </w:r>
          </w:p>
          <w:p w14:paraId="0FB07DD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烘干过程控制温度不高于400℃，防止物料中硫化物氧化为二氧化硫气体；废气由风机导出收集，烘干炉负压，有组织废气经过石灰石/石膏法脱硫、布袋除尘器除尘，最终通过15m高排气筒DA001排放。</w:t>
            </w:r>
          </w:p>
          <w:p w14:paraId="00D873C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石灰石/石膏法脱硫效率为90%，布袋除尘器除尘效率为99%。</w:t>
            </w:r>
          </w:p>
          <w:p w14:paraId="0ADD740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（6）烘干卸料（成品库）</w:t>
            </w:r>
          </w:p>
          <w:p w14:paraId="6CB80960">
            <w:pPr>
              <w:pStyle w:val="65"/>
              <w:ind w:firstLine="480"/>
              <w:rPr>
                <w:rFonts w:eastAsiaTheme="minorEastAsia"/>
                <w:color w:val="0000FF"/>
              </w:rPr>
            </w:pPr>
            <w:r>
              <w:rPr>
                <w:rFonts w:eastAsiaTheme="minorEastAsia"/>
                <w:color w:val="0000FF"/>
              </w:rPr>
              <w:t>烘干后的物料经烘干出料口通过封闭传送带直接输送至成品库卸料，在卸料口侧方设置集气罩，收集效率为80%，用于收集上料产生的颗粒物，收集后的颗粒物经脉冲袋式除尘器处理后通过1根15m高排气筒DA002（投料、破碎、造粒、卸料共用1根排气筒）排放，布袋除尘器处理效率为99%。</w:t>
            </w:r>
          </w:p>
          <w:p w14:paraId="6B4CAA5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（7）物料输送</w:t>
            </w:r>
          </w:p>
          <w:p w14:paraId="7730850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本项目原料、加工生产的中间物料及产品在生产环节中均使用封闭的传送皮带输送，输送过程物料基本处于静止状态，产生的扬尘极少，通过车间沉降后无组织排放。</w:t>
            </w:r>
          </w:p>
          <w:p w14:paraId="1B6C564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（8）运输</w:t>
            </w:r>
          </w:p>
          <w:p w14:paraId="2635C71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1）运输扬尘</w:t>
            </w:r>
          </w:p>
          <w:p w14:paraId="7822ADA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原料进厂及成品出厂均使用汽车运输，采取运输车辆进行覆盖，厂内道路洒水抑尘的措施。</w:t>
            </w:r>
          </w:p>
          <w:p w14:paraId="656C5D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2）运输尾气</w:t>
            </w:r>
          </w:p>
          <w:p w14:paraId="095CE00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生产过程中，运输车辆往返频繁，车辆排放的尾气对环境空气同样存在一定影响。本项目采取措施为：</w:t>
            </w:r>
          </w:p>
          <w:p w14:paraId="4B0A976D">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限速行驶</w:t>
            </w:r>
          </w:p>
          <w:p w14:paraId="705FFD3F">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使用质量合格燃料</w:t>
            </w:r>
          </w:p>
          <w:p w14:paraId="2D83531F">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定期对车辆进行维护保养，减少消耗。</w:t>
            </w:r>
          </w:p>
          <w:p w14:paraId="2218A235">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使用车辆本身应符合相应的产品质量标准。</w:t>
            </w:r>
          </w:p>
          <w:p w14:paraId="26138BD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尽管车辆尾气影响范围较大，但是其污染不集中且扩散能力较快，采取措施后对局部地区环境影响不是很大。</w:t>
            </w:r>
          </w:p>
          <w:p w14:paraId="56E8A6F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5.废气达标排放情况</w:t>
            </w:r>
          </w:p>
          <w:p w14:paraId="365A7F9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（1）有组织废气</w:t>
            </w:r>
          </w:p>
          <w:p w14:paraId="48DCA0BD">
            <w:pPr>
              <w:pStyle w:val="136"/>
              <w:ind w:firstLine="48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设置1根烘干废气排气筒DA001，烘干燃料为高炉煤气，烘干过程控制温度不高于400℃，降低物料中硫化物氧化，废气由风机导出收集，烘干炉负压，有组织废气经过石灰石/石膏法脱硫、布袋除尘器除尘，最终通过15m高排气筒DA001排放。投料、混料废气经过布袋除尘器除尘，最终通过15m高排气筒DA002排放。</w:t>
            </w:r>
          </w:p>
          <w:p w14:paraId="530F3BF0">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表4-9本项目有组织废气产生及排放情况汇总表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79"/>
              <w:gridCol w:w="579"/>
              <w:gridCol w:w="578"/>
              <w:gridCol w:w="578"/>
              <w:gridCol w:w="497"/>
              <w:gridCol w:w="662"/>
              <w:gridCol w:w="579"/>
              <w:gridCol w:w="581"/>
              <w:gridCol w:w="579"/>
              <w:gridCol w:w="487"/>
              <w:gridCol w:w="633"/>
              <w:gridCol w:w="649"/>
              <w:gridCol w:w="651"/>
              <w:gridCol w:w="730"/>
            </w:tblGrid>
            <w:tr w14:paraId="344FEEB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579" w:type="dxa"/>
                  <w:vMerge w:val="restart"/>
                  <w:tcBorders>
                    <w:top w:val="double" w:color="auto" w:sz="2" w:space="0"/>
                    <w:left w:val="nil"/>
                    <w:bottom w:val="single" w:color="auto" w:sz="4" w:space="0"/>
                    <w:right w:val="single" w:color="auto" w:sz="4" w:space="0"/>
                  </w:tcBorders>
                  <w:vAlign w:val="center"/>
                </w:tcPr>
                <w:p w14:paraId="0A7B58C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排气筒编号</w:t>
                  </w:r>
                </w:p>
              </w:tc>
              <w:tc>
                <w:tcPr>
                  <w:tcW w:w="579" w:type="dxa"/>
                  <w:vMerge w:val="restart"/>
                  <w:tcBorders>
                    <w:top w:val="double" w:color="auto" w:sz="2" w:space="0"/>
                    <w:left w:val="single" w:color="auto" w:sz="4" w:space="0"/>
                    <w:bottom w:val="single" w:color="auto" w:sz="4" w:space="0"/>
                    <w:right w:val="single" w:color="auto" w:sz="4" w:space="0"/>
                  </w:tcBorders>
                  <w:vAlign w:val="center"/>
                </w:tcPr>
                <w:p w14:paraId="3908B38A">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产污环节</w:t>
                  </w:r>
                </w:p>
              </w:tc>
              <w:tc>
                <w:tcPr>
                  <w:tcW w:w="578" w:type="dxa"/>
                  <w:vMerge w:val="restart"/>
                  <w:tcBorders>
                    <w:top w:val="double" w:color="auto" w:sz="2" w:space="0"/>
                    <w:left w:val="single" w:color="auto" w:sz="4" w:space="0"/>
                    <w:bottom w:val="single" w:color="auto" w:sz="4" w:space="0"/>
                    <w:right w:val="single" w:color="auto" w:sz="4" w:space="0"/>
                  </w:tcBorders>
                  <w:vAlign w:val="center"/>
                </w:tcPr>
                <w:p w14:paraId="1DDC7D4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污染物</w:t>
                  </w:r>
                </w:p>
              </w:tc>
              <w:tc>
                <w:tcPr>
                  <w:tcW w:w="578" w:type="dxa"/>
                  <w:vMerge w:val="restart"/>
                  <w:tcBorders>
                    <w:top w:val="double" w:color="auto" w:sz="2" w:space="0"/>
                    <w:left w:val="single" w:color="auto" w:sz="4" w:space="0"/>
                    <w:bottom w:val="single" w:color="auto" w:sz="4" w:space="0"/>
                    <w:right w:val="single" w:color="auto" w:sz="4" w:space="0"/>
                  </w:tcBorders>
                  <w:vAlign w:val="center"/>
                </w:tcPr>
                <w:p w14:paraId="2EBF56A7">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风量m</w:t>
                  </w:r>
                  <w:r>
                    <w:rPr>
                      <w:rFonts w:eastAsiaTheme="minorEastAsia"/>
                      <w:color w:val="000000" w:themeColor="text1"/>
                      <w:szCs w:val="21"/>
                      <w:vertAlign w:val="superscript"/>
                      <w14:textFill>
                        <w14:solidFill>
                          <w14:schemeClr w14:val="tx1"/>
                        </w14:solidFill>
                      </w14:textFill>
                    </w:rPr>
                    <w:t>3</w:t>
                  </w:r>
                  <w:r>
                    <w:rPr>
                      <w:rFonts w:eastAsiaTheme="minorEastAsia"/>
                      <w:color w:val="000000" w:themeColor="text1"/>
                      <w:szCs w:val="21"/>
                      <w14:textFill>
                        <w14:solidFill>
                          <w14:schemeClr w14:val="tx1"/>
                        </w14:solidFill>
                      </w14:textFill>
                    </w:rPr>
                    <w:t>/h</w:t>
                  </w:r>
                </w:p>
              </w:tc>
              <w:tc>
                <w:tcPr>
                  <w:tcW w:w="497" w:type="dxa"/>
                  <w:vMerge w:val="restart"/>
                  <w:tcBorders>
                    <w:top w:val="double" w:color="auto" w:sz="2" w:space="0"/>
                    <w:left w:val="single" w:color="auto" w:sz="4" w:space="0"/>
                    <w:bottom w:val="single" w:color="auto" w:sz="4" w:space="0"/>
                    <w:right w:val="single" w:color="auto" w:sz="4" w:space="0"/>
                  </w:tcBorders>
                  <w:vAlign w:val="center"/>
                </w:tcPr>
                <w:p w14:paraId="7D6C052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排放时间h</w:t>
                  </w:r>
                </w:p>
              </w:tc>
              <w:tc>
                <w:tcPr>
                  <w:tcW w:w="1822" w:type="dxa"/>
                  <w:gridSpan w:val="3"/>
                  <w:tcBorders>
                    <w:top w:val="double" w:color="auto" w:sz="2" w:space="0"/>
                    <w:left w:val="single" w:color="auto" w:sz="4" w:space="0"/>
                    <w:bottom w:val="single" w:color="auto" w:sz="4" w:space="0"/>
                    <w:right w:val="single" w:color="auto" w:sz="4" w:space="0"/>
                  </w:tcBorders>
                  <w:vAlign w:val="center"/>
                </w:tcPr>
                <w:p w14:paraId="340F9E9D">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产生情况</w:t>
                  </w:r>
                </w:p>
              </w:tc>
              <w:tc>
                <w:tcPr>
                  <w:tcW w:w="579" w:type="dxa"/>
                  <w:vMerge w:val="restart"/>
                  <w:tcBorders>
                    <w:top w:val="double" w:color="auto" w:sz="2" w:space="0"/>
                    <w:left w:val="single" w:color="auto" w:sz="4" w:space="0"/>
                    <w:bottom w:val="single" w:color="auto" w:sz="4" w:space="0"/>
                    <w:right w:val="single" w:color="auto" w:sz="4" w:space="0"/>
                  </w:tcBorders>
                  <w:vAlign w:val="center"/>
                </w:tcPr>
                <w:p w14:paraId="5644ABE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治理措施</w:t>
                  </w:r>
                </w:p>
              </w:tc>
              <w:tc>
                <w:tcPr>
                  <w:tcW w:w="487" w:type="dxa"/>
                  <w:vMerge w:val="restart"/>
                  <w:tcBorders>
                    <w:top w:val="double" w:color="auto" w:sz="2" w:space="0"/>
                    <w:left w:val="single" w:color="auto" w:sz="4" w:space="0"/>
                    <w:bottom w:val="single" w:color="auto" w:sz="4" w:space="0"/>
                    <w:right w:val="single" w:color="auto" w:sz="4" w:space="0"/>
                  </w:tcBorders>
                  <w:vAlign w:val="center"/>
                </w:tcPr>
                <w:p w14:paraId="23837F9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去除效率%</w:t>
                  </w:r>
                </w:p>
              </w:tc>
              <w:tc>
                <w:tcPr>
                  <w:tcW w:w="633" w:type="dxa"/>
                  <w:vMerge w:val="restart"/>
                  <w:tcBorders>
                    <w:top w:val="double" w:color="auto" w:sz="2" w:space="0"/>
                    <w:left w:val="single" w:color="auto" w:sz="4" w:space="0"/>
                    <w:bottom w:val="single" w:color="auto" w:sz="4" w:space="0"/>
                    <w:right w:val="single" w:color="auto" w:sz="4" w:space="0"/>
                  </w:tcBorders>
                  <w:vAlign w:val="center"/>
                </w:tcPr>
                <w:p w14:paraId="06C32A1D">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是否为可行技术</w:t>
                  </w:r>
                </w:p>
              </w:tc>
              <w:tc>
                <w:tcPr>
                  <w:tcW w:w="2030" w:type="dxa"/>
                  <w:gridSpan w:val="3"/>
                  <w:tcBorders>
                    <w:top w:val="double" w:color="auto" w:sz="2" w:space="0"/>
                    <w:left w:val="single" w:color="auto" w:sz="4" w:space="0"/>
                    <w:bottom w:val="nil"/>
                    <w:right w:val="nil"/>
                  </w:tcBorders>
                  <w:vAlign w:val="center"/>
                </w:tcPr>
                <w:p w14:paraId="083354F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排放情况</w:t>
                  </w:r>
                </w:p>
              </w:tc>
            </w:tr>
            <w:tr w14:paraId="7392810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79" w:type="dxa"/>
                  <w:vMerge w:val="continue"/>
                  <w:tcBorders>
                    <w:top w:val="double" w:color="auto" w:sz="2" w:space="0"/>
                    <w:left w:val="nil"/>
                    <w:bottom w:val="single" w:color="auto" w:sz="4" w:space="0"/>
                    <w:right w:val="single" w:color="auto" w:sz="4" w:space="0"/>
                  </w:tcBorders>
                  <w:vAlign w:val="center"/>
                </w:tcPr>
                <w:p w14:paraId="79867C0F">
                  <w:pPr>
                    <w:widowControl/>
                    <w:rPr>
                      <w:rFonts w:eastAsiaTheme="minorEastAsia"/>
                      <w:color w:val="000000" w:themeColor="text1"/>
                      <w:szCs w:val="21"/>
                      <w14:textFill>
                        <w14:solidFill>
                          <w14:schemeClr w14:val="tx1"/>
                        </w14:solidFill>
                      </w14:textFill>
                    </w:rPr>
                  </w:pPr>
                </w:p>
              </w:tc>
              <w:tc>
                <w:tcPr>
                  <w:tcW w:w="579" w:type="dxa"/>
                  <w:vMerge w:val="continue"/>
                  <w:tcBorders>
                    <w:top w:val="double" w:color="auto" w:sz="2" w:space="0"/>
                    <w:left w:val="single" w:color="auto" w:sz="4" w:space="0"/>
                    <w:bottom w:val="single" w:color="auto" w:sz="4" w:space="0"/>
                    <w:right w:val="single" w:color="auto" w:sz="4" w:space="0"/>
                  </w:tcBorders>
                  <w:vAlign w:val="center"/>
                </w:tcPr>
                <w:p w14:paraId="37523C84">
                  <w:pPr>
                    <w:widowControl/>
                    <w:rPr>
                      <w:rFonts w:eastAsiaTheme="minorEastAsia"/>
                      <w:color w:val="000000" w:themeColor="text1"/>
                      <w:szCs w:val="21"/>
                      <w14:textFill>
                        <w14:solidFill>
                          <w14:schemeClr w14:val="tx1"/>
                        </w14:solidFill>
                      </w14:textFill>
                    </w:rPr>
                  </w:pPr>
                </w:p>
              </w:tc>
              <w:tc>
                <w:tcPr>
                  <w:tcW w:w="578" w:type="dxa"/>
                  <w:vMerge w:val="continue"/>
                  <w:tcBorders>
                    <w:top w:val="double" w:color="auto" w:sz="2" w:space="0"/>
                    <w:left w:val="single" w:color="auto" w:sz="4" w:space="0"/>
                    <w:bottom w:val="single" w:color="auto" w:sz="4" w:space="0"/>
                    <w:right w:val="single" w:color="auto" w:sz="4" w:space="0"/>
                  </w:tcBorders>
                  <w:vAlign w:val="center"/>
                </w:tcPr>
                <w:p w14:paraId="68E87189">
                  <w:pPr>
                    <w:widowControl/>
                    <w:rPr>
                      <w:rFonts w:eastAsiaTheme="minorEastAsia"/>
                      <w:color w:val="000000" w:themeColor="text1"/>
                      <w:szCs w:val="21"/>
                      <w14:textFill>
                        <w14:solidFill>
                          <w14:schemeClr w14:val="tx1"/>
                        </w14:solidFill>
                      </w14:textFill>
                    </w:rPr>
                  </w:pPr>
                </w:p>
              </w:tc>
              <w:tc>
                <w:tcPr>
                  <w:tcW w:w="578" w:type="dxa"/>
                  <w:vMerge w:val="continue"/>
                  <w:tcBorders>
                    <w:top w:val="double" w:color="auto" w:sz="2" w:space="0"/>
                    <w:left w:val="single" w:color="auto" w:sz="4" w:space="0"/>
                    <w:bottom w:val="single" w:color="auto" w:sz="4" w:space="0"/>
                    <w:right w:val="single" w:color="auto" w:sz="4" w:space="0"/>
                  </w:tcBorders>
                  <w:vAlign w:val="center"/>
                </w:tcPr>
                <w:p w14:paraId="38588FF4">
                  <w:pPr>
                    <w:widowControl/>
                    <w:rPr>
                      <w:rFonts w:eastAsiaTheme="minorEastAsia"/>
                      <w:color w:val="000000" w:themeColor="text1"/>
                      <w:szCs w:val="21"/>
                      <w14:textFill>
                        <w14:solidFill>
                          <w14:schemeClr w14:val="tx1"/>
                        </w14:solidFill>
                      </w14:textFill>
                    </w:rPr>
                  </w:pPr>
                </w:p>
              </w:tc>
              <w:tc>
                <w:tcPr>
                  <w:tcW w:w="497" w:type="dxa"/>
                  <w:vMerge w:val="continue"/>
                  <w:tcBorders>
                    <w:top w:val="double" w:color="auto" w:sz="2" w:space="0"/>
                    <w:left w:val="single" w:color="auto" w:sz="4" w:space="0"/>
                    <w:bottom w:val="single" w:color="auto" w:sz="4" w:space="0"/>
                    <w:right w:val="single" w:color="auto" w:sz="4" w:space="0"/>
                  </w:tcBorders>
                  <w:vAlign w:val="center"/>
                </w:tcPr>
                <w:p w14:paraId="38974ECB">
                  <w:pPr>
                    <w:widowControl/>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1FB6A2B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浓度mg/m</w:t>
                  </w:r>
                  <w:r>
                    <w:rPr>
                      <w:rFonts w:eastAsiaTheme="minorEastAsia"/>
                      <w:color w:val="000000" w:themeColor="text1"/>
                      <w:szCs w:val="21"/>
                      <w:vertAlign w:val="superscript"/>
                      <w14:textFill>
                        <w14:solidFill>
                          <w14:schemeClr w14:val="tx1"/>
                        </w14:solidFill>
                      </w14:textFill>
                    </w:rPr>
                    <w:t>3</w:t>
                  </w:r>
                </w:p>
              </w:tc>
              <w:tc>
                <w:tcPr>
                  <w:tcW w:w="579" w:type="dxa"/>
                  <w:tcBorders>
                    <w:top w:val="single" w:color="auto" w:sz="4" w:space="0"/>
                    <w:left w:val="single" w:color="auto" w:sz="4" w:space="0"/>
                    <w:bottom w:val="single" w:color="auto" w:sz="4" w:space="0"/>
                    <w:right w:val="single" w:color="auto" w:sz="4" w:space="0"/>
                  </w:tcBorders>
                  <w:vAlign w:val="center"/>
                </w:tcPr>
                <w:p w14:paraId="3C8CAEE1">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速率kg/h</w:t>
                  </w:r>
                </w:p>
              </w:tc>
              <w:tc>
                <w:tcPr>
                  <w:tcW w:w="581" w:type="dxa"/>
                  <w:tcBorders>
                    <w:top w:val="single" w:color="auto" w:sz="4" w:space="0"/>
                    <w:left w:val="single" w:color="auto" w:sz="4" w:space="0"/>
                    <w:bottom w:val="single" w:color="auto" w:sz="4" w:space="0"/>
                    <w:right w:val="single" w:color="auto" w:sz="4" w:space="0"/>
                  </w:tcBorders>
                  <w:vAlign w:val="center"/>
                </w:tcPr>
                <w:p w14:paraId="7C1DBF4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产生量t/a</w:t>
                  </w:r>
                </w:p>
              </w:tc>
              <w:tc>
                <w:tcPr>
                  <w:tcW w:w="579" w:type="dxa"/>
                  <w:vMerge w:val="continue"/>
                  <w:tcBorders>
                    <w:top w:val="double" w:color="auto" w:sz="2" w:space="0"/>
                    <w:left w:val="single" w:color="auto" w:sz="4" w:space="0"/>
                    <w:bottom w:val="single" w:color="auto" w:sz="4" w:space="0"/>
                    <w:right w:val="single" w:color="auto" w:sz="4" w:space="0"/>
                  </w:tcBorders>
                  <w:vAlign w:val="center"/>
                </w:tcPr>
                <w:p w14:paraId="1C3F38CC">
                  <w:pPr>
                    <w:widowControl/>
                    <w:rPr>
                      <w:rFonts w:eastAsiaTheme="minorEastAsia"/>
                      <w:color w:val="000000" w:themeColor="text1"/>
                      <w:szCs w:val="21"/>
                      <w14:textFill>
                        <w14:solidFill>
                          <w14:schemeClr w14:val="tx1"/>
                        </w14:solidFill>
                      </w14:textFill>
                    </w:rPr>
                  </w:pPr>
                </w:p>
              </w:tc>
              <w:tc>
                <w:tcPr>
                  <w:tcW w:w="487" w:type="dxa"/>
                  <w:vMerge w:val="continue"/>
                  <w:tcBorders>
                    <w:top w:val="double" w:color="auto" w:sz="2" w:space="0"/>
                    <w:left w:val="single" w:color="auto" w:sz="4" w:space="0"/>
                    <w:bottom w:val="single" w:color="auto" w:sz="4" w:space="0"/>
                    <w:right w:val="single" w:color="auto" w:sz="4" w:space="0"/>
                  </w:tcBorders>
                  <w:vAlign w:val="center"/>
                </w:tcPr>
                <w:p w14:paraId="40729A4A">
                  <w:pPr>
                    <w:widowControl/>
                    <w:rPr>
                      <w:rFonts w:eastAsiaTheme="minorEastAsia"/>
                      <w:color w:val="000000" w:themeColor="text1"/>
                      <w:szCs w:val="21"/>
                      <w14:textFill>
                        <w14:solidFill>
                          <w14:schemeClr w14:val="tx1"/>
                        </w14:solidFill>
                      </w14:textFill>
                    </w:rPr>
                  </w:pPr>
                </w:p>
              </w:tc>
              <w:tc>
                <w:tcPr>
                  <w:tcW w:w="633" w:type="dxa"/>
                  <w:vMerge w:val="continue"/>
                  <w:tcBorders>
                    <w:top w:val="double" w:color="auto" w:sz="2" w:space="0"/>
                    <w:left w:val="single" w:color="auto" w:sz="4" w:space="0"/>
                    <w:bottom w:val="single" w:color="auto" w:sz="4" w:space="0"/>
                    <w:right w:val="single" w:color="auto" w:sz="4" w:space="0"/>
                  </w:tcBorders>
                  <w:vAlign w:val="center"/>
                </w:tcPr>
                <w:p w14:paraId="0795DADC">
                  <w:pPr>
                    <w:widowControl/>
                    <w:rPr>
                      <w:rFonts w:eastAsiaTheme="minorEastAsia"/>
                      <w:color w:val="000000" w:themeColor="text1"/>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vAlign w:val="center"/>
                </w:tcPr>
                <w:p w14:paraId="1AF9D27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浓度mg/m</w:t>
                  </w:r>
                  <w:r>
                    <w:rPr>
                      <w:rFonts w:eastAsiaTheme="minorEastAsia"/>
                      <w:color w:val="000000" w:themeColor="text1"/>
                      <w:szCs w:val="21"/>
                      <w:vertAlign w:val="superscript"/>
                      <w14:textFill>
                        <w14:solidFill>
                          <w14:schemeClr w14:val="tx1"/>
                        </w14:solidFill>
                      </w14:textFill>
                    </w:rPr>
                    <w:t>3</w:t>
                  </w:r>
                </w:p>
              </w:tc>
              <w:tc>
                <w:tcPr>
                  <w:tcW w:w="651" w:type="dxa"/>
                  <w:tcBorders>
                    <w:top w:val="single" w:color="auto" w:sz="4" w:space="0"/>
                    <w:left w:val="single" w:color="auto" w:sz="4" w:space="0"/>
                    <w:bottom w:val="single" w:color="auto" w:sz="4" w:space="0"/>
                    <w:right w:val="single" w:color="auto" w:sz="4" w:space="0"/>
                  </w:tcBorders>
                  <w:vAlign w:val="center"/>
                </w:tcPr>
                <w:p w14:paraId="7D0BB69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速率kg/h</w:t>
                  </w:r>
                </w:p>
              </w:tc>
              <w:tc>
                <w:tcPr>
                  <w:tcW w:w="730" w:type="dxa"/>
                  <w:tcBorders>
                    <w:top w:val="single" w:color="auto" w:sz="4" w:space="0"/>
                    <w:left w:val="single" w:color="auto" w:sz="4" w:space="0"/>
                    <w:bottom w:val="single" w:color="auto" w:sz="4" w:space="0"/>
                    <w:right w:val="nil"/>
                  </w:tcBorders>
                  <w:vAlign w:val="center"/>
                </w:tcPr>
                <w:p w14:paraId="45694BE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排放量t/a</w:t>
                  </w:r>
                </w:p>
              </w:tc>
            </w:tr>
            <w:tr w14:paraId="707AB4E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restart"/>
                  <w:tcBorders>
                    <w:top w:val="single" w:color="auto" w:sz="4" w:space="0"/>
                    <w:left w:val="nil"/>
                    <w:right w:val="single" w:color="auto" w:sz="4" w:space="0"/>
                  </w:tcBorders>
                  <w:vAlign w:val="center"/>
                </w:tcPr>
                <w:p w14:paraId="566E24F8">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DA001</w:t>
                  </w:r>
                </w:p>
              </w:tc>
              <w:tc>
                <w:tcPr>
                  <w:tcW w:w="579" w:type="dxa"/>
                  <w:vMerge w:val="restart"/>
                  <w:tcBorders>
                    <w:top w:val="single" w:color="auto" w:sz="4" w:space="0"/>
                    <w:left w:val="single" w:color="auto" w:sz="4" w:space="0"/>
                    <w:right w:val="single" w:color="auto" w:sz="4" w:space="0"/>
                  </w:tcBorders>
                  <w:vAlign w:val="center"/>
                </w:tcPr>
                <w:p w14:paraId="5A8D1622">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烘干</w:t>
                  </w:r>
                </w:p>
              </w:tc>
              <w:tc>
                <w:tcPr>
                  <w:tcW w:w="578" w:type="dxa"/>
                  <w:tcBorders>
                    <w:top w:val="single" w:color="auto" w:sz="4" w:space="0"/>
                    <w:left w:val="single" w:color="auto" w:sz="4" w:space="0"/>
                    <w:bottom w:val="single" w:color="auto" w:sz="4" w:space="0"/>
                    <w:right w:val="single" w:color="auto" w:sz="4" w:space="0"/>
                  </w:tcBorders>
                  <w:vAlign w:val="center"/>
                </w:tcPr>
                <w:p w14:paraId="71970099">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颗粒物</w:t>
                  </w:r>
                </w:p>
              </w:tc>
              <w:tc>
                <w:tcPr>
                  <w:tcW w:w="578" w:type="dxa"/>
                  <w:vMerge w:val="restart"/>
                  <w:tcBorders>
                    <w:top w:val="single" w:color="auto" w:sz="4" w:space="0"/>
                    <w:left w:val="single" w:color="auto" w:sz="4" w:space="0"/>
                    <w:right w:val="single" w:color="auto" w:sz="4" w:space="0"/>
                  </w:tcBorders>
                  <w:vAlign w:val="center"/>
                </w:tcPr>
                <w:p w14:paraId="48FEDD2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5000</w:t>
                  </w:r>
                </w:p>
              </w:tc>
              <w:tc>
                <w:tcPr>
                  <w:tcW w:w="497" w:type="dxa"/>
                  <w:vMerge w:val="restart"/>
                  <w:tcBorders>
                    <w:top w:val="single" w:color="auto" w:sz="4" w:space="0"/>
                    <w:left w:val="single" w:color="auto" w:sz="4" w:space="0"/>
                    <w:right w:val="single" w:color="auto" w:sz="4" w:space="0"/>
                  </w:tcBorders>
                  <w:vAlign w:val="center"/>
                </w:tcPr>
                <w:p w14:paraId="7476E679">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2880</w:t>
                  </w:r>
                </w:p>
              </w:tc>
              <w:tc>
                <w:tcPr>
                  <w:tcW w:w="662" w:type="dxa"/>
                  <w:tcBorders>
                    <w:top w:val="single" w:color="auto" w:sz="4" w:space="0"/>
                    <w:left w:val="single" w:color="auto" w:sz="4" w:space="0"/>
                    <w:bottom w:val="single" w:color="auto" w:sz="4" w:space="0"/>
                    <w:right w:val="single" w:color="auto" w:sz="4" w:space="0"/>
                  </w:tcBorders>
                  <w:vAlign w:val="center"/>
                </w:tcPr>
                <w:p w14:paraId="1074B0D6">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2360.5313 </w:t>
                  </w:r>
                </w:p>
              </w:tc>
              <w:tc>
                <w:tcPr>
                  <w:tcW w:w="579" w:type="dxa"/>
                  <w:tcBorders>
                    <w:top w:val="single" w:color="auto" w:sz="4" w:space="0"/>
                    <w:left w:val="single" w:color="auto" w:sz="4" w:space="0"/>
                    <w:bottom w:val="single" w:color="auto" w:sz="4" w:space="0"/>
                    <w:right w:val="single" w:color="auto" w:sz="4" w:space="0"/>
                  </w:tcBorders>
                  <w:vAlign w:val="center"/>
                </w:tcPr>
                <w:p w14:paraId="67B0C566">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11.8027 </w:t>
                  </w:r>
                </w:p>
              </w:tc>
              <w:tc>
                <w:tcPr>
                  <w:tcW w:w="581" w:type="dxa"/>
                  <w:tcBorders>
                    <w:top w:val="single" w:color="auto" w:sz="4" w:space="0"/>
                    <w:left w:val="single" w:color="auto" w:sz="4" w:space="0"/>
                    <w:bottom w:val="single" w:color="auto" w:sz="4" w:space="0"/>
                    <w:right w:val="single" w:color="auto" w:sz="4" w:space="0"/>
                  </w:tcBorders>
                  <w:vAlign w:val="center"/>
                </w:tcPr>
                <w:p w14:paraId="0391DB16">
                  <w:pPr>
                    <w:widowControl/>
                    <w:jc w:val="center"/>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33.9917 </w:t>
                  </w:r>
                </w:p>
              </w:tc>
              <w:tc>
                <w:tcPr>
                  <w:tcW w:w="579" w:type="dxa"/>
                  <w:vMerge w:val="restart"/>
                  <w:tcBorders>
                    <w:top w:val="single" w:color="auto" w:sz="4" w:space="0"/>
                    <w:left w:val="single" w:color="auto" w:sz="4" w:space="0"/>
                    <w:right w:val="single" w:color="auto" w:sz="4" w:space="0"/>
                  </w:tcBorders>
                  <w:vAlign w:val="center"/>
                </w:tcPr>
                <w:p w14:paraId="0D8E863B">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石灰石/石膏法脱硫+脉冲袋式除尘器</w:t>
                  </w:r>
                </w:p>
              </w:tc>
              <w:tc>
                <w:tcPr>
                  <w:tcW w:w="487" w:type="dxa"/>
                  <w:tcBorders>
                    <w:top w:val="single" w:color="auto" w:sz="4" w:space="0"/>
                    <w:left w:val="single" w:color="auto" w:sz="4" w:space="0"/>
                    <w:bottom w:val="single" w:color="auto" w:sz="4" w:space="0"/>
                    <w:right w:val="single" w:color="auto" w:sz="4" w:space="0"/>
                  </w:tcBorders>
                  <w:vAlign w:val="center"/>
                </w:tcPr>
                <w:p w14:paraId="2FC0317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99</w:t>
                  </w:r>
                </w:p>
              </w:tc>
              <w:tc>
                <w:tcPr>
                  <w:tcW w:w="633" w:type="dxa"/>
                  <w:tcBorders>
                    <w:top w:val="single" w:color="auto" w:sz="4" w:space="0"/>
                    <w:left w:val="single" w:color="auto" w:sz="4" w:space="0"/>
                    <w:bottom w:val="single" w:color="auto" w:sz="4" w:space="0"/>
                    <w:right w:val="single" w:color="auto" w:sz="4" w:space="0"/>
                  </w:tcBorders>
                  <w:vAlign w:val="center"/>
                </w:tcPr>
                <w:p w14:paraId="7B37811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1B614DA4">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23.6053 </w:t>
                  </w:r>
                </w:p>
              </w:tc>
              <w:tc>
                <w:tcPr>
                  <w:tcW w:w="651" w:type="dxa"/>
                  <w:tcBorders>
                    <w:top w:val="single" w:color="auto" w:sz="4" w:space="0"/>
                    <w:left w:val="single" w:color="auto" w:sz="4" w:space="0"/>
                    <w:bottom w:val="single" w:color="auto" w:sz="4" w:space="0"/>
                    <w:right w:val="single" w:color="auto" w:sz="4" w:space="0"/>
                  </w:tcBorders>
                  <w:vAlign w:val="center"/>
                </w:tcPr>
                <w:p w14:paraId="7EEC5C39">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0.1180 </w:t>
                  </w:r>
                </w:p>
              </w:tc>
              <w:tc>
                <w:tcPr>
                  <w:tcW w:w="730" w:type="dxa"/>
                  <w:tcBorders>
                    <w:top w:val="single" w:color="auto" w:sz="4" w:space="0"/>
                    <w:left w:val="single" w:color="auto" w:sz="4" w:space="0"/>
                    <w:bottom w:val="single" w:color="auto" w:sz="4" w:space="0"/>
                    <w:right w:val="nil"/>
                  </w:tcBorders>
                  <w:vAlign w:val="center"/>
                </w:tcPr>
                <w:p w14:paraId="4C9AFA21">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0.3399 </w:t>
                  </w:r>
                </w:p>
              </w:tc>
            </w:tr>
            <w:tr w14:paraId="1832F30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continue"/>
                  <w:tcBorders>
                    <w:left w:val="nil"/>
                    <w:right w:val="single" w:color="auto" w:sz="4" w:space="0"/>
                  </w:tcBorders>
                  <w:vAlign w:val="center"/>
                </w:tcPr>
                <w:p w14:paraId="2E7AF7DB">
                  <w:pPr>
                    <w:jc w:val="center"/>
                    <w:rPr>
                      <w:rFonts w:eastAsiaTheme="minorEastAsia"/>
                      <w:color w:val="000000" w:themeColor="text1"/>
                      <w:szCs w:val="21"/>
                      <w14:textFill>
                        <w14:solidFill>
                          <w14:schemeClr w14:val="tx1"/>
                        </w14:solidFill>
                      </w14:textFill>
                    </w:rPr>
                  </w:pPr>
                </w:p>
              </w:tc>
              <w:tc>
                <w:tcPr>
                  <w:tcW w:w="579" w:type="dxa"/>
                  <w:vMerge w:val="continue"/>
                  <w:tcBorders>
                    <w:left w:val="single" w:color="auto" w:sz="4" w:space="0"/>
                    <w:right w:val="single" w:color="auto" w:sz="4" w:space="0"/>
                  </w:tcBorders>
                  <w:vAlign w:val="center"/>
                </w:tcPr>
                <w:p w14:paraId="3E8362CD">
                  <w:pPr>
                    <w:jc w:val="center"/>
                    <w:rPr>
                      <w:rFonts w:eastAsiaTheme="minorEastAsia"/>
                      <w:color w:val="000000" w:themeColor="text1"/>
                      <w:szCs w:val="21"/>
                      <w14:textFill>
                        <w14:solidFill>
                          <w14:schemeClr w14:val="tx1"/>
                        </w14:solidFill>
                      </w14:textFill>
                    </w:rPr>
                  </w:pPr>
                </w:p>
              </w:tc>
              <w:tc>
                <w:tcPr>
                  <w:tcW w:w="578" w:type="dxa"/>
                  <w:tcBorders>
                    <w:top w:val="single" w:color="auto" w:sz="4" w:space="0"/>
                    <w:left w:val="single" w:color="auto" w:sz="4" w:space="0"/>
                    <w:bottom w:val="single" w:color="auto" w:sz="4" w:space="0"/>
                    <w:right w:val="single" w:color="auto" w:sz="4" w:space="0"/>
                  </w:tcBorders>
                  <w:vAlign w:val="center"/>
                </w:tcPr>
                <w:p w14:paraId="51722EEF">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二氧化硫</w:t>
                  </w:r>
                </w:p>
              </w:tc>
              <w:tc>
                <w:tcPr>
                  <w:tcW w:w="578" w:type="dxa"/>
                  <w:vMerge w:val="continue"/>
                  <w:tcBorders>
                    <w:left w:val="single" w:color="auto" w:sz="4" w:space="0"/>
                    <w:right w:val="single" w:color="auto" w:sz="4" w:space="0"/>
                  </w:tcBorders>
                  <w:vAlign w:val="center"/>
                </w:tcPr>
                <w:p w14:paraId="247F6636">
                  <w:pPr>
                    <w:jc w:val="center"/>
                    <w:rPr>
                      <w:rFonts w:eastAsiaTheme="minorEastAsia"/>
                      <w:color w:val="000000" w:themeColor="text1"/>
                      <w:szCs w:val="21"/>
                      <w14:textFill>
                        <w14:solidFill>
                          <w14:schemeClr w14:val="tx1"/>
                        </w14:solidFill>
                      </w14:textFill>
                    </w:rPr>
                  </w:pPr>
                </w:p>
              </w:tc>
              <w:tc>
                <w:tcPr>
                  <w:tcW w:w="497" w:type="dxa"/>
                  <w:vMerge w:val="continue"/>
                  <w:tcBorders>
                    <w:left w:val="single" w:color="auto" w:sz="4" w:space="0"/>
                    <w:right w:val="single" w:color="auto" w:sz="4" w:space="0"/>
                  </w:tcBorders>
                  <w:vAlign w:val="center"/>
                </w:tcPr>
                <w:p w14:paraId="4680E1DC">
                  <w:pPr>
                    <w:jc w:val="center"/>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59659042">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650.2375 </w:t>
                  </w:r>
                </w:p>
              </w:tc>
              <w:tc>
                <w:tcPr>
                  <w:tcW w:w="579" w:type="dxa"/>
                  <w:tcBorders>
                    <w:top w:val="single" w:color="auto" w:sz="4" w:space="0"/>
                    <w:left w:val="single" w:color="auto" w:sz="4" w:space="0"/>
                    <w:bottom w:val="single" w:color="auto" w:sz="4" w:space="0"/>
                    <w:right w:val="single" w:color="auto" w:sz="4" w:space="0"/>
                  </w:tcBorders>
                  <w:vAlign w:val="center"/>
                </w:tcPr>
                <w:p w14:paraId="285C1DED">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3.2512 </w:t>
                  </w:r>
                </w:p>
              </w:tc>
              <w:tc>
                <w:tcPr>
                  <w:tcW w:w="581" w:type="dxa"/>
                  <w:tcBorders>
                    <w:top w:val="single" w:color="auto" w:sz="4" w:space="0"/>
                    <w:left w:val="single" w:color="auto" w:sz="4" w:space="0"/>
                    <w:bottom w:val="single" w:color="auto" w:sz="4" w:space="0"/>
                    <w:right w:val="single" w:color="auto" w:sz="4" w:space="0"/>
                  </w:tcBorders>
                  <w:vAlign w:val="center"/>
                </w:tcPr>
                <w:p w14:paraId="70F4E0CA">
                  <w:pPr>
                    <w:widowControl/>
                    <w:jc w:val="center"/>
                    <w:rPr>
                      <w:rFonts w:eastAsiaTheme="minorEastAsia"/>
                      <w:color w:val="000000" w:themeColor="text1"/>
                      <w:kern w:val="0"/>
                      <w:sz w:val="22"/>
                      <w:szCs w:val="22"/>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9.3634 </w:t>
                  </w:r>
                </w:p>
              </w:tc>
              <w:tc>
                <w:tcPr>
                  <w:tcW w:w="579" w:type="dxa"/>
                  <w:vMerge w:val="continue"/>
                  <w:tcBorders>
                    <w:left w:val="single" w:color="auto" w:sz="4" w:space="0"/>
                    <w:right w:val="single" w:color="auto" w:sz="4" w:space="0"/>
                  </w:tcBorders>
                  <w:vAlign w:val="center"/>
                </w:tcPr>
                <w:p w14:paraId="7D60A176">
                  <w:pPr>
                    <w:jc w:val="center"/>
                    <w:rPr>
                      <w:rFonts w:eastAsiaTheme="minorEastAsia"/>
                      <w:color w:val="000000" w:themeColor="text1"/>
                      <w:szCs w:val="21"/>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14:paraId="7F1F2446">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90</w:t>
                  </w:r>
                </w:p>
              </w:tc>
              <w:tc>
                <w:tcPr>
                  <w:tcW w:w="633" w:type="dxa"/>
                  <w:tcBorders>
                    <w:top w:val="single" w:color="auto" w:sz="4" w:space="0"/>
                    <w:left w:val="single" w:color="auto" w:sz="4" w:space="0"/>
                    <w:bottom w:val="single" w:color="auto" w:sz="4" w:space="0"/>
                    <w:right w:val="single" w:color="auto" w:sz="4" w:space="0"/>
                  </w:tcBorders>
                  <w:vAlign w:val="center"/>
                </w:tcPr>
                <w:p w14:paraId="68BF8DBC">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17AD4C53">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65.0238 </w:t>
                  </w:r>
                </w:p>
              </w:tc>
              <w:tc>
                <w:tcPr>
                  <w:tcW w:w="651" w:type="dxa"/>
                  <w:tcBorders>
                    <w:top w:val="single" w:color="auto" w:sz="4" w:space="0"/>
                    <w:left w:val="single" w:color="auto" w:sz="4" w:space="0"/>
                    <w:bottom w:val="single" w:color="auto" w:sz="4" w:space="0"/>
                    <w:right w:val="single" w:color="auto" w:sz="4" w:space="0"/>
                  </w:tcBorders>
                  <w:vAlign w:val="center"/>
                </w:tcPr>
                <w:p w14:paraId="6E55DC9F">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0.3251 </w:t>
                  </w:r>
                </w:p>
              </w:tc>
              <w:tc>
                <w:tcPr>
                  <w:tcW w:w="730" w:type="dxa"/>
                  <w:tcBorders>
                    <w:top w:val="single" w:color="auto" w:sz="4" w:space="0"/>
                    <w:left w:val="single" w:color="auto" w:sz="4" w:space="0"/>
                    <w:bottom w:val="single" w:color="auto" w:sz="4" w:space="0"/>
                    <w:right w:val="nil"/>
                  </w:tcBorders>
                  <w:vAlign w:val="center"/>
                </w:tcPr>
                <w:p w14:paraId="6EFDC31C">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0.9363 </w:t>
                  </w:r>
                </w:p>
              </w:tc>
            </w:tr>
            <w:tr w14:paraId="4F1B389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vMerge w:val="continue"/>
                  <w:tcBorders>
                    <w:left w:val="nil"/>
                    <w:right w:val="single" w:color="auto" w:sz="4" w:space="0"/>
                  </w:tcBorders>
                  <w:vAlign w:val="center"/>
                </w:tcPr>
                <w:p w14:paraId="75A2E028">
                  <w:pPr>
                    <w:jc w:val="center"/>
                    <w:rPr>
                      <w:rFonts w:eastAsiaTheme="minorEastAsia"/>
                      <w:color w:val="000000" w:themeColor="text1"/>
                      <w:szCs w:val="21"/>
                      <w14:textFill>
                        <w14:solidFill>
                          <w14:schemeClr w14:val="tx1"/>
                        </w14:solidFill>
                      </w14:textFill>
                    </w:rPr>
                  </w:pPr>
                </w:p>
              </w:tc>
              <w:tc>
                <w:tcPr>
                  <w:tcW w:w="579" w:type="dxa"/>
                  <w:vMerge w:val="continue"/>
                  <w:tcBorders>
                    <w:left w:val="single" w:color="auto" w:sz="4" w:space="0"/>
                    <w:right w:val="single" w:color="auto" w:sz="4" w:space="0"/>
                  </w:tcBorders>
                  <w:vAlign w:val="center"/>
                </w:tcPr>
                <w:p w14:paraId="047E65B5">
                  <w:pPr>
                    <w:jc w:val="center"/>
                    <w:rPr>
                      <w:rFonts w:eastAsiaTheme="minorEastAsia"/>
                      <w:color w:val="000000" w:themeColor="text1"/>
                      <w:szCs w:val="21"/>
                      <w14:textFill>
                        <w14:solidFill>
                          <w14:schemeClr w14:val="tx1"/>
                        </w14:solidFill>
                      </w14:textFill>
                    </w:rPr>
                  </w:pPr>
                </w:p>
              </w:tc>
              <w:tc>
                <w:tcPr>
                  <w:tcW w:w="578" w:type="dxa"/>
                  <w:tcBorders>
                    <w:top w:val="single" w:color="auto" w:sz="4" w:space="0"/>
                    <w:left w:val="single" w:color="auto" w:sz="4" w:space="0"/>
                    <w:bottom w:val="single" w:color="auto" w:sz="4" w:space="0"/>
                    <w:right w:val="single" w:color="auto" w:sz="4" w:space="0"/>
                  </w:tcBorders>
                  <w:vAlign w:val="center"/>
                </w:tcPr>
                <w:p w14:paraId="001077F2">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氮氧化物</w:t>
                  </w:r>
                </w:p>
              </w:tc>
              <w:tc>
                <w:tcPr>
                  <w:tcW w:w="578" w:type="dxa"/>
                  <w:vMerge w:val="continue"/>
                  <w:tcBorders>
                    <w:left w:val="single" w:color="auto" w:sz="4" w:space="0"/>
                    <w:right w:val="single" w:color="auto" w:sz="4" w:space="0"/>
                  </w:tcBorders>
                  <w:vAlign w:val="center"/>
                </w:tcPr>
                <w:p w14:paraId="12D63251">
                  <w:pPr>
                    <w:jc w:val="center"/>
                    <w:rPr>
                      <w:rFonts w:eastAsiaTheme="minorEastAsia"/>
                      <w:color w:val="000000" w:themeColor="text1"/>
                      <w:szCs w:val="21"/>
                      <w14:textFill>
                        <w14:solidFill>
                          <w14:schemeClr w14:val="tx1"/>
                        </w14:solidFill>
                      </w14:textFill>
                    </w:rPr>
                  </w:pPr>
                </w:p>
              </w:tc>
              <w:tc>
                <w:tcPr>
                  <w:tcW w:w="497" w:type="dxa"/>
                  <w:vMerge w:val="continue"/>
                  <w:tcBorders>
                    <w:left w:val="single" w:color="auto" w:sz="4" w:space="0"/>
                    <w:right w:val="single" w:color="auto" w:sz="4" w:space="0"/>
                  </w:tcBorders>
                  <w:vAlign w:val="center"/>
                </w:tcPr>
                <w:p w14:paraId="3E551822">
                  <w:pPr>
                    <w:jc w:val="center"/>
                    <w:rPr>
                      <w:rFonts w:eastAsiaTheme="minorEastAsia"/>
                      <w:color w:val="000000" w:themeColor="text1"/>
                      <w:szCs w:val="21"/>
                      <w14:textFill>
                        <w14:solidFill>
                          <w14:schemeClr w14:val="tx1"/>
                        </w14:solidFill>
                      </w14:textFill>
                    </w:rPr>
                  </w:pPr>
                </w:p>
              </w:tc>
              <w:tc>
                <w:tcPr>
                  <w:tcW w:w="662" w:type="dxa"/>
                  <w:tcBorders>
                    <w:top w:val="single" w:color="auto" w:sz="4" w:space="0"/>
                    <w:left w:val="single" w:color="auto" w:sz="4" w:space="0"/>
                    <w:bottom w:val="single" w:color="auto" w:sz="4" w:space="0"/>
                    <w:right w:val="single" w:color="auto" w:sz="4" w:space="0"/>
                  </w:tcBorders>
                  <w:vAlign w:val="center"/>
                </w:tcPr>
                <w:p w14:paraId="618B9527">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31.9275 </w:t>
                  </w:r>
                </w:p>
              </w:tc>
              <w:tc>
                <w:tcPr>
                  <w:tcW w:w="579" w:type="dxa"/>
                  <w:tcBorders>
                    <w:top w:val="single" w:color="auto" w:sz="4" w:space="0"/>
                    <w:left w:val="single" w:color="auto" w:sz="4" w:space="0"/>
                    <w:bottom w:val="single" w:color="auto" w:sz="4" w:space="0"/>
                    <w:right w:val="single" w:color="auto" w:sz="4" w:space="0"/>
                  </w:tcBorders>
                  <w:vAlign w:val="center"/>
                </w:tcPr>
                <w:p w14:paraId="42E5E7C3">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0.1596 </w:t>
                  </w:r>
                </w:p>
              </w:tc>
              <w:tc>
                <w:tcPr>
                  <w:tcW w:w="581" w:type="dxa"/>
                  <w:tcBorders>
                    <w:top w:val="single" w:color="auto" w:sz="4" w:space="0"/>
                    <w:left w:val="single" w:color="auto" w:sz="4" w:space="0"/>
                    <w:bottom w:val="single" w:color="auto" w:sz="4" w:space="0"/>
                    <w:right w:val="single" w:color="auto" w:sz="4" w:space="0"/>
                  </w:tcBorders>
                  <w:vAlign w:val="center"/>
                </w:tcPr>
                <w:p w14:paraId="08F90194">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0.4598 </w:t>
                  </w:r>
                </w:p>
              </w:tc>
              <w:tc>
                <w:tcPr>
                  <w:tcW w:w="579" w:type="dxa"/>
                  <w:vMerge w:val="continue"/>
                  <w:tcBorders>
                    <w:left w:val="single" w:color="auto" w:sz="4" w:space="0"/>
                    <w:right w:val="single" w:color="auto" w:sz="4" w:space="0"/>
                  </w:tcBorders>
                  <w:vAlign w:val="center"/>
                </w:tcPr>
                <w:p w14:paraId="53BE4728">
                  <w:pPr>
                    <w:jc w:val="center"/>
                    <w:rPr>
                      <w:rFonts w:eastAsiaTheme="minorEastAsia"/>
                      <w:color w:val="000000" w:themeColor="text1"/>
                      <w:szCs w:val="21"/>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14:paraId="45BCB2CE">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w:t>
                  </w:r>
                </w:p>
              </w:tc>
              <w:tc>
                <w:tcPr>
                  <w:tcW w:w="633" w:type="dxa"/>
                  <w:tcBorders>
                    <w:top w:val="single" w:color="auto" w:sz="4" w:space="0"/>
                    <w:left w:val="single" w:color="auto" w:sz="4" w:space="0"/>
                    <w:bottom w:val="single" w:color="auto" w:sz="4" w:space="0"/>
                    <w:right w:val="single" w:color="auto" w:sz="4" w:space="0"/>
                  </w:tcBorders>
                  <w:vAlign w:val="center"/>
                </w:tcPr>
                <w:p w14:paraId="73246A8A">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w:t>
                  </w:r>
                </w:p>
              </w:tc>
              <w:tc>
                <w:tcPr>
                  <w:tcW w:w="649" w:type="dxa"/>
                  <w:tcBorders>
                    <w:top w:val="single" w:color="auto" w:sz="4" w:space="0"/>
                    <w:left w:val="single" w:color="auto" w:sz="4" w:space="0"/>
                    <w:bottom w:val="single" w:color="auto" w:sz="4" w:space="0"/>
                    <w:right w:val="single" w:color="auto" w:sz="4" w:space="0"/>
                  </w:tcBorders>
                  <w:vAlign w:val="center"/>
                </w:tcPr>
                <w:p w14:paraId="57182AF0">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31.9275 </w:t>
                  </w:r>
                </w:p>
              </w:tc>
              <w:tc>
                <w:tcPr>
                  <w:tcW w:w="651" w:type="dxa"/>
                  <w:tcBorders>
                    <w:top w:val="single" w:color="auto" w:sz="4" w:space="0"/>
                    <w:left w:val="single" w:color="auto" w:sz="4" w:space="0"/>
                    <w:bottom w:val="single" w:color="auto" w:sz="4" w:space="0"/>
                    <w:right w:val="single" w:color="auto" w:sz="4" w:space="0"/>
                  </w:tcBorders>
                  <w:vAlign w:val="center"/>
                </w:tcPr>
                <w:p w14:paraId="55342E4D">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0.1596 </w:t>
                  </w:r>
                </w:p>
              </w:tc>
              <w:tc>
                <w:tcPr>
                  <w:tcW w:w="730" w:type="dxa"/>
                  <w:tcBorders>
                    <w:top w:val="single" w:color="auto" w:sz="4" w:space="0"/>
                    <w:left w:val="single" w:color="auto" w:sz="4" w:space="0"/>
                    <w:bottom w:val="single" w:color="auto" w:sz="4" w:space="0"/>
                    <w:right w:val="nil"/>
                  </w:tcBorders>
                  <w:vAlign w:val="center"/>
                </w:tcPr>
                <w:p w14:paraId="4DE11624">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0.4598 </w:t>
                  </w:r>
                </w:p>
              </w:tc>
            </w:tr>
            <w:tr w14:paraId="6938A3A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79" w:type="dxa"/>
                  <w:tcBorders>
                    <w:left w:val="nil"/>
                    <w:right w:val="single" w:color="auto" w:sz="4" w:space="0"/>
                  </w:tcBorders>
                  <w:vAlign w:val="center"/>
                </w:tcPr>
                <w:p w14:paraId="62561C8B">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DA002</w:t>
                  </w:r>
                </w:p>
              </w:tc>
              <w:tc>
                <w:tcPr>
                  <w:tcW w:w="579" w:type="dxa"/>
                  <w:tcBorders>
                    <w:left w:val="single" w:color="auto" w:sz="4" w:space="0"/>
                    <w:right w:val="single" w:color="auto" w:sz="4" w:space="0"/>
                  </w:tcBorders>
                  <w:vAlign w:val="center"/>
                </w:tcPr>
                <w:p w14:paraId="1C91E2BB">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投料、混料、造球、烘干卸料</w:t>
                  </w:r>
                </w:p>
              </w:tc>
              <w:tc>
                <w:tcPr>
                  <w:tcW w:w="578" w:type="dxa"/>
                  <w:tcBorders>
                    <w:top w:val="single" w:color="auto" w:sz="4" w:space="0"/>
                    <w:left w:val="single" w:color="auto" w:sz="4" w:space="0"/>
                    <w:bottom w:val="single" w:color="auto" w:sz="4" w:space="0"/>
                    <w:right w:val="single" w:color="auto" w:sz="4" w:space="0"/>
                  </w:tcBorders>
                  <w:vAlign w:val="center"/>
                </w:tcPr>
                <w:p w14:paraId="23B3D86E">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578" w:type="dxa"/>
                  <w:tcBorders>
                    <w:left w:val="single" w:color="auto" w:sz="4" w:space="0"/>
                    <w:right w:val="single" w:color="auto" w:sz="4" w:space="0"/>
                  </w:tcBorders>
                  <w:vAlign w:val="center"/>
                </w:tcPr>
                <w:p w14:paraId="4582CC27">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17820</w:t>
                  </w:r>
                  <w:r>
                    <w:rPr>
                      <w:rFonts w:hint="eastAsia" w:ascii="宋体" w:hAnsi="宋体" w:cs="宋体"/>
                      <w:color w:val="000000" w:themeColor="text1"/>
                      <w:vertAlign w:val="superscript"/>
                      <w14:textFill>
                        <w14:solidFill>
                          <w14:schemeClr w14:val="tx1"/>
                        </w14:solidFill>
                      </w14:textFill>
                    </w:rPr>
                    <w:t>②</w:t>
                  </w:r>
                </w:p>
              </w:tc>
              <w:tc>
                <w:tcPr>
                  <w:tcW w:w="497" w:type="dxa"/>
                  <w:tcBorders>
                    <w:left w:val="single" w:color="auto" w:sz="4" w:space="0"/>
                    <w:right w:val="single" w:color="auto" w:sz="4" w:space="0"/>
                  </w:tcBorders>
                  <w:vAlign w:val="center"/>
                </w:tcPr>
                <w:p w14:paraId="45DEC5FD">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2880</w:t>
                  </w:r>
                </w:p>
              </w:tc>
              <w:tc>
                <w:tcPr>
                  <w:tcW w:w="662" w:type="dxa"/>
                  <w:tcBorders>
                    <w:top w:val="single" w:color="auto" w:sz="4" w:space="0"/>
                    <w:left w:val="single" w:color="auto" w:sz="4" w:space="0"/>
                    <w:bottom w:val="single" w:color="auto" w:sz="4" w:space="0"/>
                    <w:right w:val="single" w:color="auto" w:sz="4" w:space="0"/>
                  </w:tcBorders>
                  <w:vAlign w:val="center"/>
                </w:tcPr>
                <w:p w14:paraId="0E5E623D">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641.2563</w:t>
                  </w:r>
                </w:p>
              </w:tc>
              <w:tc>
                <w:tcPr>
                  <w:tcW w:w="579" w:type="dxa"/>
                  <w:tcBorders>
                    <w:top w:val="single" w:color="auto" w:sz="4" w:space="0"/>
                    <w:left w:val="single" w:color="auto" w:sz="4" w:space="0"/>
                    <w:bottom w:val="single" w:color="auto" w:sz="4" w:space="0"/>
                    <w:right w:val="single" w:color="auto" w:sz="4" w:space="0"/>
                  </w:tcBorders>
                  <w:vAlign w:val="center"/>
                </w:tcPr>
                <w:p w14:paraId="55EB8424">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11.4272</w:t>
                  </w:r>
                </w:p>
              </w:tc>
              <w:tc>
                <w:tcPr>
                  <w:tcW w:w="581" w:type="dxa"/>
                  <w:tcBorders>
                    <w:top w:val="single" w:color="auto" w:sz="4" w:space="0"/>
                    <w:left w:val="single" w:color="auto" w:sz="4" w:space="0"/>
                    <w:bottom w:val="single" w:color="auto" w:sz="4" w:space="0"/>
                    <w:right w:val="single" w:color="auto" w:sz="4" w:space="0"/>
                  </w:tcBorders>
                  <w:vAlign w:val="center"/>
                </w:tcPr>
                <w:p w14:paraId="47394BF1">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32.9103</w:t>
                  </w:r>
                </w:p>
              </w:tc>
              <w:tc>
                <w:tcPr>
                  <w:tcW w:w="579" w:type="dxa"/>
                  <w:tcBorders>
                    <w:left w:val="single" w:color="auto" w:sz="4" w:space="0"/>
                    <w:right w:val="single" w:color="auto" w:sz="4" w:space="0"/>
                  </w:tcBorders>
                  <w:vAlign w:val="center"/>
                </w:tcPr>
                <w:p w14:paraId="7C2347D8">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脉冲袋式除尘器</w:t>
                  </w:r>
                </w:p>
              </w:tc>
              <w:tc>
                <w:tcPr>
                  <w:tcW w:w="487" w:type="dxa"/>
                  <w:tcBorders>
                    <w:top w:val="single" w:color="auto" w:sz="4" w:space="0"/>
                    <w:left w:val="single" w:color="auto" w:sz="4" w:space="0"/>
                    <w:bottom w:val="single" w:color="auto" w:sz="4" w:space="0"/>
                    <w:right w:val="single" w:color="auto" w:sz="4" w:space="0"/>
                  </w:tcBorders>
                  <w:vAlign w:val="center"/>
                </w:tcPr>
                <w:p w14:paraId="70882DDD">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99</w:t>
                  </w:r>
                </w:p>
              </w:tc>
              <w:tc>
                <w:tcPr>
                  <w:tcW w:w="633" w:type="dxa"/>
                  <w:tcBorders>
                    <w:top w:val="single" w:color="auto" w:sz="4" w:space="0"/>
                    <w:left w:val="single" w:color="auto" w:sz="4" w:space="0"/>
                    <w:bottom w:val="single" w:color="auto" w:sz="4" w:space="0"/>
                    <w:right w:val="single" w:color="auto" w:sz="4" w:space="0"/>
                  </w:tcBorders>
                  <w:vAlign w:val="center"/>
                </w:tcPr>
                <w:p w14:paraId="335475FD">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是</w:t>
                  </w:r>
                </w:p>
              </w:tc>
              <w:tc>
                <w:tcPr>
                  <w:tcW w:w="649" w:type="dxa"/>
                  <w:tcBorders>
                    <w:top w:val="single" w:color="auto" w:sz="4" w:space="0"/>
                    <w:left w:val="single" w:color="auto" w:sz="4" w:space="0"/>
                    <w:bottom w:val="single" w:color="auto" w:sz="4" w:space="0"/>
                    <w:right w:val="single" w:color="auto" w:sz="4" w:space="0"/>
                  </w:tcBorders>
                  <w:vAlign w:val="center"/>
                </w:tcPr>
                <w:p w14:paraId="4A3F4ABE">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6.4126</w:t>
                  </w:r>
                </w:p>
              </w:tc>
              <w:tc>
                <w:tcPr>
                  <w:tcW w:w="651" w:type="dxa"/>
                  <w:tcBorders>
                    <w:top w:val="single" w:color="auto" w:sz="4" w:space="0"/>
                    <w:left w:val="single" w:color="auto" w:sz="4" w:space="0"/>
                    <w:bottom w:val="single" w:color="auto" w:sz="4" w:space="0"/>
                    <w:right w:val="single" w:color="auto" w:sz="4" w:space="0"/>
                  </w:tcBorders>
                  <w:vAlign w:val="center"/>
                </w:tcPr>
                <w:p w14:paraId="79234113">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0.1143</w:t>
                  </w:r>
                </w:p>
              </w:tc>
              <w:tc>
                <w:tcPr>
                  <w:tcW w:w="730" w:type="dxa"/>
                  <w:tcBorders>
                    <w:top w:val="single" w:color="auto" w:sz="4" w:space="0"/>
                    <w:left w:val="single" w:color="auto" w:sz="4" w:space="0"/>
                    <w:bottom w:val="single" w:color="auto" w:sz="4" w:space="0"/>
                    <w:right w:val="nil"/>
                  </w:tcBorders>
                  <w:vAlign w:val="center"/>
                </w:tcPr>
                <w:p w14:paraId="58845EE0">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0.3291</w:t>
                  </w:r>
                </w:p>
              </w:tc>
            </w:tr>
            <w:tr w14:paraId="05651B8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8362" w:type="dxa"/>
                  <w:gridSpan w:val="14"/>
                  <w:tcBorders>
                    <w:left w:val="nil"/>
                    <w:bottom w:val="double" w:color="auto" w:sz="2" w:space="0"/>
                    <w:right w:val="nil"/>
                  </w:tcBorders>
                  <w:vAlign w:val="center"/>
                </w:tcPr>
                <w:p w14:paraId="3CEADCD7">
                  <w:pPr>
                    <w:jc w:val="left"/>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注：</w:t>
                  </w: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烘干风量为企业提供设备能够正常生产所需风量；</w:t>
                  </w:r>
                </w:p>
                <w:p w14:paraId="1926ED2A">
                  <w:pPr>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废气风量按照设备对应集气罩规格</w:t>
                  </w:r>
                </w:p>
              </w:tc>
            </w:tr>
          </w:tbl>
          <w:p w14:paraId="12DEF260">
            <w:pPr>
              <w:pStyle w:val="65"/>
              <w:ind w:firstLine="480"/>
              <w:rPr>
                <w:rFonts w:eastAsiaTheme="minorEastAsia"/>
                <w:color w:val="0000FF"/>
              </w:rPr>
            </w:pPr>
            <w:r>
              <w:rPr>
                <w:rFonts w:eastAsiaTheme="minorEastAsia"/>
                <w:color w:val="0000FF"/>
              </w:rPr>
              <w:t>根据表4-9可知，本项目烘干排气筒DA001颗粒物满足《工业炉窑大气污染物排放标准》</w:t>
            </w:r>
            <w:r>
              <w:rPr>
                <w:rFonts w:hint="eastAsia" w:eastAsiaTheme="minorEastAsia"/>
                <w:color w:val="0000FF"/>
              </w:rPr>
              <w:t>（</w:t>
            </w:r>
            <w:r>
              <w:rPr>
                <w:rFonts w:eastAsiaTheme="minorEastAsia"/>
                <w:color w:val="0000FF"/>
              </w:rPr>
              <w:t>GB 9078-1996</w:t>
            </w:r>
            <w:r>
              <w:rPr>
                <w:rFonts w:hint="eastAsia" w:eastAsiaTheme="minorEastAsia"/>
                <w:color w:val="0000FF"/>
              </w:rPr>
              <w:t>）</w:t>
            </w:r>
            <w:r>
              <w:rPr>
                <w:rFonts w:eastAsiaTheme="minorEastAsia"/>
                <w:color w:val="0000FF"/>
              </w:rPr>
              <w:t>表2中干燥炉窑二级标准200mg/m</w:t>
            </w:r>
            <w:r>
              <w:rPr>
                <w:rFonts w:eastAsiaTheme="minorEastAsia"/>
                <w:color w:val="0000FF"/>
                <w:vertAlign w:val="superscript"/>
              </w:rPr>
              <w:t>3</w:t>
            </w:r>
            <w:r>
              <w:rPr>
                <w:rFonts w:eastAsiaTheme="minorEastAsia"/>
                <w:color w:val="0000FF"/>
              </w:rPr>
              <w:t>；烘干产生的二氧化硫及氮氧化物满足《大气污染物综合排放标准》（GB16297-1996）表2中15m高排气筒二级标准排放浓度SO</w:t>
            </w:r>
            <w:r>
              <w:rPr>
                <w:rFonts w:eastAsiaTheme="minorEastAsia"/>
                <w:color w:val="0000FF"/>
                <w:vertAlign w:val="subscript"/>
              </w:rPr>
              <w:t>2</w:t>
            </w:r>
            <w:r>
              <w:rPr>
                <w:rFonts w:eastAsiaTheme="minorEastAsia"/>
                <w:color w:val="0000FF"/>
              </w:rPr>
              <w:t>标准限值550mg/m</w:t>
            </w:r>
            <w:r>
              <w:rPr>
                <w:rFonts w:eastAsiaTheme="minorEastAsia"/>
                <w:color w:val="0000FF"/>
                <w:vertAlign w:val="superscript"/>
              </w:rPr>
              <w:t>3</w:t>
            </w:r>
            <w:r>
              <w:rPr>
                <w:rFonts w:eastAsiaTheme="minorEastAsia"/>
                <w:color w:val="0000FF"/>
              </w:rPr>
              <w:t>、NOx标准限值240mg/m</w:t>
            </w:r>
            <w:r>
              <w:rPr>
                <w:rFonts w:eastAsiaTheme="minorEastAsia"/>
                <w:color w:val="0000FF"/>
                <w:vertAlign w:val="superscript"/>
              </w:rPr>
              <w:t>3</w:t>
            </w:r>
            <w:r>
              <w:rPr>
                <w:rFonts w:eastAsiaTheme="minorEastAsia"/>
                <w:color w:val="0000FF"/>
              </w:rPr>
              <w:t>，排放速率SO</w:t>
            </w:r>
            <w:r>
              <w:rPr>
                <w:rFonts w:eastAsiaTheme="minorEastAsia"/>
                <w:color w:val="0000FF"/>
                <w:vertAlign w:val="subscript"/>
              </w:rPr>
              <w:t>2</w:t>
            </w:r>
            <w:r>
              <w:rPr>
                <w:rFonts w:eastAsiaTheme="minorEastAsia"/>
                <w:color w:val="0000FF"/>
              </w:rPr>
              <w:t>标准限值2.6kg/h、NOx标准限值0.77kg/h。</w:t>
            </w:r>
          </w:p>
          <w:p w14:paraId="0E0513E9">
            <w:pPr>
              <w:pStyle w:val="65"/>
              <w:ind w:firstLine="480"/>
              <w:rPr>
                <w:rFonts w:eastAsiaTheme="minorEastAsia"/>
                <w:color w:val="0000FF"/>
              </w:rPr>
            </w:pPr>
            <w:r>
              <w:rPr>
                <w:rFonts w:eastAsiaTheme="minorEastAsia"/>
                <w:color w:val="0000FF"/>
              </w:rPr>
              <w:t>投料、混料、造球、烘干卸料排气筒DA002满足《大气污染物综合排放标准》（GB16297-1996）表2中15m高排气筒二级标准排放浓度标准限值120mg/m</w:t>
            </w:r>
            <w:r>
              <w:rPr>
                <w:rFonts w:eastAsiaTheme="minorEastAsia"/>
                <w:color w:val="0000FF"/>
                <w:vertAlign w:val="superscript"/>
              </w:rPr>
              <w:t>3</w:t>
            </w:r>
            <w:r>
              <w:rPr>
                <w:rFonts w:eastAsiaTheme="minorEastAsia"/>
                <w:color w:val="0000FF"/>
              </w:rPr>
              <w:t>，排放速率标准限值3.5kg/h。</w:t>
            </w:r>
          </w:p>
          <w:p w14:paraId="73D98C9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（2）无组织废气</w:t>
            </w:r>
          </w:p>
          <w:p w14:paraId="7BF43AFF">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表4-10本项目无组织废气排放基本情况表</w:t>
            </w:r>
          </w:p>
          <w:tbl>
            <w:tblPr>
              <w:tblStyle w:val="35"/>
              <w:tblW w:w="8236"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23"/>
              <w:gridCol w:w="823"/>
              <w:gridCol w:w="823"/>
              <w:gridCol w:w="823"/>
              <w:gridCol w:w="824"/>
              <w:gridCol w:w="824"/>
              <w:gridCol w:w="824"/>
              <w:gridCol w:w="824"/>
              <w:gridCol w:w="737"/>
              <w:gridCol w:w="911"/>
            </w:tblGrid>
            <w:tr w14:paraId="61C96D0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Merge w:val="restart"/>
                  <w:vAlign w:val="center"/>
                </w:tcPr>
                <w:p w14:paraId="6388526E">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编号</w:t>
                  </w:r>
                </w:p>
              </w:tc>
              <w:tc>
                <w:tcPr>
                  <w:tcW w:w="1646" w:type="dxa"/>
                  <w:gridSpan w:val="2"/>
                  <w:vAlign w:val="center"/>
                </w:tcPr>
                <w:p w14:paraId="7FCF214C">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面源中点坐标/m</w:t>
                  </w:r>
                </w:p>
              </w:tc>
              <w:tc>
                <w:tcPr>
                  <w:tcW w:w="823" w:type="dxa"/>
                  <w:vMerge w:val="restart"/>
                  <w:vAlign w:val="center"/>
                </w:tcPr>
                <w:p w14:paraId="483D4A8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面源长度/m</w:t>
                  </w:r>
                </w:p>
              </w:tc>
              <w:tc>
                <w:tcPr>
                  <w:tcW w:w="824" w:type="dxa"/>
                  <w:vMerge w:val="restart"/>
                  <w:vAlign w:val="center"/>
                </w:tcPr>
                <w:p w14:paraId="726223C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面源宽度/m</w:t>
                  </w:r>
                </w:p>
              </w:tc>
              <w:tc>
                <w:tcPr>
                  <w:tcW w:w="824" w:type="dxa"/>
                  <w:vMerge w:val="restart"/>
                  <w:vAlign w:val="center"/>
                </w:tcPr>
                <w:p w14:paraId="3A040667">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面源有效高度/m</w:t>
                  </w:r>
                </w:p>
              </w:tc>
              <w:tc>
                <w:tcPr>
                  <w:tcW w:w="824" w:type="dxa"/>
                  <w:vMerge w:val="restart"/>
                  <w:vAlign w:val="center"/>
                </w:tcPr>
                <w:p w14:paraId="4776675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年排放小时数/h</w:t>
                  </w:r>
                </w:p>
              </w:tc>
              <w:tc>
                <w:tcPr>
                  <w:tcW w:w="824" w:type="dxa"/>
                  <w:vMerge w:val="restart"/>
                  <w:vAlign w:val="center"/>
                </w:tcPr>
                <w:p w14:paraId="24688C11">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排放</w:t>
                  </w:r>
                </w:p>
                <w:p w14:paraId="59D238D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工况</w:t>
                  </w:r>
                </w:p>
              </w:tc>
              <w:tc>
                <w:tcPr>
                  <w:tcW w:w="737" w:type="dxa"/>
                  <w:vMerge w:val="restart"/>
                  <w:vAlign w:val="center"/>
                </w:tcPr>
                <w:p w14:paraId="70DCB4E6">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污染物</w:t>
                  </w:r>
                </w:p>
              </w:tc>
              <w:tc>
                <w:tcPr>
                  <w:tcW w:w="911" w:type="dxa"/>
                  <w:vMerge w:val="restart"/>
                  <w:vAlign w:val="center"/>
                </w:tcPr>
                <w:p w14:paraId="5E14DF5A">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污染物排放速率</w:t>
                  </w:r>
                  <w:r>
                    <w:rPr>
                      <w:rFonts w:eastAsiaTheme="minorEastAsia"/>
                      <w:color w:val="000000" w:themeColor="text1"/>
                      <w:szCs w:val="21"/>
                      <w14:textFill>
                        <w14:solidFill>
                          <w14:schemeClr w14:val="tx1"/>
                        </w14:solidFill>
                      </w14:textFill>
                    </w:rPr>
                    <w:t>kg/h</w:t>
                  </w:r>
                </w:p>
              </w:tc>
            </w:tr>
            <w:tr w14:paraId="4584A23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Merge w:val="continue"/>
                  <w:vAlign w:val="center"/>
                </w:tcPr>
                <w:p w14:paraId="07680CD2">
                  <w:pPr>
                    <w:widowControl/>
                    <w:rPr>
                      <w:rFonts w:eastAsiaTheme="minorEastAsia"/>
                      <w:color w:val="000000" w:themeColor="text1"/>
                      <w:kern w:val="0"/>
                      <w:szCs w:val="21"/>
                      <w14:textFill>
                        <w14:solidFill>
                          <w14:schemeClr w14:val="tx1"/>
                        </w14:solidFill>
                      </w14:textFill>
                    </w:rPr>
                  </w:pPr>
                </w:p>
              </w:tc>
              <w:tc>
                <w:tcPr>
                  <w:tcW w:w="823" w:type="dxa"/>
                  <w:vAlign w:val="center"/>
                </w:tcPr>
                <w:p w14:paraId="3DC08A03">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X</w:t>
                  </w:r>
                </w:p>
              </w:tc>
              <w:tc>
                <w:tcPr>
                  <w:tcW w:w="823" w:type="dxa"/>
                  <w:vAlign w:val="center"/>
                </w:tcPr>
                <w:p w14:paraId="1E7B77F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Y</w:t>
                  </w:r>
                </w:p>
              </w:tc>
              <w:tc>
                <w:tcPr>
                  <w:tcW w:w="823" w:type="dxa"/>
                  <w:vMerge w:val="continue"/>
                  <w:vAlign w:val="center"/>
                </w:tcPr>
                <w:p w14:paraId="01B7427D">
                  <w:pPr>
                    <w:widowControl/>
                    <w:rPr>
                      <w:rFonts w:eastAsiaTheme="minorEastAsia"/>
                      <w:color w:val="000000" w:themeColor="text1"/>
                      <w:kern w:val="0"/>
                      <w:szCs w:val="21"/>
                      <w14:textFill>
                        <w14:solidFill>
                          <w14:schemeClr w14:val="tx1"/>
                        </w14:solidFill>
                      </w14:textFill>
                    </w:rPr>
                  </w:pPr>
                </w:p>
              </w:tc>
              <w:tc>
                <w:tcPr>
                  <w:tcW w:w="824" w:type="dxa"/>
                  <w:vMerge w:val="continue"/>
                  <w:vAlign w:val="center"/>
                </w:tcPr>
                <w:p w14:paraId="6E7E6882">
                  <w:pPr>
                    <w:widowControl/>
                    <w:rPr>
                      <w:rFonts w:eastAsiaTheme="minorEastAsia"/>
                      <w:color w:val="000000" w:themeColor="text1"/>
                      <w:kern w:val="0"/>
                      <w:szCs w:val="21"/>
                      <w14:textFill>
                        <w14:solidFill>
                          <w14:schemeClr w14:val="tx1"/>
                        </w14:solidFill>
                      </w14:textFill>
                    </w:rPr>
                  </w:pPr>
                </w:p>
              </w:tc>
              <w:tc>
                <w:tcPr>
                  <w:tcW w:w="824" w:type="dxa"/>
                  <w:vMerge w:val="continue"/>
                  <w:vAlign w:val="center"/>
                </w:tcPr>
                <w:p w14:paraId="027C3ECA">
                  <w:pPr>
                    <w:widowControl/>
                    <w:rPr>
                      <w:rFonts w:eastAsiaTheme="minorEastAsia"/>
                      <w:color w:val="000000" w:themeColor="text1"/>
                      <w:kern w:val="0"/>
                      <w:szCs w:val="21"/>
                      <w14:textFill>
                        <w14:solidFill>
                          <w14:schemeClr w14:val="tx1"/>
                        </w14:solidFill>
                      </w14:textFill>
                    </w:rPr>
                  </w:pPr>
                </w:p>
              </w:tc>
              <w:tc>
                <w:tcPr>
                  <w:tcW w:w="824" w:type="dxa"/>
                  <w:vMerge w:val="continue"/>
                  <w:vAlign w:val="center"/>
                </w:tcPr>
                <w:p w14:paraId="738183A7">
                  <w:pPr>
                    <w:widowControl/>
                    <w:rPr>
                      <w:rFonts w:eastAsiaTheme="minorEastAsia"/>
                      <w:color w:val="000000" w:themeColor="text1"/>
                      <w:kern w:val="0"/>
                      <w:szCs w:val="21"/>
                      <w14:textFill>
                        <w14:solidFill>
                          <w14:schemeClr w14:val="tx1"/>
                        </w14:solidFill>
                      </w14:textFill>
                    </w:rPr>
                  </w:pPr>
                </w:p>
              </w:tc>
              <w:tc>
                <w:tcPr>
                  <w:tcW w:w="824" w:type="dxa"/>
                  <w:vMerge w:val="continue"/>
                  <w:vAlign w:val="center"/>
                </w:tcPr>
                <w:p w14:paraId="4AA48752">
                  <w:pPr>
                    <w:widowControl/>
                    <w:rPr>
                      <w:rFonts w:eastAsiaTheme="minorEastAsia"/>
                      <w:color w:val="000000" w:themeColor="text1"/>
                      <w:kern w:val="0"/>
                      <w:szCs w:val="21"/>
                      <w14:textFill>
                        <w14:solidFill>
                          <w14:schemeClr w14:val="tx1"/>
                        </w14:solidFill>
                      </w14:textFill>
                    </w:rPr>
                  </w:pPr>
                </w:p>
              </w:tc>
              <w:tc>
                <w:tcPr>
                  <w:tcW w:w="737" w:type="dxa"/>
                  <w:vMerge w:val="continue"/>
                  <w:vAlign w:val="center"/>
                </w:tcPr>
                <w:p w14:paraId="24E823B1">
                  <w:pPr>
                    <w:widowControl/>
                    <w:rPr>
                      <w:rFonts w:eastAsiaTheme="minorEastAsia"/>
                      <w:color w:val="000000" w:themeColor="text1"/>
                      <w:kern w:val="0"/>
                      <w:szCs w:val="21"/>
                      <w14:textFill>
                        <w14:solidFill>
                          <w14:schemeClr w14:val="tx1"/>
                        </w14:solidFill>
                      </w14:textFill>
                    </w:rPr>
                  </w:pPr>
                </w:p>
              </w:tc>
              <w:tc>
                <w:tcPr>
                  <w:tcW w:w="911" w:type="dxa"/>
                  <w:vMerge w:val="continue"/>
                  <w:vAlign w:val="center"/>
                </w:tcPr>
                <w:p w14:paraId="78ADFB0A">
                  <w:pPr>
                    <w:widowControl/>
                    <w:rPr>
                      <w:rFonts w:eastAsiaTheme="minorEastAsia"/>
                      <w:color w:val="000000" w:themeColor="text1"/>
                      <w:kern w:val="0"/>
                      <w:szCs w:val="21"/>
                      <w14:textFill>
                        <w14:solidFill>
                          <w14:schemeClr w14:val="tx1"/>
                        </w14:solidFill>
                      </w14:textFill>
                    </w:rPr>
                  </w:pPr>
                </w:p>
              </w:tc>
            </w:tr>
            <w:tr w14:paraId="2922C8A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512F38">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szCs w:val="21"/>
                      <w14:textFill>
                        <w14:solidFill>
                          <w14:schemeClr w14:val="tx1"/>
                        </w14:solidFill>
                      </w14:textFill>
                    </w:rPr>
                    <w:t>原料库</w:t>
                  </w:r>
                </w:p>
              </w:tc>
              <w:tc>
                <w:tcPr>
                  <w:tcW w:w="823" w:type="dxa"/>
                  <w:vAlign w:val="center"/>
                </w:tcPr>
                <w:p w14:paraId="218D3324">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-6</w:t>
                  </w:r>
                </w:p>
              </w:tc>
              <w:tc>
                <w:tcPr>
                  <w:tcW w:w="823" w:type="dxa"/>
                  <w:vAlign w:val="center"/>
                </w:tcPr>
                <w:p w14:paraId="40EF9D9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-32</w:t>
                  </w:r>
                </w:p>
              </w:tc>
              <w:tc>
                <w:tcPr>
                  <w:tcW w:w="823" w:type="dxa"/>
                  <w:vAlign w:val="center"/>
                </w:tcPr>
                <w:p w14:paraId="437E1F9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24" w:type="dxa"/>
                  <w:vAlign w:val="center"/>
                </w:tcPr>
                <w:p w14:paraId="588FE835">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12.5</w:t>
                  </w:r>
                </w:p>
              </w:tc>
              <w:tc>
                <w:tcPr>
                  <w:tcW w:w="824" w:type="dxa"/>
                  <w:vAlign w:val="center"/>
                </w:tcPr>
                <w:p w14:paraId="23CC241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10</w:t>
                  </w:r>
                </w:p>
              </w:tc>
              <w:tc>
                <w:tcPr>
                  <w:tcW w:w="824" w:type="dxa"/>
                  <w:vAlign w:val="center"/>
                </w:tcPr>
                <w:p w14:paraId="6991D408">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2880</w:t>
                  </w:r>
                </w:p>
              </w:tc>
              <w:tc>
                <w:tcPr>
                  <w:tcW w:w="824" w:type="dxa"/>
                  <w:vAlign w:val="center"/>
                </w:tcPr>
                <w:p w14:paraId="1A8027E7">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正常</w:t>
                  </w:r>
                </w:p>
                <w:p w14:paraId="4187791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工况</w:t>
                  </w:r>
                </w:p>
              </w:tc>
              <w:tc>
                <w:tcPr>
                  <w:tcW w:w="737" w:type="dxa"/>
                  <w:vAlign w:val="center"/>
                </w:tcPr>
                <w:p w14:paraId="053D860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颗粒物</w:t>
                  </w:r>
                </w:p>
              </w:tc>
              <w:tc>
                <w:tcPr>
                  <w:tcW w:w="911" w:type="dxa"/>
                  <w:vAlign w:val="center"/>
                </w:tcPr>
                <w:p w14:paraId="244C95F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 xml:space="preserve">0.1624 </w:t>
                  </w:r>
                </w:p>
              </w:tc>
            </w:tr>
            <w:tr w14:paraId="601EF31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6787BEC">
                  <w:pPr>
                    <w:widowControl/>
                    <w:jc w:val="center"/>
                    <w:rPr>
                      <w:rFonts w:eastAsiaTheme="minorEastAsia"/>
                      <w:color w:val="000000" w:themeColor="text1"/>
                      <w:kern w:val="0"/>
                      <w:szCs w:val="21"/>
                      <w14:textFill>
                        <w14:solidFill>
                          <w14:schemeClr w14:val="tx1"/>
                        </w14:solidFill>
                      </w14:textFill>
                    </w:rPr>
                  </w:pPr>
                  <w:r>
                    <w:rPr>
                      <w:rFonts w:eastAsiaTheme="minorEastAsia"/>
                      <w:color w:val="0000FF"/>
                      <w:szCs w:val="21"/>
                    </w:rPr>
                    <w:t>烘干</w:t>
                  </w:r>
                  <w:r>
                    <w:rPr>
                      <w:rFonts w:eastAsiaTheme="minorEastAsia"/>
                      <w:color w:val="000000" w:themeColor="text1"/>
                      <w:szCs w:val="21"/>
                      <w14:textFill>
                        <w14:solidFill>
                          <w14:schemeClr w14:val="tx1"/>
                        </w14:solidFill>
                      </w14:textFill>
                    </w:rPr>
                    <w:t>车间（烘干车间入口外）</w:t>
                  </w:r>
                </w:p>
              </w:tc>
              <w:tc>
                <w:tcPr>
                  <w:tcW w:w="823" w:type="dxa"/>
                  <w:vAlign w:val="center"/>
                </w:tcPr>
                <w:p w14:paraId="4736CAA0">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11</w:t>
                  </w:r>
                </w:p>
              </w:tc>
              <w:tc>
                <w:tcPr>
                  <w:tcW w:w="823" w:type="dxa"/>
                  <w:vAlign w:val="center"/>
                </w:tcPr>
                <w:p w14:paraId="1C083751">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w:t>
                  </w:r>
                </w:p>
              </w:tc>
              <w:tc>
                <w:tcPr>
                  <w:tcW w:w="823" w:type="dxa"/>
                  <w:vAlign w:val="center"/>
                </w:tcPr>
                <w:p w14:paraId="023ED414">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11</w:t>
                  </w:r>
                </w:p>
              </w:tc>
              <w:tc>
                <w:tcPr>
                  <w:tcW w:w="824" w:type="dxa"/>
                  <w:vAlign w:val="center"/>
                </w:tcPr>
                <w:p w14:paraId="3F5AB8D7">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10</w:t>
                  </w:r>
                </w:p>
              </w:tc>
              <w:tc>
                <w:tcPr>
                  <w:tcW w:w="824" w:type="dxa"/>
                  <w:vAlign w:val="center"/>
                </w:tcPr>
                <w:p w14:paraId="1671E514">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10</w:t>
                  </w:r>
                </w:p>
              </w:tc>
              <w:tc>
                <w:tcPr>
                  <w:tcW w:w="824" w:type="dxa"/>
                  <w:vAlign w:val="center"/>
                </w:tcPr>
                <w:p w14:paraId="2A6DF9F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2880</w:t>
                  </w:r>
                </w:p>
              </w:tc>
              <w:tc>
                <w:tcPr>
                  <w:tcW w:w="824" w:type="dxa"/>
                  <w:vAlign w:val="center"/>
                </w:tcPr>
                <w:p w14:paraId="581C7B4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正常</w:t>
                  </w:r>
                </w:p>
                <w:p w14:paraId="57B27C94">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工况</w:t>
                  </w:r>
                </w:p>
              </w:tc>
              <w:tc>
                <w:tcPr>
                  <w:tcW w:w="737" w:type="dxa"/>
                  <w:vAlign w:val="center"/>
                </w:tcPr>
                <w:p w14:paraId="75622A88">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颗粒物</w:t>
                  </w:r>
                </w:p>
              </w:tc>
              <w:tc>
                <w:tcPr>
                  <w:tcW w:w="911" w:type="dxa"/>
                  <w:vAlign w:val="center"/>
                </w:tcPr>
                <w:p w14:paraId="52068B68">
                  <w:pPr>
                    <w:widowControl/>
                    <w:jc w:val="center"/>
                    <w:rPr>
                      <w:rFonts w:eastAsiaTheme="minorEastAsia"/>
                      <w:color w:val="0000FF"/>
                      <w:kern w:val="0"/>
                      <w:szCs w:val="21"/>
                    </w:rPr>
                  </w:pPr>
                  <w:r>
                    <w:rPr>
                      <w:rFonts w:eastAsiaTheme="minorEastAsia"/>
                      <w:color w:val="0000FF"/>
                      <w:sz w:val="22"/>
                      <w:szCs w:val="22"/>
                    </w:rPr>
                    <w:t xml:space="preserve">0.0605 </w:t>
                  </w:r>
                </w:p>
              </w:tc>
            </w:tr>
            <w:tr w14:paraId="0087C81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E6193AD">
                  <w:pPr>
                    <w:widowControl/>
                    <w:jc w:val="center"/>
                    <w:rPr>
                      <w:rFonts w:eastAsiaTheme="minorEastAsia"/>
                      <w:color w:val="0000FF"/>
                      <w:szCs w:val="21"/>
                    </w:rPr>
                  </w:pPr>
                  <w:r>
                    <w:rPr>
                      <w:rFonts w:eastAsiaTheme="minorEastAsia"/>
                      <w:color w:val="0000FF"/>
                      <w:szCs w:val="21"/>
                    </w:rPr>
                    <w:t>生产车间</w:t>
                  </w:r>
                </w:p>
              </w:tc>
              <w:tc>
                <w:tcPr>
                  <w:tcW w:w="823" w:type="dxa"/>
                  <w:vAlign w:val="center"/>
                </w:tcPr>
                <w:p w14:paraId="206B1C28">
                  <w:pPr>
                    <w:widowControl/>
                    <w:jc w:val="center"/>
                    <w:rPr>
                      <w:rFonts w:eastAsiaTheme="minorEastAsia"/>
                      <w:color w:val="0000FF"/>
                      <w:kern w:val="0"/>
                      <w:szCs w:val="21"/>
                    </w:rPr>
                  </w:pPr>
                  <w:r>
                    <w:rPr>
                      <w:rFonts w:eastAsiaTheme="minorEastAsia"/>
                      <w:color w:val="0000FF"/>
                      <w:kern w:val="0"/>
                      <w:szCs w:val="21"/>
                    </w:rPr>
                    <w:t>5</w:t>
                  </w:r>
                </w:p>
              </w:tc>
              <w:tc>
                <w:tcPr>
                  <w:tcW w:w="823" w:type="dxa"/>
                  <w:vAlign w:val="center"/>
                </w:tcPr>
                <w:p w14:paraId="4823E8DF">
                  <w:pPr>
                    <w:widowControl/>
                    <w:jc w:val="center"/>
                    <w:rPr>
                      <w:rFonts w:eastAsiaTheme="minorEastAsia"/>
                      <w:color w:val="0000FF"/>
                      <w:kern w:val="0"/>
                      <w:szCs w:val="21"/>
                    </w:rPr>
                  </w:pPr>
                  <w:r>
                    <w:rPr>
                      <w:rFonts w:eastAsiaTheme="minorEastAsia"/>
                      <w:color w:val="0000FF"/>
                      <w:kern w:val="0"/>
                      <w:szCs w:val="21"/>
                    </w:rPr>
                    <w:t>2</w:t>
                  </w:r>
                </w:p>
              </w:tc>
              <w:tc>
                <w:tcPr>
                  <w:tcW w:w="823" w:type="dxa"/>
                  <w:vAlign w:val="center"/>
                </w:tcPr>
                <w:p w14:paraId="24A991A6">
                  <w:pPr>
                    <w:widowControl/>
                    <w:jc w:val="center"/>
                    <w:rPr>
                      <w:rFonts w:eastAsiaTheme="minorEastAsia"/>
                      <w:color w:val="0000FF"/>
                      <w:kern w:val="0"/>
                      <w:szCs w:val="21"/>
                    </w:rPr>
                  </w:pPr>
                  <w:r>
                    <w:rPr>
                      <w:rFonts w:eastAsiaTheme="minorEastAsia"/>
                      <w:color w:val="0000FF"/>
                      <w:kern w:val="0"/>
                      <w:szCs w:val="21"/>
                    </w:rPr>
                    <w:t>11</w:t>
                  </w:r>
                </w:p>
              </w:tc>
              <w:tc>
                <w:tcPr>
                  <w:tcW w:w="824" w:type="dxa"/>
                  <w:vAlign w:val="center"/>
                </w:tcPr>
                <w:p w14:paraId="18455098">
                  <w:pPr>
                    <w:widowControl/>
                    <w:jc w:val="center"/>
                    <w:rPr>
                      <w:rFonts w:eastAsiaTheme="minorEastAsia"/>
                      <w:color w:val="0000FF"/>
                      <w:kern w:val="0"/>
                      <w:szCs w:val="21"/>
                    </w:rPr>
                  </w:pPr>
                  <w:r>
                    <w:rPr>
                      <w:rFonts w:eastAsiaTheme="minorEastAsia"/>
                      <w:color w:val="0000FF"/>
                      <w:kern w:val="0"/>
                      <w:szCs w:val="21"/>
                    </w:rPr>
                    <w:t>10</w:t>
                  </w:r>
                </w:p>
              </w:tc>
              <w:tc>
                <w:tcPr>
                  <w:tcW w:w="824" w:type="dxa"/>
                  <w:vAlign w:val="center"/>
                </w:tcPr>
                <w:p w14:paraId="36318F0B">
                  <w:pPr>
                    <w:widowControl/>
                    <w:jc w:val="center"/>
                    <w:rPr>
                      <w:rFonts w:eastAsiaTheme="minorEastAsia"/>
                      <w:color w:val="0000FF"/>
                      <w:kern w:val="0"/>
                      <w:szCs w:val="21"/>
                    </w:rPr>
                  </w:pPr>
                  <w:r>
                    <w:rPr>
                      <w:rFonts w:eastAsiaTheme="minorEastAsia"/>
                      <w:color w:val="0000FF"/>
                      <w:kern w:val="0"/>
                      <w:szCs w:val="21"/>
                    </w:rPr>
                    <w:t>10</w:t>
                  </w:r>
                </w:p>
              </w:tc>
              <w:tc>
                <w:tcPr>
                  <w:tcW w:w="824" w:type="dxa"/>
                  <w:vAlign w:val="center"/>
                </w:tcPr>
                <w:p w14:paraId="264958D6">
                  <w:pPr>
                    <w:widowControl/>
                    <w:jc w:val="center"/>
                    <w:rPr>
                      <w:rFonts w:eastAsiaTheme="minorEastAsia"/>
                      <w:color w:val="0000FF"/>
                      <w:kern w:val="0"/>
                      <w:szCs w:val="21"/>
                    </w:rPr>
                  </w:pPr>
                  <w:r>
                    <w:rPr>
                      <w:rFonts w:eastAsiaTheme="minorEastAsia"/>
                      <w:color w:val="0000FF"/>
                      <w:kern w:val="0"/>
                      <w:szCs w:val="21"/>
                    </w:rPr>
                    <w:t>2880</w:t>
                  </w:r>
                </w:p>
              </w:tc>
              <w:tc>
                <w:tcPr>
                  <w:tcW w:w="824" w:type="dxa"/>
                  <w:vAlign w:val="center"/>
                </w:tcPr>
                <w:p w14:paraId="66E1DA4A">
                  <w:pPr>
                    <w:widowControl/>
                    <w:jc w:val="center"/>
                    <w:rPr>
                      <w:rFonts w:eastAsiaTheme="minorEastAsia"/>
                      <w:color w:val="0000FF"/>
                      <w:kern w:val="0"/>
                      <w:szCs w:val="21"/>
                    </w:rPr>
                  </w:pPr>
                  <w:r>
                    <w:rPr>
                      <w:rFonts w:eastAsiaTheme="minorEastAsia"/>
                      <w:color w:val="0000FF"/>
                      <w:kern w:val="0"/>
                      <w:szCs w:val="21"/>
                    </w:rPr>
                    <w:t>正常</w:t>
                  </w:r>
                </w:p>
                <w:p w14:paraId="01802CD7">
                  <w:pPr>
                    <w:widowControl/>
                    <w:jc w:val="center"/>
                    <w:rPr>
                      <w:rFonts w:eastAsiaTheme="minorEastAsia"/>
                      <w:color w:val="0000FF"/>
                      <w:kern w:val="0"/>
                      <w:szCs w:val="21"/>
                    </w:rPr>
                  </w:pPr>
                  <w:r>
                    <w:rPr>
                      <w:rFonts w:eastAsiaTheme="minorEastAsia"/>
                      <w:color w:val="0000FF"/>
                      <w:kern w:val="0"/>
                      <w:szCs w:val="21"/>
                    </w:rPr>
                    <w:t>工况</w:t>
                  </w:r>
                </w:p>
              </w:tc>
              <w:tc>
                <w:tcPr>
                  <w:tcW w:w="737" w:type="dxa"/>
                  <w:vAlign w:val="center"/>
                </w:tcPr>
                <w:p w14:paraId="2D44F36C">
                  <w:pPr>
                    <w:widowControl/>
                    <w:jc w:val="center"/>
                    <w:rPr>
                      <w:rFonts w:eastAsiaTheme="minorEastAsia"/>
                      <w:color w:val="0000FF"/>
                      <w:kern w:val="0"/>
                      <w:szCs w:val="21"/>
                    </w:rPr>
                  </w:pPr>
                  <w:r>
                    <w:rPr>
                      <w:rFonts w:eastAsiaTheme="minorEastAsia"/>
                      <w:color w:val="0000FF"/>
                      <w:kern w:val="0"/>
                      <w:szCs w:val="21"/>
                    </w:rPr>
                    <w:t>颗粒物</w:t>
                  </w:r>
                </w:p>
              </w:tc>
              <w:tc>
                <w:tcPr>
                  <w:tcW w:w="911" w:type="dxa"/>
                  <w:vAlign w:val="center"/>
                </w:tcPr>
                <w:p w14:paraId="493B3C5E">
                  <w:pPr>
                    <w:widowControl/>
                    <w:jc w:val="center"/>
                    <w:rPr>
                      <w:rFonts w:eastAsiaTheme="minorEastAsia"/>
                      <w:color w:val="0000FF"/>
                      <w:sz w:val="22"/>
                      <w:szCs w:val="22"/>
                    </w:rPr>
                  </w:pPr>
                  <w:r>
                    <w:rPr>
                      <w:rFonts w:eastAsiaTheme="minorEastAsia"/>
                      <w:color w:val="0000FF"/>
                      <w:sz w:val="22"/>
                      <w:szCs w:val="22"/>
                    </w:rPr>
                    <w:t>0.4106</w:t>
                  </w:r>
                </w:p>
              </w:tc>
            </w:tr>
            <w:tr w14:paraId="1C9C4C1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413E5B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szCs w:val="21"/>
                      <w14:textFill>
                        <w14:solidFill>
                          <w14:schemeClr w14:val="tx1"/>
                        </w14:solidFill>
                      </w14:textFill>
                    </w:rPr>
                    <w:t>产品库</w:t>
                  </w:r>
                </w:p>
              </w:tc>
              <w:tc>
                <w:tcPr>
                  <w:tcW w:w="823" w:type="dxa"/>
                  <w:vAlign w:val="center"/>
                </w:tcPr>
                <w:p w14:paraId="3A612CCC">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w:t>
                  </w:r>
                </w:p>
              </w:tc>
              <w:tc>
                <w:tcPr>
                  <w:tcW w:w="823" w:type="dxa"/>
                  <w:vAlign w:val="center"/>
                </w:tcPr>
                <w:p w14:paraId="3D0068D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-45</w:t>
                  </w:r>
                </w:p>
              </w:tc>
              <w:tc>
                <w:tcPr>
                  <w:tcW w:w="823" w:type="dxa"/>
                  <w:vAlign w:val="center"/>
                </w:tcPr>
                <w:p w14:paraId="53C32565">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24" w:type="dxa"/>
                  <w:vAlign w:val="center"/>
                </w:tcPr>
                <w:p w14:paraId="007E885C">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10</w:t>
                  </w:r>
                </w:p>
              </w:tc>
              <w:tc>
                <w:tcPr>
                  <w:tcW w:w="824" w:type="dxa"/>
                  <w:vAlign w:val="center"/>
                </w:tcPr>
                <w:p w14:paraId="1141DDC8">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10</w:t>
                  </w:r>
                </w:p>
              </w:tc>
              <w:tc>
                <w:tcPr>
                  <w:tcW w:w="824" w:type="dxa"/>
                  <w:vAlign w:val="center"/>
                </w:tcPr>
                <w:p w14:paraId="26E60984">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2880</w:t>
                  </w:r>
                </w:p>
              </w:tc>
              <w:tc>
                <w:tcPr>
                  <w:tcW w:w="824" w:type="dxa"/>
                  <w:vAlign w:val="center"/>
                </w:tcPr>
                <w:p w14:paraId="6207D35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正常</w:t>
                  </w:r>
                </w:p>
                <w:p w14:paraId="6143DCFA">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工况</w:t>
                  </w:r>
                </w:p>
              </w:tc>
              <w:tc>
                <w:tcPr>
                  <w:tcW w:w="737" w:type="dxa"/>
                  <w:vAlign w:val="center"/>
                </w:tcPr>
                <w:p w14:paraId="03814AA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颗粒物</w:t>
                  </w:r>
                </w:p>
              </w:tc>
              <w:tc>
                <w:tcPr>
                  <w:tcW w:w="911" w:type="dxa"/>
                  <w:vAlign w:val="center"/>
                </w:tcPr>
                <w:p w14:paraId="121A78E3">
                  <w:pPr>
                    <w:widowControl/>
                    <w:jc w:val="center"/>
                    <w:rPr>
                      <w:rFonts w:eastAsiaTheme="minorEastAsia"/>
                      <w:color w:val="000000" w:themeColor="text1"/>
                      <w:kern w:val="0"/>
                      <w:szCs w:val="21"/>
                      <w14:textFill>
                        <w14:solidFill>
                          <w14:schemeClr w14:val="tx1"/>
                        </w14:solidFill>
                      </w14:textFill>
                    </w:rPr>
                  </w:pPr>
                  <w:r>
                    <w:rPr>
                      <w:rFonts w:eastAsiaTheme="minorEastAsia"/>
                      <w:color w:val="0000FF"/>
                      <w:sz w:val="22"/>
                      <w:szCs w:val="22"/>
                    </w:rPr>
                    <w:t>0.1832</w:t>
                  </w:r>
                </w:p>
              </w:tc>
            </w:tr>
            <w:tr w14:paraId="155C25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236" w:type="dxa"/>
                  <w:gridSpan w:val="10"/>
                  <w:vAlign w:val="center"/>
                </w:tcPr>
                <w:p w14:paraId="332108D2">
                  <w:pP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注：以生产车间西南角为坐标原点</w:t>
                  </w:r>
                  <w:r>
                    <w:rPr>
                      <w:rFonts w:eastAsiaTheme="minorEastAsia"/>
                      <w:color w:val="000000" w:themeColor="text1"/>
                      <w:kern w:val="0"/>
                      <w:szCs w:val="21"/>
                      <w14:textFill>
                        <w14:solidFill>
                          <w14:schemeClr w14:val="tx1"/>
                        </w14:solidFill>
                      </w14:textFill>
                    </w:rPr>
                    <w:t>（0，0）</w:t>
                  </w:r>
                  <w:r>
                    <w:rPr>
                      <w:rFonts w:eastAsiaTheme="minorEastAsia"/>
                      <w:color w:val="000000" w:themeColor="text1"/>
                      <w:szCs w:val="21"/>
                      <w14:textFill>
                        <w14:solidFill>
                          <w14:schemeClr w14:val="tx1"/>
                        </w14:solidFill>
                      </w14:textFill>
                    </w:rPr>
                    <w:t>。</w:t>
                  </w:r>
                </w:p>
              </w:tc>
            </w:tr>
          </w:tbl>
          <w:p w14:paraId="0B1E18F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本评价采用AERSCREEN模式对项目废气无组织排放情况进行估算，下风向最大浓度分别为：原料库0.2992mg/m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；生产车间0.5157mg/m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w:t>
            </w:r>
            <w:r>
              <w:rPr>
                <w:rFonts w:eastAsiaTheme="minorEastAsia"/>
                <w:color w:val="0000FF"/>
              </w:rPr>
              <w:t>烘干车间0.0642mg/m</w:t>
            </w:r>
            <w:r>
              <w:rPr>
                <w:rFonts w:eastAsiaTheme="minorEastAsia"/>
                <w:color w:val="0000FF"/>
                <w:vertAlign w:val="superscript"/>
              </w:rPr>
              <w:t>3</w:t>
            </w:r>
            <w:r>
              <w:rPr>
                <w:rFonts w:eastAsiaTheme="minorEastAsia"/>
                <w:color w:val="0000FF"/>
              </w:rPr>
              <w:t>；</w:t>
            </w:r>
            <w:r>
              <w:rPr>
                <w:rFonts w:eastAsiaTheme="minorEastAsia"/>
                <w:color w:val="000000" w:themeColor="text1"/>
                <w14:textFill>
                  <w14:solidFill>
                    <w14:schemeClr w14:val="tx1"/>
                  </w14:solidFill>
                </w14:textFill>
              </w:rPr>
              <w:t>产品库0.1044mg/m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。本项目各无组织面源颗粒物周界外浓度最高点均满足《大气污染物综合排放标准》（GB 16297-1996）中表2标准限值1.0mg/m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的要求。生产车间无组织面源颗粒物周界外浓度最高点满足</w:t>
            </w:r>
            <w:r>
              <w:rPr>
                <w:rFonts w:eastAsiaTheme="minorEastAsia"/>
                <w:color w:val="000000" w:themeColor="text1"/>
                <w:szCs w:val="21"/>
                <w14:textFill>
                  <w14:solidFill>
                    <w14:schemeClr w14:val="tx1"/>
                  </w14:solidFill>
                </w14:textFill>
              </w:rPr>
              <w:t>《工业炉窑大气污染物排放标准》（GB 9078-1996）</w:t>
            </w:r>
            <w:r>
              <w:rPr>
                <w:rFonts w:eastAsiaTheme="minorEastAsia"/>
                <w:color w:val="000000" w:themeColor="text1"/>
                <w14:textFill>
                  <w14:solidFill>
                    <w14:schemeClr w14:val="tx1"/>
                  </w14:solidFill>
                </w14:textFill>
              </w:rPr>
              <w:t>中5mg/m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的要求</w:t>
            </w:r>
          </w:p>
          <w:p w14:paraId="1CB0A1A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5.排放口基本情况</w:t>
            </w:r>
          </w:p>
          <w:p w14:paraId="3F359EE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本项目废气共设置1根高度均为15m的排气筒，排放口设置情况详见下表。</w:t>
            </w:r>
          </w:p>
          <w:p w14:paraId="071D5EE8">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表4-11排放口设置情况一览表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80"/>
              <w:gridCol w:w="1134"/>
              <w:gridCol w:w="1134"/>
              <w:gridCol w:w="1134"/>
              <w:gridCol w:w="992"/>
              <w:gridCol w:w="1134"/>
              <w:gridCol w:w="1754"/>
            </w:tblGrid>
            <w:tr w14:paraId="19A60B1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1080" w:type="dxa"/>
                  <w:vAlign w:val="center"/>
                </w:tcPr>
                <w:p w14:paraId="0CCEA81A">
                  <w:pPr>
                    <w:pStyle w:val="48"/>
                  </w:pPr>
                  <w:r>
                    <w:t>排放口编号</w:t>
                  </w:r>
                </w:p>
              </w:tc>
              <w:tc>
                <w:tcPr>
                  <w:tcW w:w="1134" w:type="dxa"/>
                  <w:vAlign w:val="center"/>
                </w:tcPr>
                <w:p w14:paraId="6F139B4D">
                  <w:pPr>
                    <w:pStyle w:val="48"/>
                  </w:pPr>
                  <w:r>
                    <w:t>排放口名称</w:t>
                  </w:r>
                </w:p>
              </w:tc>
              <w:tc>
                <w:tcPr>
                  <w:tcW w:w="1134" w:type="dxa"/>
                  <w:vAlign w:val="center"/>
                </w:tcPr>
                <w:p w14:paraId="5E39B91B">
                  <w:pPr>
                    <w:pStyle w:val="48"/>
                  </w:pPr>
                  <w:r>
                    <w:t>排气筒高度/m</w:t>
                  </w:r>
                </w:p>
              </w:tc>
              <w:tc>
                <w:tcPr>
                  <w:tcW w:w="1134" w:type="dxa"/>
                  <w:vAlign w:val="center"/>
                </w:tcPr>
                <w:p w14:paraId="677F1C72">
                  <w:pPr>
                    <w:pStyle w:val="48"/>
                  </w:pPr>
                  <w:r>
                    <w:t>排气筒内径/m</w:t>
                  </w:r>
                </w:p>
              </w:tc>
              <w:tc>
                <w:tcPr>
                  <w:tcW w:w="992" w:type="dxa"/>
                  <w:vAlign w:val="center"/>
                </w:tcPr>
                <w:p w14:paraId="127320E0">
                  <w:pPr>
                    <w:pStyle w:val="48"/>
                  </w:pPr>
                  <w:r>
                    <w:t>温度/℃</w:t>
                  </w:r>
                </w:p>
              </w:tc>
              <w:tc>
                <w:tcPr>
                  <w:tcW w:w="1134" w:type="dxa"/>
                  <w:vAlign w:val="center"/>
                </w:tcPr>
                <w:p w14:paraId="65C0F495">
                  <w:pPr>
                    <w:pStyle w:val="48"/>
                  </w:pPr>
                  <w:r>
                    <w:t>排放口类型</w:t>
                  </w:r>
                </w:p>
              </w:tc>
              <w:tc>
                <w:tcPr>
                  <w:tcW w:w="1754" w:type="dxa"/>
                  <w:vAlign w:val="center"/>
                </w:tcPr>
                <w:p w14:paraId="3673F5B6">
                  <w:pPr>
                    <w:pStyle w:val="48"/>
                  </w:pPr>
                  <w:r>
                    <w:t>地理坐标/°</w:t>
                  </w:r>
                </w:p>
              </w:tc>
            </w:tr>
            <w:tr w14:paraId="14E3D7B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80" w:type="dxa"/>
                  <w:vAlign w:val="center"/>
                </w:tcPr>
                <w:p w14:paraId="1203CE71">
                  <w:pPr>
                    <w:pStyle w:val="48"/>
                  </w:pPr>
                  <w:r>
                    <w:t>DA001</w:t>
                  </w:r>
                </w:p>
              </w:tc>
              <w:tc>
                <w:tcPr>
                  <w:tcW w:w="1134" w:type="dxa"/>
                  <w:vAlign w:val="center"/>
                </w:tcPr>
                <w:p w14:paraId="3713862A">
                  <w:pPr>
                    <w:pStyle w:val="48"/>
                  </w:pPr>
                  <w:r>
                    <w:t>废气排放口</w:t>
                  </w:r>
                </w:p>
              </w:tc>
              <w:tc>
                <w:tcPr>
                  <w:tcW w:w="1134" w:type="dxa"/>
                  <w:vAlign w:val="center"/>
                </w:tcPr>
                <w:p w14:paraId="030ECD2E">
                  <w:pPr>
                    <w:pStyle w:val="48"/>
                  </w:pPr>
                  <w:r>
                    <w:t>15</w:t>
                  </w:r>
                </w:p>
              </w:tc>
              <w:tc>
                <w:tcPr>
                  <w:tcW w:w="1134" w:type="dxa"/>
                  <w:vAlign w:val="center"/>
                </w:tcPr>
                <w:p w14:paraId="69E221F8">
                  <w:pPr>
                    <w:pStyle w:val="48"/>
                  </w:pPr>
                  <w:r>
                    <w:t>0.35</w:t>
                  </w:r>
                </w:p>
              </w:tc>
              <w:tc>
                <w:tcPr>
                  <w:tcW w:w="992" w:type="dxa"/>
                  <w:vAlign w:val="center"/>
                </w:tcPr>
                <w:p w14:paraId="233E1325">
                  <w:pPr>
                    <w:pStyle w:val="48"/>
                  </w:pPr>
                  <w:r>
                    <w:t>200</w:t>
                  </w:r>
                </w:p>
              </w:tc>
              <w:tc>
                <w:tcPr>
                  <w:tcW w:w="1134" w:type="dxa"/>
                  <w:vAlign w:val="center"/>
                </w:tcPr>
                <w:p w14:paraId="1F713A13">
                  <w:pPr>
                    <w:pStyle w:val="48"/>
                  </w:pPr>
                  <w:r>
                    <w:t>一般排放口</w:t>
                  </w:r>
                </w:p>
              </w:tc>
              <w:tc>
                <w:tcPr>
                  <w:tcW w:w="1754" w:type="dxa"/>
                  <w:vAlign w:val="center"/>
                </w:tcPr>
                <w:p w14:paraId="55CDB741">
                  <w:pPr>
                    <w:pStyle w:val="48"/>
                  </w:pPr>
                  <w:r>
                    <w:t>E：120.147438293</w:t>
                  </w:r>
                </w:p>
                <w:p w14:paraId="4FFC15F9">
                  <w:pPr>
                    <w:pStyle w:val="48"/>
                  </w:pPr>
                  <w:r>
                    <w:t>N：41.088982392</w:t>
                  </w:r>
                </w:p>
              </w:tc>
            </w:tr>
            <w:tr w14:paraId="0A79271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80" w:type="dxa"/>
                  <w:vAlign w:val="center"/>
                </w:tcPr>
                <w:p w14:paraId="03D81ED1">
                  <w:pPr>
                    <w:pStyle w:val="48"/>
                  </w:pPr>
                  <w:r>
                    <w:t>DA002</w:t>
                  </w:r>
                </w:p>
              </w:tc>
              <w:tc>
                <w:tcPr>
                  <w:tcW w:w="1134" w:type="dxa"/>
                  <w:vAlign w:val="center"/>
                </w:tcPr>
                <w:p w14:paraId="1522F166">
                  <w:pPr>
                    <w:pStyle w:val="48"/>
                  </w:pPr>
                  <w:r>
                    <w:t>投料、混料、造球、烘干卸料排放口</w:t>
                  </w:r>
                </w:p>
              </w:tc>
              <w:tc>
                <w:tcPr>
                  <w:tcW w:w="1134" w:type="dxa"/>
                  <w:vAlign w:val="center"/>
                </w:tcPr>
                <w:p w14:paraId="789395BE">
                  <w:pPr>
                    <w:pStyle w:val="48"/>
                  </w:pPr>
                  <w:r>
                    <w:t>15</w:t>
                  </w:r>
                </w:p>
              </w:tc>
              <w:tc>
                <w:tcPr>
                  <w:tcW w:w="1134" w:type="dxa"/>
                  <w:vAlign w:val="center"/>
                </w:tcPr>
                <w:p w14:paraId="50E482FF">
                  <w:pPr>
                    <w:pStyle w:val="48"/>
                  </w:pPr>
                  <w:r>
                    <w:rPr>
                      <w:color w:val="0000FF"/>
                    </w:rPr>
                    <w:t>1</w:t>
                  </w:r>
                </w:p>
              </w:tc>
              <w:tc>
                <w:tcPr>
                  <w:tcW w:w="992" w:type="dxa"/>
                  <w:vAlign w:val="center"/>
                </w:tcPr>
                <w:p w14:paraId="69825CE8">
                  <w:pPr>
                    <w:pStyle w:val="48"/>
                  </w:pPr>
                  <w:r>
                    <w:t>20（常温）</w:t>
                  </w:r>
                </w:p>
              </w:tc>
              <w:tc>
                <w:tcPr>
                  <w:tcW w:w="1134" w:type="dxa"/>
                  <w:vAlign w:val="center"/>
                </w:tcPr>
                <w:p w14:paraId="49331C2E">
                  <w:pPr>
                    <w:pStyle w:val="48"/>
                  </w:pPr>
                  <w:r>
                    <w:t>一般排放口</w:t>
                  </w:r>
                </w:p>
              </w:tc>
              <w:tc>
                <w:tcPr>
                  <w:tcW w:w="1754" w:type="dxa"/>
                  <w:vAlign w:val="center"/>
                </w:tcPr>
                <w:p w14:paraId="48CCD9C4">
                  <w:pPr>
                    <w:pStyle w:val="48"/>
                  </w:pPr>
                  <w:r>
                    <w:t>E：120.1462854</w:t>
                  </w:r>
                </w:p>
                <w:p w14:paraId="75CB11DC">
                  <w:pPr>
                    <w:pStyle w:val="48"/>
                  </w:pPr>
                  <w:r>
                    <w:t>N：41.08824756</w:t>
                  </w:r>
                </w:p>
              </w:tc>
            </w:tr>
          </w:tbl>
          <w:p w14:paraId="64DCCB02">
            <w:pPr>
              <w:pStyle w:val="65"/>
              <w:spacing w:before="156"/>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废气排放口必须符合规定的高度和按《污染源监测技术规范》便于采样、监测的要求，设置采样口，如无法满足要求的，其采样口与环境监测部门共同确认。废气排放口需设置明显标志，标志的设置应执行《环境保护图形标志排放口》（15562.1-1995）、《环境保护图形标志固体废物贮存（处置）场》（15562.2-1995）中有关规定。规范排污口的有关设置（如图形标识牌、计量装置等）均属于环保设施，排污单位必须负责日常的维护保养，任何单位和个人不得擅自拆除，如需要变更的须报环境监管部门同意并变更手续。</w:t>
            </w:r>
          </w:p>
          <w:p w14:paraId="0564F408">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6.废气处理措施可行性分析</w:t>
            </w:r>
          </w:p>
          <w:p w14:paraId="0CF2846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（1）烘干炉窑废气环保措施可行性</w:t>
            </w:r>
          </w:p>
          <w:p w14:paraId="4ECDAD9E">
            <w:pPr>
              <w:pStyle w:val="65"/>
              <w:spacing w:before="156"/>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颗粒物、二氧化硫</w:t>
            </w:r>
          </w:p>
          <w:p w14:paraId="438A769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参照《排污许可证申请与核发技术规范 工业炉窑》（HJ1121-2020）中</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表A.1废气可行技术参考表"要求进行废气污染治理设施可行性分析，具体见下表。</w:t>
            </w:r>
          </w:p>
          <w:p w14:paraId="31F36F4B">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表4-12投料废气污染治理设施可行性分析表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134"/>
              <w:gridCol w:w="1984"/>
              <w:gridCol w:w="1134"/>
              <w:gridCol w:w="992"/>
              <w:gridCol w:w="1134"/>
              <w:gridCol w:w="904"/>
            </w:tblGrid>
            <w:tr w14:paraId="30A3BB9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98" w:type="dxa"/>
                  <w:gridSpan w:val="3"/>
                  <w:tcBorders>
                    <w:top w:val="double" w:color="auto" w:sz="2" w:space="0"/>
                    <w:left w:val="nil"/>
                    <w:bottom w:val="single" w:color="auto" w:sz="4" w:space="0"/>
                    <w:right w:val="single" w:color="auto" w:sz="4" w:space="0"/>
                  </w:tcBorders>
                  <w:vAlign w:val="center"/>
                </w:tcPr>
                <w:p w14:paraId="6301692F">
                  <w:pPr>
                    <w:pStyle w:val="48"/>
                  </w:pPr>
                  <w:r>
                    <w:t>《排污许可证申请与核发技术规范 工业炉窑》（HJ1121-2020）</w:t>
                  </w:r>
                </w:p>
              </w:tc>
              <w:tc>
                <w:tcPr>
                  <w:tcW w:w="3260" w:type="dxa"/>
                  <w:gridSpan w:val="3"/>
                  <w:tcBorders>
                    <w:top w:val="double" w:color="auto" w:sz="2" w:space="0"/>
                    <w:left w:val="nil"/>
                    <w:bottom w:val="single" w:color="auto" w:sz="4" w:space="0"/>
                    <w:right w:val="single" w:color="auto" w:sz="4" w:space="0"/>
                  </w:tcBorders>
                  <w:vAlign w:val="center"/>
                </w:tcPr>
                <w:p w14:paraId="482D2137">
                  <w:pPr>
                    <w:pStyle w:val="48"/>
                  </w:pPr>
                  <w:r>
                    <w:t>本项目</w:t>
                  </w:r>
                </w:p>
              </w:tc>
              <w:tc>
                <w:tcPr>
                  <w:tcW w:w="904" w:type="dxa"/>
                  <w:vMerge w:val="restart"/>
                  <w:tcBorders>
                    <w:top w:val="double" w:color="auto" w:sz="2" w:space="0"/>
                    <w:left w:val="nil"/>
                    <w:bottom w:val="single" w:color="auto" w:sz="4" w:space="0"/>
                    <w:right w:val="nil"/>
                  </w:tcBorders>
                  <w:vAlign w:val="center"/>
                </w:tcPr>
                <w:p w14:paraId="06601F77">
                  <w:pPr>
                    <w:pStyle w:val="48"/>
                  </w:pPr>
                  <w:r>
                    <w:t>是否为可行技术</w:t>
                  </w:r>
                </w:p>
              </w:tc>
            </w:tr>
            <w:tr w14:paraId="6E1D049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80" w:type="dxa"/>
                  <w:tcBorders>
                    <w:top w:val="single" w:color="auto" w:sz="4" w:space="0"/>
                    <w:left w:val="nil"/>
                    <w:bottom w:val="single" w:color="auto" w:sz="4" w:space="0"/>
                    <w:right w:val="single" w:color="auto" w:sz="4" w:space="0"/>
                  </w:tcBorders>
                  <w:vAlign w:val="center"/>
                </w:tcPr>
                <w:p w14:paraId="1460AC3C">
                  <w:pPr>
                    <w:pStyle w:val="48"/>
                    <w:rPr>
                      <w:bCs/>
                    </w:rPr>
                  </w:pPr>
                  <w:r>
                    <w:rPr>
                      <w:bCs/>
                    </w:rPr>
                    <w:t>废气类型</w:t>
                  </w:r>
                </w:p>
              </w:tc>
              <w:tc>
                <w:tcPr>
                  <w:tcW w:w="1134" w:type="dxa"/>
                  <w:tcBorders>
                    <w:top w:val="single" w:color="auto" w:sz="4" w:space="0"/>
                    <w:left w:val="nil"/>
                    <w:bottom w:val="single" w:color="auto" w:sz="4" w:space="0"/>
                    <w:right w:val="single" w:color="auto" w:sz="4" w:space="0"/>
                  </w:tcBorders>
                  <w:vAlign w:val="center"/>
                </w:tcPr>
                <w:p w14:paraId="5BBC307E">
                  <w:pPr>
                    <w:pStyle w:val="48"/>
                  </w:pPr>
                  <w:r>
                    <w:t>污染物</w:t>
                  </w:r>
                </w:p>
              </w:tc>
              <w:tc>
                <w:tcPr>
                  <w:tcW w:w="1984" w:type="dxa"/>
                  <w:tcBorders>
                    <w:top w:val="single" w:color="auto" w:sz="4" w:space="0"/>
                    <w:left w:val="nil"/>
                    <w:bottom w:val="single" w:color="auto" w:sz="4" w:space="0"/>
                    <w:right w:val="single" w:color="auto" w:sz="4" w:space="0"/>
                  </w:tcBorders>
                  <w:vAlign w:val="center"/>
                </w:tcPr>
                <w:p w14:paraId="5D9D428A">
                  <w:pPr>
                    <w:pStyle w:val="48"/>
                  </w:pPr>
                  <w:r>
                    <w:t>可行技术</w:t>
                  </w:r>
                </w:p>
              </w:tc>
              <w:tc>
                <w:tcPr>
                  <w:tcW w:w="1134" w:type="dxa"/>
                  <w:tcBorders>
                    <w:top w:val="single" w:color="auto" w:sz="4" w:space="0"/>
                    <w:left w:val="nil"/>
                    <w:bottom w:val="single" w:color="auto" w:sz="4" w:space="0"/>
                    <w:right w:val="single" w:color="auto" w:sz="4" w:space="0"/>
                  </w:tcBorders>
                  <w:vAlign w:val="center"/>
                </w:tcPr>
                <w:p w14:paraId="750E9021">
                  <w:pPr>
                    <w:pStyle w:val="48"/>
                  </w:pPr>
                  <w:r>
                    <w:rPr>
                      <w:bCs/>
                    </w:rPr>
                    <w:t>废气类型</w:t>
                  </w:r>
                </w:p>
              </w:tc>
              <w:tc>
                <w:tcPr>
                  <w:tcW w:w="992" w:type="dxa"/>
                  <w:tcBorders>
                    <w:top w:val="single" w:color="auto" w:sz="4" w:space="0"/>
                    <w:left w:val="nil"/>
                    <w:bottom w:val="single" w:color="auto" w:sz="4" w:space="0"/>
                    <w:right w:val="single" w:color="auto" w:sz="4" w:space="0"/>
                  </w:tcBorders>
                  <w:vAlign w:val="center"/>
                </w:tcPr>
                <w:p w14:paraId="4ABC46B0">
                  <w:pPr>
                    <w:pStyle w:val="48"/>
                  </w:pPr>
                  <w:r>
                    <w:t>污染物</w:t>
                  </w:r>
                </w:p>
              </w:tc>
              <w:tc>
                <w:tcPr>
                  <w:tcW w:w="1134" w:type="dxa"/>
                  <w:tcBorders>
                    <w:top w:val="single" w:color="auto" w:sz="4" w:space="0"/>
                    <w:left w:val="nil"/>
                    <w:bottom w:val="single" w:color="auto" w:sz="4" w:space="0"/>
                    <w:right w:val="single" w:color="auto" w:sz="4" w:space="0"/>
                  </w:tcBorders>
                  <w:vAlign w:val="center"/>
                </w:tcPr>
                <w:p w14:paraId="33F09BCA">
                  <w:pPr>
                    <w:pStyle w:val="48"/>
                  </w:pPr>
                  <w:r>
                    <w:t>环保措施</w:t>
                  </w:r>
                </w:p>
              </w:tc>
              <w:tc>
                <w:tcPr>
                  <w:tcW w:w="904" w:type="dxa"/>
                  <w:vMerge w:val="continue"/>
                  <w:tcBorders>
                    <w:top w:val="double" w:color="auto" w:sz="2" w:space="0"/>
                    <w:left w:val="nil"/>
                    <w:bottom w:val="single" w:color="auto" w:sz="4" w:space="0"/>
                    <w:right w:val="nil"/>
                  </w:tcBorders>
                  <w:vAlign w:val="center"/>
                </w:tcPr>
                <w:p w14:paraId="309563A9">
                  <w:pPr>
                    <w:widowControl/>
                    <w:rPr>
                      <w:rFonts w:eastAsiaTheme="minorEastAsia"/>
                      <w:color w:val="000000" w:themeColor="text1"/>
                      <w:szCs w:val="21"/>
                      <w14:textFill>
                        <w14:solidFill>
                          <w14:schemeClr w14:val="tx1"/>
                        </w14:solidFill>
                      </w14:textFill>
                    </w:rPr>
                  </w:pPr>
                </w:p>
              </w:tc>
            </w:tr>
            <w:tr w14:paraId="7BF6AF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op w:val="single" w:color="auto" w:sz="4" w:space="0"/>
                    <w:left w:val="nil"/>
                    <w:right w:val="single" w:color="auto" w:sz="4" w:space="0"/>
                  </w:tcBorders>
                  <w:vAlign w:val="center"/>
                </w:tcPr>
                <w:p w14:paraId="6A46DA0B">
                  <w:pPr>
                    <w:pStyle w:val="48"/>
                    <w:rPr>
                      <w:bCs/>
                    </w:rPr>
                  </w:pPr>
                  <w:r>
                    <w:rPr>
                      <w:bCs/>
                    </w:rPr>
                    <w:t>干燥</w:t>
                  </w:r>
                </w:p>
              </w:tc>
              <w:tc>
                <w:tcPr>
                  <w:tcW w:w="1134" w:type="dxa"/>
                  <w:tcBorders>
                    <w:top w:val="single" w:color="auto" w:sz="4" w:space="0"/>
                    <w:left w:val="nil"/>
                    <w:bottom w:val="single" w:color="auto" w:sz="4" w:space="0"/>
                    <w:right w:val="single" w:color="auto" w:sz="4" w:space="0"/>
                  </w:tcBorders>
                  <w:vAlign w:val="center"/>
                </w:tcPr>
                <w:p w14:paraId="3B27BE20">
                  <w:pPr>
                    <w:pStyle w:val="48"/>
                  </w:pPr>
                  <w:r>
                    <w:t>颗粒物</w:t>
                  </w:r>
                </w:p>
              </w:tc>
              <w:tc>
                <w:tcPr>
                  <w:tcW w:w="1984" w:type="dxa"/>
                  <w:tcBorders>
                    <w:top w:val="single" w:color="auto" w:sz="4" w:space="0"/>
                    <w:left w:val="nil"/>
                    <w:bottom w:val="single" w:color="auto" w:sz="4" w:space="0"/>
                    <w:right w:val="single" w:color="auto" w:sz="4" w:space="0"/>
                  </w:tcBorders>
                  <w:vAlign w:val="center"/>
                </w:tcPr>
                <w:p w14:paraId="7EB59B33">
                  <w:pPr>
                    <w:pStyle w:val="48"/>
                  </w:pPr>
                  <w:r>
                    <w:t>袋式除尘</w:t>
                  </w:r>
                </w:p>
              </w:tc>
              <w:tc>
                <w:tcPr>
                  <w:tcW w:w="1134" w:type="dxa"/>
                  <w:vMerge w:val="restart"/>
                  <w:tcBorders>
                    <w:top w:val="single" w:color="auto" w:sz="4" w:space="0"/>
                    <w:left w:val="nil"/>
                    <w:right w:val="single" w:color="auto" w:sz="4" w:space="0"/>
                  </w:tcBorders>
                  <w:vAlign w:val="center"/>
                </w:tcPr>
                <w:p w14:paraId="181001F8">
                  <w:pPr>
                    <w:pStyle w:val="48"/>
                  </w:pPr>
                  <w:r>
                    <w:rPr>
                      <w:bCs/>
                    </w:rPr>
                    <w:t>温控烘干炉</w:t>
                  </w:r>
                </w:p>
              </w:tc>
              <w:tc>
                <w:tcPr>
                  <w:tcW w:w="992" w:type="dxa"/>
                  <w:tcBorders>
                    <w:top w:val="single" w:color="auto" w:sz="4" w:space="0"/>
                    <w:left w:val="nil"/>
                    <w:bottom w:val="single" w:color="auto" w:sz="4" w:space="0"/>
                    <w:right w:val="single" w:color="auto" w:sz="4" w:space="0"/>
                  </w:tcBorders>
                  <w:vAlign w:val="center"/>
                </w:tcPr>
                <w:p w14:paraId="3928461C">
                  <w:pPr>
                    <w:pStyle w:val="48"/>
                  </w:pPr>
                  <w:r>
                    <w:t>颗粒物</w:t>
                  </w:r>
                </w:p>
              </w:tc>
              <w:tc>
                <w:tcPr>
                  <w:tcW w:w="1134" w:type="dxa"/>
                  <w:tcBorders>
                    <w:top w:val="single" w:color="auto" w:sz="4" w:space="0"/>
                    <w:left w:val="nil"/>
                    <w:bottom w:val="single" w:color="auto" w:sz="4" w:space="0"/>
                    <w:right w:val="single" w:color="auto" w:sz="4" w:space="0"/>
                  </w:tcBorders>
                  <w:vAlign w:val="center"/>
                </w:tcPr>
                <w:p w14:paraId="591670CB">
                  <w:pPr>
                    <w:pStyle w:val="48"/>
                  </w:pPr>
                  <w:r>
                    <w:t>脉冲袋式除尘器</w:t>
                  </w:r>
                </w:p>
              </w:tc>
              <w:tc>
                <w:tcPr>
                  <w:tcW w:w="904" w:type="dxa"/>
                  <w:tcBorders>
                    <w:top w:val="single" w:color="auto" w:sz="4" w:space="0"/>
                    <w:left w:val="nil"/>
                    <w:bottom w:val="single" w:color="auto" w:sz="4" w:space="0"/>
                    <w:right w:val="nil"/>
                  </w:tcBorders>
                  <w:vAlign w:val="center"/>
                </w:tcPr>
                <w:p w14:paraId="4CF206AB">
                  <w:pPr>
                    <w:pStyle w:val="48"/>
                  </w:pPr>
                  <w:r>
                    <w:t>是</w:t>
                  </w:r>
                </w:p>
              </w:tc>
            </w:tr>
            <w:tr w14:paraId="78DD2B7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left w:val="nil"/>
                    <w:bottom w:val="double" w:color="auto" w:sz="2" w:space="0"/>
                    <w:right w:val="single" w:color="auto" w:sz="4" w:space="0"/>
                  </w:tcBorders>
                  <w:vAlign w:val="center"/>
                </w:tcPr>
                <w:p w14:paraId="41BE6CB8">
                  <w:pPr>
                    <w:pStyle w:val="48"/>
                    <w:rPr>
                      <w:bCs/>
                    </w:rPr>
                  </w:pPr>
                </w:p>
              </w:tc>
              <w:tc>
                <w:tcPr>
                  <w:tcW w:w="1134" w:type="dxa"/>
                  <w:tcBorders>
                    <w:top w:val="single" w:color="auto" w:sz="4" w:space="0"/>
                    <w:left w:val="nil"/>
                    <w:bottom w:val="double" w:color="auto" w:sz="2" w:space="0"/>
                    <w:right w:val="single" w:color="auto" w:sz="4" w:space="0"/>
                  </w:tcBorders>
                  <w:vAlign w:val="center"/>
                </w:tcPr>
                <w:p w14:paraId="415DA5D6">
                  <w:pPr>
                    <w:pStyle w:val="48"/>
                  </w:pPr>
                  <w:r>
                    <w:t>二氧化硫</w:t>
                  </w:r>
                </w:p>
              </w:tc>
              <w:tc>
                <w:tcPr>
                  <w:tcW w:w="1984" w:type="dxa"/>
                  <w:tcBorders>
                    <w:top w:val="single" w:color="auto" w:sz="4" w:space="0"/>
                    <w:left w:val="nil"/>
                    <w:bottom w:val="double" w:color="auto" w:sz="2" w:space="0"/>
                    <w:right w:val="single" w:color="auto" w:sz="4" w:space="0"/>
                  </w:tcBorders>
                  <w:vAlign w:val="center"/>
                </w:tcPr>
                <w:p w14:paraId="40AFD829">
                  <w:pPr>
                    <w:pStyle w:val="48"/>
                  </w:pPr>
                  <w:r>
                    <w:t>燃气或净化后煤制气；干法、半干法脱硫；湿法脱硫</w:t>
                  </w:r>
                </w:p>
              </w:tc>
              <w:tc>
                <w:tcPr>
                  <w:tcW w:w="1134" w:type="dxa"/>
                  <w:vMerge w:val="continue"/>
                  <w:tcBorders>
                    <w:left w:val="nil"/>
                    <w:bottom w:val="double" w:color="auto" w:sz="2" w:space="0"/>
                    <w:right w:val="single" w:color="auto" w:sz="4" w:space="0"/>
                  </w:tcBorders>
                  <w:vAlign w:val="center"/>
                </w:tcPr>
                <w:p w14:paraId="3504796F">
                  <w:pPr>
                    <w:pStyle w:val="48"/>
                    <w:rPr>
                      <w:bCs/>
                    </w:rPr>
                  </w:pPr>
                </w:p>
              </w:tc>
              <w:tc>
                <w:tcPr>
                  <w:tcW w:w="992" w:type="dxa"/>
                  <w:tcBorders>
                    <w:top w:val="single" w:color="auto" w:sz="4" w:space="0"/>
                    <w:left w:val="nil"/>
                    <w:bottom w:val="double" w:color="auto" w:sz="2" w:space="0"/>
                    <w:right w:val="single" w:color="auto" w:sz="4" w:space="0"/>
                  </w:tcBorders>
                  <w:vAlign w:val="center"/>
                </w:tcPr>
                <w:p w14:paraId="07B35751">
                  <w:pPr>
                    <w:pStyle w:val="48"/>
                  </w:pPr>
                  <w:r>
                    <w:t>二氧化硫</w:t>
                  </w:r>
                </w:p>
              </w:tc>
              <w:tc>
                <w:tcPr>
                  <w:tcW w:w="1134" w:type="dxa"/>
                  <w:tcBorders>
                    <w:top w:val="single" w:color="auto" w:sz="4" w:space="0"/>
                    <w:left w:val="nil"/>
                    <w:bottom w:val="double" w:color="auto" w:sz="2" w:space="0"/>
                    <w:right w:val="single" w:color="auto" w:sz="4" w:space="0"/>
                  </w:tcBorders>
                  <w:vAlign w:val="center"/>
                </w:tcPr>
                <w:p w14:paraId="0629768D">
                  <w:pPr>
                    <w:pStyle w:val="48"/>
                  </w:pPr>
                  <w:r>
                    <w:t>燃气+石灰石/石膏法脱硫</w:t>
                  </w:r>
                </w:p>
              </w:tc>
              <w:tc>
                <w:tcPr>
                  <w:tcW w:w="904" w:type="dxa"/>
                  <w:tcBorders>
                    <w:top w:val="single" w:color="auto" w:sz="4" w:space="0"/>
                    <w:left w:val="nil"/>
                    <w:bottom w:val="double" w:color="auto" w:sz="2" w:space="0"/>
                    <w:right w:val="nil"/>
                  </w:tcBorders>
                  <w:vAlign w:val="center"/>
                </w:tcPr>
                <w:p w14:paraId="7FB5B491">
                  <w:pPr>
                    <w:pStyle w:val="48"/>
                  </w:pPr>
                  <w:r>
                    <w:t>是</w:t>
                  </w:r>
                </w:p>
              </w:tc>
            </w:tr>
          </w:tbl>
          <w:p w14:paraId="57D959C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氮氧化物</w:t>
            </w:r>
          </w:p>
          <w:p w14:paraId="4855461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《排污许可证申请与核发技术规范 工业炉窑》（HJ1121-2020）中无氮氧化物处理措施可行技术的相关内容，参照《排污许可证申请与核发技术规范 锅炉》（HJ953-2018）中低氮燃烧技术。低氮燃烧技术根据技术分类可分为空气分级燃烧、燃料分级燃烧、烟气再循环、浓淡偏差燃烧、MILD / 多孔介质等，其基本原理均为降低热力型氮氧化物的生成，热力型氮氧化物的产生起点在1300摄氏度左右，本项目温控烘干炉温度为400摄氏度以下，远达不到热力型氮氧化物的产生起点温度，且本项目氮氧化物浓度较小，能够达标排放，因此未采用低氮燃烧措施或末端治理措施。</w:t>
            </w:r>
          </w:p>
          <w:p w14:paraId="0A6F89D3">
            <w:pPr>
              <w:pStyle w:val="65"/>
              <w:ind w:firstLine="480"/>
              <w:rPr>
                <w:rFonts w:eastAsiaTheme="minorEastAsia"/>
                <w:color w:val="0000FF"/>
              </w:rPr>
            </w:pPr>
            <w:r>
              <w:rPr>
                <w:rFonts w:eastAsiaTheme="minorEastAsia"/>
                <w:color w:val="0000FF"/>
              </w:rPr>
              <w:t>（2）集气罩</w:t>
            </w:r>
          </w:p>
          <w:p w14:paraId="74071B79">
            <w:pPr>
              <w:pStyle w:val="65"/>
              <w:ind w:firstLine="480"/>
              <w:rPr>
                <w:rFonts w:eastAsiaTheme="minorEastAsia"/>
                <w:color w:val="0000FF"/>
              </w:rPr>
            </w:pPr>
            <w:r>
              <w:rPr>
                <w:rFonts w:eastAsiaTheme="minorEastAsia"/>
                <w:color w:val="0000FF"/>
              </w:rPr>
              <w:t>本项目废气收集对象主要为投料口、混料机及造球机三处产尘点。各点位集气罩收集的含尘废气经管道汇入主管，送布袋除尘器处理后通过15m排气筒DA002排放。</w:t>
            </w:r>
          </w:p>
          <w:p w14:paraId="4FB5D729">
            <w:pPr>
              <w:pStyle w:val="65"/>
              <w:ind w:firstLine="480"/>
              <w:rPr>
                <w:rFonts w:eastAsiaTheme="minorEastAsia"/>
                <w:color w:val="0000FF"/>
              </w:rPr>
            </w:pPr>
            <w:r>
              <w:rPr>
                <w:rFonts w:hint="eastAsia" w:ascii="宋体" w:hAnsi="宋体" w:cs="宋体"/>
                <w:color w:val="0000FF"/>
              </w:rPr>
              <w:t>①</w:t>
            </w:r>
            <w:r>
              <w:rPr>
                <w:rFonts w:eastAsiaTheme="minorEastAsia"/>
                <w:color w:val="0000FF"/>
              </w:rPr>
              <w:t>废气收集路线</w:t>
            </w:r>
          </w:p>
          <w:p w14:paraId="0E0C1072">
            <w:pPr>
              <w:pStyle w:val="65"/>
              <w:ind w:firstLine="480"/>
              <w:rPr>
                <w:rFonts w:eastAsiaTheme="minorEastAsia"/>
                <w:color w:val="0000FF"/>
              </w:rPr>
            </w:pPr>
            <w:r>
              <w:rPr>
                <w:rFonts w:eastAsiaTheme="minorEastAsia"/>
                <w:color w:val="0000FF"/>
              </w:rPr>
              <w:t>本项目设置四条废气收集支管，分别连接投料口、混料机、造球机及烘干卸料口四处集气罩。投料口集气罩收集的含尘废气经DN300支管、混料机集气罩收集的含尘废气经DN250支管、造球机集气罩收集的含尘废气经DN250支管、烘干卸料口集气罩收集的含尘废气经DN300支管，四路支管汇入DN400废气主管，含尘废气由主管送至布袋除尘器处理，净化后废气经引风机由15m高排气筒DA002有组织排放。各支管设有风量调节阀，可根据各产尘点实际工况调节风量分配。</w:t>
            </w:r>
          </w:p>
          <w:p w14:paraId="7FDFA300">
            <w:pPr>
              <w:pStyle w:val="65"/>
              <w:ind w:firstLine="480"/>
              <w:rPr>
                <w:rFonts w:eastAsiaTheme="minorEastAsia"/>
                <w:color w:val="0000FF"/>
              </w:rPr>
            </w:pPr>
            <w:r>
              <w:rPr>
                <w:rFonts w:hint="eastAsia" w:ascii="宋体" w:hAnsi="宋体" w:cs="宋体"/>
                <w:color w:val="0000FF"/>
              </w:rPr>
              <w:t>②</w:t>
            </w:r>
            <w:r>
              <w:rPr>
                <w:rFonts w:eastAsiaTheme="minorEastAsia"/>
                <w:color w:val="0000FF"/>
              </w:rPr>
              <w:t>集气罩设置</w:t>
            </w:r>
          </w:p>
          <w:p w14:paraId="417D430B">
            <w:pPr>
              <w:pStyle w:val="65"/>
              <w:ind w:firstLine="480"/>
              <w:rPr>
                <w:rFonts w:eastAsiaTheme="minorEastAsia"/>
                <w:color w:val="0000FF"/>
              </w:rPr>
            </w:pPr>
            <w:r>
              <w:rPr>
                <w:rFonts w:eastAsiaTheme="minorEastAsia"/>
                <w:color w:val="0000FF"/>
              </w:rPr>
              <w:t>集气罩类型依据《排风罩的分类及技术条件》（GB/T 16758-2008）划分。集气罩按结构形式分为密闭罩、外部罩、吹吸罩、接受罩等。本项目各产尘点集气罩设置情况见下表。</w:t>
            </w:r>
          </w:p>
          <w:p w14:paraId="7D81C333">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表4-13 集气罩设置一览表</w:t>
            </w:r>
          </w:p>
          <w:tbl>
            <w:tblPr>
              <w:tblStyle w:val="35"/>
              <w:tblW w:w="4950" w:type="pct"/>
              <w:tblInd w:w="0" w:type="dxa"/>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15" w:type="dxa"/>
                <w:left w:w="15" w:type="dxa"/>
                <w:bottom w:w="15" w:type="dxa"/>
                <w:right w:w="15" w:type="dxa"/>
              </w:tblCellMar>
            </w:tblPr>
            <w:tblGrid>
              <w:gridCol w:w="842"/>
              <w:gridCol w:w="1559"/>
              <w:gridCol w:w="1134"/>
              <w:gridCol w:w="993"/>
              <w:gridCol w:w="3834"/>
            </w:tblGrid>
            <w:tr w14:paraId="1D524A9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rPr>
                <w:tblHeader/>
              </w:trPr>
              <w:tc>
                <w:tcPr>
                  <w:tcW w:w="842" w:type="dxa"/>
                  <w:shd w:val="clear" w:color="auto" w:fill="auto"/>
                  <w:tcMar>
                    <w:top w:w="30" w:type="dxa"/>
                    <w:left w:w="30" w:type="dxa"/>
                    <w:bottom w:w="30" w:type="dxa"/>
                    <w:right w:w="30" w:type="dxa"/>
                  </w:tcMar>
                  <w:vAlign w:val="center"/>
                </w:tcPr>
                <w:p w14:paraId="762A834B">
                  <w:pPr>
                    <w:widowControl/>
                    <w:jc w:val="center"/>
                    <w:rPr>
                      <w:rFonts w:eastAsiaTheme="minorEastAsia"/>
                      <w:b/>
                      <w:bCs/>
                      <w:color w:val="0000FF"/>
                      <w:kern w:val="0"/>
                      <w:sz w:val="20"/>
                      <w:szCs w:val="20"/>
                    </w:rPr>
                  </w:pPr>
                  <w:r>
                    <w:rPr>
                      <w:rFonts w:eastAsiaTheme="minorEastAsia"/>
                      <w:b/>
                      <w:bCs/>
                      <w:color w:val="0000FF"/>
                      <w:kern w:val="0"/>
                      <w:sz w:val="20"/>
                      <w:szCs w:val="20"/>
                    </w:rPr>
                    <w:t>位置</w:t>
                  </w:r>
                </w:p>
              </w:tc>
              <w:tc>
                <w:tcPr>
                  <w:tcW w:w="1559" w:type="dxa"/>
                  <w:shd w:val="clear" w:color="auto" w:fill="auto"/>
                  <w:tcMar>
                    <w:top w:w="30" w:type="dxa"/>
                    <w:left w:w="30" w:type="dxa"/>
                    <w:bottom w:w="30" w:type="dxa"/>
                    <w:right w:w="30" w:type="dxa"/>
                  </w:tcMar>
                  <w:vAlign w:val="center"/>
                </w:tcPr>
                <w:p w14:paraId="57FBD98B">
                  <w:pPr>
                    <w:widowControl/>
                    <w:jc w:val="center"/>
                    <w:rPr>
                      <w:rFonts w:eastAsiaTheme="minorEastAsia"/>
                      <w:b/>
                      <w:bCs/>
                      <w:color w:val="0000FF"/>
                      <w:kern w:val="0"/>
                      <w:sz w:val="20"/>
                      <w:szCs w:val="20"/>
                    </w:rPr>
                  </w:pPr>
                  <w:r>
                    <w:rPr>
                      <w:rFonts w:eastAsiaTheme="minorEastAsia"/>
                      <w:b/>
                      <w:bCs/>
                      <w:color w:val="0000FF"/>
                      <w:kern w:val="0"/>
                      <w:sz w:val="20"/>
                      <w:szCs w:val="20"/>
                    </w:rPr>
                    <w:t>结构形式</w:t>
                  </w:r>
                </w:p>
              </w:tc>
              <w:tc>
                <w:tcPr>
                  <w:tcW w:w="1134" w:type="dxa"/>
                  <w:shd w:val="clear" w:color="auto" w:fill="auto"/>
                  <w:tcMar>
                    <w:top w:w="30" w:type="dxa"/>
                    <w:left w:w="30" w:type="dxa"/>
                    <w:bottom w:w="30" w:type="dxa"/>
                    <w:right w:w="30" w:type="dxa"/>
                  </w:tcMar>
                  <w:vAlign w:val="center"/>
                </w:tcPr>
                <w:p w14:paraId="73D588BA">
                  <w:pPr>
                    <w:widowControl/>
                    <w:jc w:val="center"/>
                    <w:rPr>
                      <w:rFonts w:eastAsiaTheme="minorEastAsia"/>
                      <w:b/>
                      <w:bCs/>
                      <w:color w:val="0000FF"/>
                      <w:kern w:val="0"/>
                      <w:sz w:val="20"/>
                      <w:szCs w:val="20"/>
                    </w:rPr>
                  </w:pPr>
                  <w:r>
                    <w:rPr>
                      <w:rFonts w:eastAsiaTheme="minorEastAsia"/>
                      <w:b/>
                      <w:bCs/>
                      <w:color w:val="0000FF"/>
                      <w:kern w:val="0"/>
                      <w:sz w:val="20"/>
                      <w:szCs w:val="20"/>
                    </w:rPr>
                    <w:t>密闭程度</w:t>
                  </w:r>
                </w:p>
              </w:tc>
              <w:tc>
                <w:tcPr>
                  <w:tcW w:w="993" w:type="dxa"/>
                  <w:shd w:val="clear" w:color="auto" w:fill="auto"/>
                  <w:tcMar>
                    <w:top w:w="30" w:type="dxa"/>
                    <w:left w:w="30" w:type="dxa"/>
                    <w:bottom w:w="30" w:type="dxa"/>
                    <w:right w:w="30" w:type="dxa"/>
                  </w:tcMar>
                  <w:vAlign w:val="center"/>
                </w:tcPr>
                <w:p w14:paraId="61EB429A">
                  <w:pPr>
                    <w:widowControl/>
                    <w:jc w:val="center"/>
                    <w:rPr>
                      <w:rFonts w:eastAsiaTheme="minorEastAsia"/>
                      <w:b/>
                      <w:bCs/>
                      <w:color w:val="0000FF"/>
                      <w:kern w:val="0"/>
                      <w:sz w:val="20"/>
                      <w:szCs w:val="20"/>
                    </w:rPr>
                  </w:pPr>
                  <w:r>
                    <w:rPr>
                      <w:rFonts w:eastAsiaTheme="minorEastAsia"/>
                      <w:b/>
                      <w:bCs/>
                      <w:color w:val="0000FF"/>
                      <w:kern w:val="0"/>
                      <w:sz w:val="20"/>
                      <w:szCs w:val="20"/>
                    </w:rPr>
                    <w:t>收集效率</w:t>
                  </w:r>
                </w:p>
              </w:tc>
              <w:tc>
                <w:tcPr>
                  <w:tcW w:w="3834" w:type="dxa"/>
                  <w:shd w:val="clear" w:color="auto" w:fill="auto"/>
                  <w:tcMar>
                    <w:top w:w="30" w:type="dxa"/>
                    <w:left w:w="30" w:type="dxa"/>
                    <w:bottom w:w="30" w:type="dxa"/>
                    <w:right w:w="30" w:type="dxa"/>
                  </w:tcMar>
                  <w:vAlign w:val="center"/>
                </w:tcPr>
                <w:p w14:paraId="1966F1AD">
                  <w:pPr>
                    <w:widowControl/>
                    <w:jc w:val="center"/>
                    <w:rPr>
                      <w:rFonts w:eastAsiaTheme="minorEastAsia"/>
                      <w:b/>
                      <w:bCs/>
                      <w:color w:val="0000FF"/>
                      <w:kern w:val="0"/>
                      <w:sz w:val="20"/>
                      <w:szCs w:val="20"/>
                    </w:rPr>
                  </w:pPr>
                  <w:r>
                    <w:rPr>
                      <w:rFonts w:eastAsiaTheme="minorEastAsia"/>
                      <w:b/>
                      <w:bCs/>
                      <w:color w:val="0000FF"/>
                      <w:kern w:val="0"/>
                      <w:sz w:val="20"/>
                      <w:szCs w:val="20"/>
                    </w:rPr>
                    <w:t>设置理由</w:t>
                  </w:r>
                </w:p>
              </w:tc>
            </w:tr>
            <w:tr w14:paraId="371B9F2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842" w:type="dxa"/>
                  <w:shd w:val="clear" w:color="auto" w:fill="auto"/>
                  <w:tcMar>
                    <w:top w:w="30" w:type="dxa"/>
                    <w:left w:w="30" w:type="dxa"/>
                    <w:bottom w:w="30" w:type="dxa"/>
                    <w:right w:w="30" w:type="dxa"/>
                  </w:tcMar>
                  <w:vAlign w:val="center"/>
                </w:tcPr>
                <w:p w14:paraId="79058841">
                  <w:pPr>
                    <w:widowControl/>
                    <w:jc w:val="center"/>
                    <w:rPr>
                      <w:rFonts w:eastAsiaTheme="minorEastAsia"/>
                      <w:color w:val="0000FF"/>
                      <w:kern w:val="0"/>
                      <w:sz w:val="20"/>
                      <w:szCs w:val="20"/>
                    </w:rPr>
                  </w:pPr>
                  <w:r>
                    <w:rPr>
                      <w:rFonts w:eastAsiaTheme="minorEastAsia"/>
                      <w:color w:val="0000FF"/>
                      <w:kern w:val="0"/>
                      <w:sz w:val="20"/>
                      <w:szCs w:val="20"/>
                    </w:rPr>
                    <w:t>投料口</w:t>
                  </w:r>
                </w:p>
              </w:tc>
              <w:tc>
                <w:tcPr>
                  <w:tcW w:w="1559" w:type="dxa"/>
                  <w:shd w:val="clear" w:color="auto" w:fill="auto"/>
                  <w:tcMar>
                    <w:top w:w="30" w:type="dxa"/>
                    <w:left w:w="30" w:type="dxa"/>
                    <w:bottom w:w="30" w:type="dxa"/>
                    <w:right w:w="30" w:type="dxa"/>
                  </w:tcMar>
                  <w:vAlign w:val="center"/>
                </w:tcPr>
                <w:p w14:paraId="6449254A">
                  <w:pPr>
                    <w:widowControl/>
                    <w:jc w:val="center"/>
                    <w:rPr>
                      <w:rFonts w:eastAsiaTheme="minorEastAsia"/>
                      <w:color w:val="0000FF"/>
                      <w:kern w:val="0"/>
                      <w:sz w:val="20"/>
                      <w:szCs w:val="20"/>
                    </w:rPr>
                  </w:pPr>
                  <w:r>
                    <w:rPr>
                      <w:rFonts w:eastAsiaTheme="minorEastAsia"/>
                      <w:color w:val="0000FF"/>
                      <w:kern w:val="0"/>
                      <w:sz w:val="20"/>
                      <w:szCs w:val="20"/>
                    </w:rPr>
                    <w:t>外部罩</w:t>
                  </w:r>
                </w:p>
                <w:p w14:paraId="65287580">
                  <w:pPr>
                    <w:widowControl/>
                    <w:jc w:val="center"/>
                    <w:rPr>
                      <w:rFonts w:eastAsiaTheme="minorEastAsia"/>
                      <w:color w:val="0000FF"/>
                      <w:kern w:val="0"/>
                      <w:sz w:val="20"/>
                      <w:szCs w:val="20"/>
                    </w:rPr>
                  </w:pPr>
                  <w:r>
                    <w:rPr>
                      <w:rFonts w:eastAsiaTheme="minorEastAsia"/>
                      <w:color w:val="0000FF"/>
                      <w:kern w:val="0"/>
                      <w:sz w:val="20"/>
                      <w:szCs w:val="20"/>
                    </w:rPr>
                    <w:t>（上吸罩）</w:t>
                  </w:r>
                </w:p>
              </w:tc>
              <w:tc>
                <w:tcPr>
                  <w:tcW w:w="1134" w:type="dxa"/>
                  <w:shd w:val="clear" w:color="auto" w:fill="auto"/>
                  <w:tcMar>
                    <w:top w:w="30" w:type="dxa"/>
                    <w:left w:w="30" w:type="dxa"/>
                    <w:bottom w:w="30" w:type="dxa"/>
                    <w:right w:w="30" w:type="dxa"/>
                  </w:tcMar>
                  <w:vAlign w:val="center"/>
                </w:tcPr>
                <w:p w14:paraId="5C30A5BC">
                  <w:pPr>
                    <w:widowControl/>
                    <w:jc w:val="center"/>
                    <w:rPr>
                      <w:rFonts w:eastAsiaTheme="minorEastAsia"/>
                      <w:color w:val="0000FF"/>
                      <w:kern w:val="0"/>
                      <w:sz w:val="20"/>
                      <w:szCs w:val="20"/>
                    </w:rPr>
                  </w:pPr>
                  <w:r>
                    <w:rPr>
                      <w:rFonts w:eastAsiaTheme="minorEastAsia"/>
                      <w:color w:val="0000FF"/>
                      <w:kern w:val="0"/>
                      <w:sz w:val="20"/>
                      <w:szCs w:val="20"/>
                    </w:rPr>
                    <w:t>半密闭罩</w:t>
                  </w:r>
                </w:p>
              </w:tc>
              <w:tc>
                <w:tcPr>
                  <w:tcW w:w="993" w:type="dxa"/>
                  <w:shd w:val="clear" w:color="auto" w:fill="auto"/>
                  <w:tcMar>
                    <w:top w:w="30" w:type="dxa"/>
                    <w:left w:w="30" w:type="dxa"/>
                    <w:bottom w:w="30" w:type="dxa"/>
                    <w:right w:w="30" w:type="dxa"/>
                  </w:tcMar>
                  <w:vAlign w:val="center"/>
                </w:tcPr>
                <w:p w14:paraId="51530F43">
                  <w:pPr>
                    <w:widowControl/>
                    <w:jc w:val="center"/>
                    <w:rPr>
                      <w:rFonts w:eastAsiaTheme="minorEastAsia"/>
                      <w:color w:val="0000FF"/>
                      <w:kern w:val="0"/>
                      <w:sz w:val="20"/>
                      <w:szCs w:val="20"/>
                    </w:rPr>
                  </w:pPr>
                  <w:r>
                    <w:rPr>
                      <w:rFonts w:eastAsiaTheme="minorEastAsia"/>
                      <w:color w:val="0000FF"/>
                      <w:kern w:val="0"/>
                      <w:sz w:val="20"/>
                      <w:szCs w:val="20"/>
                    </w:rPr>
                    <w:t>≥80%</w:t>
                  </w:r>
                </w:p>
              </w:tc>
              <w:tc>
                <w:tcPr>
                  <w:tcW w:w="3834" w:type="dxa"/>
                  <w:shd w:val="clear" w:color="auto" w:fill="auto"/>
                  <w:tcMar>
                    <w:top w:w="30" w:type="dxa"/>
                    <w:left w:w="30" w:type="dxa"/>
                    <w:bottom w:w="30" w:type="dxa"/>
                    <w:right w:w="30" w:type="dxa"/>
                  </w:tcMar>
                  <w:vAlign w:val="center"/>
                </w:tcPr>
                <w:p w14:paraId="7A7D61BE">
                  <w:pPr>
                    <w:widowControl/>
                    <w:jc w:val="left"/>
                    <w:rPr>
                      <w:rFonts w:eastAsiaTheme="minorEastAsia"/>
                      <w:color w:val="0000FF"/>
                      <w:kern w:val="0"/>
                      <w:sz w:val="20"/>
                      <w:szCs w:val="20"/>
                    </w:rPr>
                  </w:pPr>
                  <w:r>
                    <w:rPr>
                      <w:rFonts w:eastAsiaTheme="minorEastAsia"/>
                      <w:color w:val="0000FF"/>
                      <w:kern w:val="0"/>
                      <w:sz w:val="20"/>
                      <w:szCs w:val="20"/>
                    </w:rPr>
                    <w:t>铲车上料需保留正面操作空间，采用三面围挡+顶吸罩形式，有效控制粉尘逸散的同时不影响作业</w:t>
                  </w:r>
                </w:p>
              </w:tc>
            </w:tr>
            <w:tr w14:paraId="713D7418">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842" w:type="dxa"/>
                  <w:shd w:val="clear" w:color="auto" w:fill="auto"/>
                  <w:tcMar>
                    <w:top w:w="30" w:type="dxa"/>
                    <w:left w:w="30" w:type="dxa"/>
                    <w:bottom w:w="30" w:type="dxa"/>
                    <w:right w:w="30" w:type="dxa"/>
                  </w:tcMar>
                  <w:vAlign w:val="center"/>
                </w:tcPr>
                <w:p w14:paraId="39B548A6">
                  <w:pPr>
                    <w:widowControl/>
                    <w:jc w:val="center"/>
                    <w:rPr>
                      <w:rFonts w:eastAsiaTheme="minorEastAsia"/>
                      <w:color w:val="0000FF"/>
                      <w:kern w:val="0"/>
                      <w:sz w:val="20"/>
                      <w:szCs w:val="20"/>
                    </w:rPr>
                  </w:pPr>
                  <w:r>
                    <w:rPr>
                      <w:rFonts w:eastAsiaTheme="minorEastAsia"/>
                      <w:color w:val="0000FF"/>
                      <w:kern w:val="0"/>
                      <w:sz w:val="20"/>
                      <w:szCs w:val="20"/>
                    </w:rPr>
                    <w:t>混料机</w:t>
                  </w:r>
                </w:p>
              </w:tc>
              <w:tc>
                <w:tcPr>
                  <w:tcW w:w="1559" w:type="dxa"/>
                  <w:shd w:val="clear" w:color="auto" w:fill="auto"/>
                  <w:tcMar>
                    <w:top w:w="30" w:type="dxa"/>
                    <w:left w:w="30" w:type="dxa"/>
                    <w:bottom w:w="30" w:type="dxa"/>
                    <w:right w:w="30" w:type="dxa"/>
                  </w:tcMar>
                  <w:vAlign w:val="center"/>
                </w:tcPr>
                <w:p w14:paraId="7AB0EBF5">
                  <w:pPr>
                    <w:widowControl/>
                    <w:jc w:val="center"/>
                    <w:rPr>
                      <w:rFonts w:eastAsiaTheme="minorEastAsia"/>
                      <w:color w:val="0000FF"/>
                      <w:kern w:val="0"/>
                      <w:sz w:val="20"/>
                      <w:szCs w:val="20"/>
                    </w:rPr>
                  </w:pPr>
                  <w:r>
                    <w:rPr>
                      <w:rFonts w:eastAsiaTheme="minorEastAsia"/>
                      <w:color w:val="0000FF"/>
                      <w:kern w:val="0"/>
                      <w:sz w:val="20"/>
                      <w:szCs w:val="20"/>
                    </w:rPr>
                    <w:t>外部罩</w:t>
                  </w:r>
                </w:p>
                <w:p w14:paraId="7059062B">
                  <w:pPr>
                    <w:widowControl/>
                    <w:jc w:val="center"/>
                    <w:rPr>
                      <w:rFonts w:eastAsiaTheme="minorEastAsia"/>
                      <w:color w:val="0000FF"/>
                      <w:kern w:val="0"/>
                      <w:sz w:val="20"/>
                      <w:szCs w:val="20"/>
                    </w:rPr>
                  </w:pPr>
                  <w:r>
                    <w:rPr>
                      <w:rFonts w:eastAsiaTheme="minorEastAsia"/>
                      <w:color w:val="0000FF"/>
                      <w:kern w:val="0"/>
                      <w:sz w:val="20"/>
                      <w:szCs w:val="20"/>
                    </w:rPr>
                    <w:t>（上吸罩）</w:t>
                  </w:r>
                </w:p>
              </w:tc>
              <w:tc>
                <w:tcPr>
                  <w:tcW w:w="1134" w:type="dxa"/>
                  <w:shd w:val="clear" w:color="auto" w:fill="auto"/>
                  <w:tcMar>
                    <w:top w:w="30" w:type="dxa"/>
                    <w:left w:w="30" w:type="dxa"/>
                    <w:bottom w:w="30" w:type="dxa"/>
                    <w:right w:w="30" w:type="dxa"/>
                  </w:tcMar>
                  <w:vAlign w:val="center"/>
                </w:tcPr>
                <w:p w14:paraId="224E9CAE">
                  <w:pPr>
                    <w:widowControl/>
                    <w:jc w:val="center"/>
                    <w:rPr>
                      <w:rFonts w:eastAsiaTheme="minorEastAsia"/>
                      <w:color w:val="0000FF"/>
                      <w:kern w:val="0"/>
                      <w:sz w:val="20"/>
                      <w:szCs w:val="20"/>
                    </w:rPr>
                  </w:pPr>
                  <w:r>
                    <w:rPr>
                      <w:rFonts w:eastAsiaTheme="minorEastAsia"/>
                      <w:color w:val="0000FF"/>
                      <w:kern w:val="0"/>
                      <w:sz w:val="20"/>
                      <w:szCs w:val="20"/>
                    </w:rPr>
                    <w:t>半密闭罩</w:t>
                  </w:r>
                </w:p>
              </w:tc>
              <w:tc>
                <w:tcPr>
                  <w:tcW w:w="993" w:type="dxa"/>
                  <w:shd w:val="clear" w:color="auto" w:fill="auto"/>
                  <w:tcMar>
                    <w:top w:w="30" w:type="dxa"/>
                    <w:left w:w="30" w:type="dxa"/>
                    <w:bottom w:w="30" w:type="dxa"/>
                    <w:right w:w="30" w:type="dxa"/>
                  </w:tcMar>
                  <w:vAlign w:val="center"/>
                </w:tcPr>
                <w:p w14:paraId="3CDD78D5">
                  <w:pPr>
                    <w:widowControl/>
                    <w:jc w:val="center"/>
                    <w:rPr>
                      <w:rFonts w:eastAsiaTheme="minorEastAsia"/>
                      <w:color w:val="0000FF"/>
                      <w:kern w:val="0"/>
                      <w:sz w:val="20"/>
                      <w:szCs w:val="20"/>
                    </w:rPr>
                  </w:pPr>
                  <w:r>
                    <w:rPr>
                      <w:rFonts w:eastAsiaTheme="minorEastAsia"/>
                      <w:color w:val="0000FF"/>
                      <w:kern w:val="0"/>
                      <w:sz w:val="20"/>
                      <w:szCs w:val="20"/>
                    </w:rPr>
                    <w:t>≥80%</w:t>
                  </w:r>
                </w:p>
              </w:tc>
              <w:tc>
                <w:tcPr>
                  <w:tcW w:w="3834" w:type="dxa"/>
                  <w:shd w:val="clear" w:color="auto" w:fill="auto"/>
                  <w:tcMar>
                    <w:top w:w="30" w:type="dxa"/>
                    <w:left w:w="30" w:type="dxa"/>
                    <w:bottom w:w="30" w:type="dxa"/>
                    <w:right w:w="30" w:type="dxa"/>
                  </w:tcMar>
                  <w:vAlign w:val="center"/>
                </w:tcPr>
                <w:p w14:paraId="17715102">
                  <w:pPr>
                    <w:widowControl/>
                    <w:jc w:val="left"/>
                    <w:rPr>
                      <w:rFonts w:eastAsiaTheme="minorEastAsia"/>
                      <w:color w:val="0000FF"/>
                      <w:kern w:val="0"/>
                      <w:sz w:val="20"/>
                      <w:szCs w:val="20"/>
                    </w:rPr>
                  </w:pPr>
                  <w:r>
                    <w:rPr>
                      <w:rFonts w:eastAsiaTheme="minorEastAsia"/>
                      <w:color w:val="0000FF"/>
                      <w:kern w:val="0"/>
                      <w:sz w:val="20"/>
                      <w:szCs w:val="20"/>
                    </w:rPr>
                    <w:t>混料本体为封闭结构，但进出料口需保持敞开以保证物料连续通过，在进出料口设半密闭罩（三面围挡+顶吸罩）收集逸散粉尘</w:t>
                  </w:r>
                </w:p>
              </w:tc>
            </w:tr>
            <w:tr w14:paraId="111BD96A">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842" w:type="dxa"/>
                  <w:shd w:val="clear" w:color="auto" w:fill="auto"/>
                  <w:tcMar>
                    <w:top w:w="30" w:type="dxa"/>
                    <w:left w:w="30" w:type="dxa"/>
                    <w:bottom w:w="30" w:type="dxa"/>
                    <w:right w:w="30" w:type="dxa"/>
                  </w:tcMar>
                  <w:vAlign w:val="center"/>
                </w:tcPr>
                <w:p w14:paraId="5D9BA9AA">
                  <w:pPr>
                    <w:widowControl/>
                    <w:jc w:val="center"/>
                    <w:rPr>
                      <w:rFonts w:eastAsiaTheme="minorEastAsia"/>
                      <w:color w:val="0000FF"/>
                      <w:kern w:val="0"/>
                      <w:sz w:val="20"/>
                      <w:szCs w:val="20"/>
                    </w:rPr>
                  </w:pPr>
                  <w:r>
                    <w:rPr>
                      <w:rFonts w:eastAsiaTheme="minorEastAsia"/>
                      <w:color w:val="0000FF"/>
                      <w:kern w:val="0"/>
                      <w:sz w:val="20"/>
                      <w:szCs w:val="20"/>
                    </w:rPr>
                    <w:t>造球机</w:t>
                  </w:r>
                </w:p>
              </w:tc>
              <w:tc>
                <w:tcPr>
                  <w:tcW w:w="1559" w:type="dxa"/>
                  <w:shd w:val="clear" w:color="auto" w:fill="auto"/>
                  <w:tcMar>
                    <w:top w:w="30" w:type="dxa"/>
                    <w:left w:w="30" w:type="dxa"/>
                    <w:bottom w:w="30" w:type="dxa"/>
                    <w:right w:w="30" w:type="dxa"/>
                  </w:tcMar>
                  <w:vAlign w:val="center"/>
                </w:tcPr>
                <w:p w14:paraId="37C8BCCB">
                  <w:pPr>
                    <w:widowControl/>
                    <w:jc w:val="center"/>
                    <w:rPr>
                      <w:rFonts w:eastAsiaTheme="minorEastAsia"/>
                      <w:color w:val="0000FF"/>
                      <w:kern w:val="0"/>
                      <w:sz w:val="20"/>
                      <w:szCs w:val="20"/>
                    </w:rPr>
                  </w:pPr>
                  <w:r>
                    <w:rPr>
                      <w:rFonts w:eastAsiaTheme="minorEastAsia"/>
                      <w:color w:val="0000FF"/>
                      <w:kern w:val="0"/>
                      <w:sz w:val="20"/>
                      <w:szCs w:val="20"/>
                    </w:rPr>
                    <w:t>外部罩</w:t>
                  </w:r>
                </w:p>
                <w:p w14:paraId="2AFF9003">
                  <w:pPr>
                    <w:widowControl/>
                    <w:jc w:val="center"/>
                    <w:rPr>
                      <w:rFonts w:eastAsiaTheme="minorEastAsia"/>
                      <w:color w:val="0000FF"/>
                      <w:kern w:val="0"/>
                      <w:sz w:val="20"/>
                      <w:szCs w:val="20"/>
                    </w:rPr>
                  </w:pPr>
                  <w:r>
                    <w:rPr>
                      <w:rFonts w:eastAsiaTheme="minorEastAsia"/>
                      <w:color w:val="0000FF"/>
                      <w:kern w:val="0"/>
                      <w:sz w:val="20"/>
                      <w:szCs w:val="20"/>
                    </w:rPr>
                    <w:t>（上吸罩）</w:t>
                  </w:r>
                </w:p>
              </w:tc>
              <w:tc>
                <w:tcPr>
                  <w:tcW w:w="1134" w:type="dxa"/>
                  <w:shd w:val="clear" w:color="auto" w:fill="auto"/>
                  <w:tcMar>
                    <w:top w:w="30" w:type="dxa"/>
                    <w:left w:w="30" w:type="dxa"/>
                    <w:bottom w:w="30" w:type="dxa"/>
                    <w:right w:w="30" w:type="dxa"/>
                  </w:tcMar>
                  <w:vAlign w:val="center"/>
                </w:tcPr>
                <w:p w14:paraId="29449BE2">
                  <w:pPr>
                    <w:widowControl/>
                    <w:jc w:val="center"/>
                    <w:rPr>
                      <w:rFonts w:eastAsiaTheme="minorEastAsia"/>
                      <w:color w:val="0000FF"/>
                      <w:kern w:val="0"/>
                      <w:sz w:val="20"/>
                      <w:szCs w:val="20"/>
                    </w:rPr>
                  </w:pPr>
                  <w:r>
                    <w:rPr>
                      <w:rFonts w:eastAsiaTheme="minorEastAsia"/>
                      <w:color w:val="0000FF"/>
                      <w:kern w:val="0"/>
                      <w:sz w:val="20"/>
                      <w:szCs w:val="20"/>
                    </w:rPr>
                    <w:t>半密闭罩</w:t>
                  </w:r>
                </w:p>
              </w:tc>
              <w:tc>
                <w:tcPr>
                  <w:tcW w:w="993" w:type="dxa"/>
                  <w:shd w:val="clear" w:color="auto" w:fill="auto"/>
                  <w:tcMar>
                    <w:top w:w="30" w:type="dxa"/>
                    <w:left w:w="30" w:type="dxa"/>
                    <w:bottom w:w="30" w:type="dxa"/>
                    <w:right w:w="30" w:type="dxa"/>
                  </w:tcMar>
                  <w:vAlign w:val="center"/>
                </w:tcPr>
                <w:p w14:paraId="481CE9F1">
                  <w:pPr>
                    <w:widowControl/>
                    <w:jc w:val="center"/>
                    <w:rPr>
                      <w:rFonts w:eastAsiaTheme="minorEastAsia"/>
                      <w:color w:val="0000FF"/>
                      <w:kern w:val="0"/>
                      <w:sz w:val="20"/>
                      <w:szCs w:val="20"/>
                    </w:rPr>
                  </w:pPr>
                  <w:r>
                    <w:rPr>
                      <w:rFonts w:eastAsiaTheme="minorEastAsia"/>
                      <w:color w:val="0000FF"/>
                      <w:kern w:val="0"/>
                      <w:sz w:val="20"/>
                      <w:szCs w:val="20"/>
                    </w:rPr>
                    <w:t>≥80%</w:t>
                  </w:r>
                </w:p>
              </w:tc>
              <w:tc>
                <w:tcPr>
                  <w:tcW w:w="3834" w:type="dxa"/>
                  <w:shd w:val="clear" w:color="auto" w:fill="auto"/>
                  <w:tcMar>
                    <w:top w:w="30" w:type="dxa"/>
                    <w:left w:w="30" w:type="dxa"/>
                    <w:bottom w:w="30" w:type="dxa"/>
                    <w:right w:w="30" w:type="dxa"/>
                  </w:tcMar>
                  <w:vAlign w:val="center"/>
                </w:tcPr>
                <w:p w14:paraId="1847AF46">
                  <w:pPr>
                    <w:widowControl/>
                    <w:jc w:val="left"/>
                    <w:rPr>
                      <w:rFonts w:eastAsiaTheme="minorEastAsia"/>
                      <w:color w:val="0000FF"/>
                      <w:kern w:val="0"/>
                      <w:sz w:val="20"/>
                      <w:szCs w:val="20"/>
                    </w:rPr>
                  </w:pPr>
                  <w:r>
                    <w:rPr>
                      <w:rFonts w:eastAsiaTheme="minorEastAsia"/>
                      <w:color w:val="0000FF"/>
                      <w:kern w:val="0"/>
                      <w:sz w:val="20"/>
                      <w:szCs w:val="20"/>
                    </w:rPr>
                    <w:t>造球机本体为封闭结构，但进出料口需保持敞开以保证物料连续通过，在进出料口设半密闭罩（三面围挡+顶吸罩）收集逸散粉尘</w:t>
                  </w:r>
                </w:p>
              </w:tc>
            </w:tr>
            <w:tr w14:paraId="153EB45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15" w:type="dxa"/>
                  <w:left w:w="15" w:type="dxa"/>
                  <w:bottom w:w="15" w:type="dxa"/>
                  <w:right w:w="15" w:type="dxa"/>
                </w:tblCellMar>
              </w:tblPrEx>
              <w:tc>
                <w:tcPr>
                  <w:tcW w:w="842" w:type="dxa"/>
                  <w:shd w:val="clear" w:color="auto" w:fill="auto"/>
                  <w:tcMar>
                    <w:top w:w="30" w:type="dxa"/>
                    <w:left w:w="30" w:type="dxa"/>
                    <w:bottom w:w="30" w:type="dxa"/>
                    <w:right w:w="30" w:type="dxa"/>
                  </w:tcMar>
                  <w:vAlign w:val="center"/>
                </w:tcPr>
                <w:p w14:paraId="747067D5">
                  <w:pPr>
                    <w:widowControl/>
                    <w:jc w:val="center"/>
                    <w:rPr>
                      <w:rFonts w:eastAsiaTheme="minorEastAsia"/>
                      <w:color w:val="0000FF"/>
                      <w:kern w:val="0"/>
                      <w:sz w:val="20"/>
                      <w:szCs w:val="20"/>
                    </w:rPr>
                  </w:pPr>
                  <w:r>
                    <w:rPr>
                      <w:rFonts w:eastAsiaTheme="minorEastAsia"/>
                      <w:color w:val="0000FF"/>
                      <w:kern w:val="0"/>
                      <w:sz w:val="20"/>
                      <w:szCs w:val="20"/>
                    </w:rPr>
                    <w:t>烘干卸料口</w:t>
                  </w:r>
                </w:p>
              </w:tc>
              <w:tc>
                <w:tcPr>
                  <w:tcW w:w="1559" w:type="dxa"/>
                  <w:shd w:val="clear" w:color="auto" w:fill="auto"/>
                  <w:tcMar>
                    <w:top w:w="30" w:type="dxa"/>
                    <w:left w:w="30" w:type="dxa"/>
                    <w:bottom w:w="30" w:type="dxa"/>
                    <w:right w:w="30" w:type="dxa"/>
                  </w:tcMar>
                  <w:vAlign w:val="center"/>
                </w:tcPr>
                <w:p w14:paraId="174C5CA7">
                  <w:pPr>
                    <w:widowControl/>
                    <w:jc w:val="center"/>
                    <w:rPr>
                      <w:rFonts w:eastAsiaTheme="minorEastAsia"/>
                      <w:color w:val="0000FF"/>
                      <w:kern w:val="0"/>
                      <w:sz w:val="20"/>
                      <w:szCs w:val="20"/>
                    </w:rPr>
                  </w:pPr>
                  <w:r>
                    <w:rPr>
                      <w:rFonts w:eastAsiaTheme="minorEastAsia"/>
                      <w:color w:val="0000FF"/>
                      <w:kern w:val="0"/>
                      <w:sz w:val="20"/>
                      <w:szCs w:val="20"/>
                    </w:rPr>
                    <w:t>外部罩</w:t>
                  </w:r>
                </w:p>
                <w:p w14:paraId="678B3953">
                  <w:pPr>
                    <w:widowControl/>
                    <w:jc w:val="center"/>
                    <w:rPr>
                      <w:rFonts w:eastAsiaTheme="minorEastAsia"/>
                      <w:color w:val="0000FF"/>
                      <w:kern w:val="0"/>
                      <w:sz w:val="20"/>
                      <w:szCs w:val="20"/>
                    </w:rPr>
                  </w:pPr>
                  <w:r>
                    <w:rPr>
                      <w:rFonts w:eastAsiaTheme="minorEastAsia"/>
                      <w:color w:val="0000FF"/>
                      <w:kern w:val="0"/>
                      <w:sz w:val="20"/>
                      <w:szCs w:val="20"/>
                    </w:rPr>
                    <w:t>（上吸罩）</w:t>
                  </w:r>
                </w:p>
              </w:tc>
              <w:tc>
                <w:tcPr>
                  <w:tcW w:w="1134" w:type="dxa"/>
                  <w:shd w:val="clear" w:color="auto" w:fill="auto"/>
                  <w:tcMar>
                    <w:top w:w="30" w:type="dxa"/>
                    <w:left w:w="30" w:type="dxa"/>
                    <w:bottom w:w="30" w:type="dxa"/>
                    <w:right w:w="30" w:type="dxa"/>
                  </w:tcMar>
                  <w:vAlign w:val="center"/>
                </w:tcPr>
                <w:p w14:paraId="63230A01">
                  <w:pPr>
                    <w:widowControl/>
                    <w:jc w:val="center"/>
                    <w:rPr>
                      <w:rFonts w:eastAsiaTheme="minorEastAsia"/>
                      <w:color w:val="0000FF"/>
                      <w:kern w:val="0"/>
                      <w:sz w:val="20"/>
                      <w:szCs w:val="20"/>
                    </w:rPr>
                  </w:pPr>
                  <w:r>
                    <w:rPr>
                      <w:rFonts w:eastAsiaTheme="minorEastAsia"/>
                      <w:color w:val="0000FF"/>
                      <w:kern w:val="0"/>
                      <w:sz w:val="20"/>
                      <w:szCs w:val="20"/>
                    </w:rPr>
                    <w:t>半密闭罩</w:t>
                  </w:r>
                </w:p>
              </w:tc>
              <w:tc>
                <w:tcPr>
                  <w:tcW w:w="993" w:type="dxa"/>
                  <w:shd w:val="clear" w:color="auto" w:fill="auto"/>
                  <w:tcMar>
                    <w:top w:w="30" w:type="dxa"/>
                    <w:left w:w="30" w:type="dxa"/>
                    <w:bottom w:w="30" w:type="dxa"/>
                    <w:right w:w="30" w:type="dxa"/>
                  </w:tcMar>
                  <w:vAlign w:val="center"/>
                </w:tcPr>
                <w:p w14:paraId="5243B4EF">
                  <w:pPr>
                    <w:widowControl/>
                    <w:jc w:val="center"/>
                    <w:rPr>
                      <w:rFonts w:eastAsiaTheme="minorEastAsia"/>
                      <w:color w:val="0000FF"/>
                      <w:kern w:val="0"/>
                      <w:sz w:val="20"/>
                      <w:szCs w:val="20"/>
                    </w:rPr>
                  </w:pPr>
                  <w:r>
                    <w:rPr>
                      <w:rFonts w:eastAsiaTheme="minorEastAsia"/>
                      <w:color w:val="0000FF"/>
                      <w:kern w:val="0"/>
                      <w:sz w:val="20"/>
                      <w:szCs w:val="20"/>
                    </w:rPr>
                    <w:t>≥80%</w:t>
                  </w:r>
                </w:p>
              </w:tc>
              <w:tc>
                <w:tcPr>
                  <w:tcW w:w="3834" w:type="dxa"/>
                  <w:shd w:val="clear" w:color="auto" w:fill="auto"/>
                  <w:tcMar>
                    <w:top w:w="30" w:type="dxa"/>
                    <w:left w:w="30" w:type="dxa"/>
                    <w:bottom w:w="30" w:type="dxa"/>
                    <w:right w:w="30" w:type="dxa"/>
                  </w:tcMar>
                  <w:vAlign w:val="center"/>
                </w:tcPr>
                <w:p w14:paraId="0A81163C">
                  <w:pPr>
                    <w:widowControl/>
                    <w:jc w:val="left"/>
                    <w:rPr>
                      <w:rFonts w:eastAsiaTheme="minorEastAsia"/>
                      <w:color w:val="0000FF"/>
                      <w:kern w:val="0"/>
                      <w:sz w:val="20"/>
                      <w:szCs w:val="20"/>
                    </w:rPr>
                  </w:pPr>
                  <w:r>
                    <w:rPr>
                      <w:rFonts w:eastAsiaTheme="minorEastAsia"/>
                      <w:color w:val="0000FF"/>
                      <w:kern w:val="0"/>
                      <w:sz w:val="20"/>
                      <w:szCs w:val="20"/>
                    </w:rPr>
                    <w:t>温控烘干炉本身为封闭结构，但卸料口在出料时需保持敞开以保证物料正常卸出，且烘干后物料含水率低，物料自卸料口滑落过程中易扬起粉尘，在卸料口设半密闭罩（三面围挡+顶吸罩）收集逸散粉尘。</w:t>
                  </w:r>
                </w:p>
              </w:tc>
            </w:tr>
          </w:tbl>
          <w:p w14:paraId="219A594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（3）脉冲式布袋除尘器</w:t>
            </w:r>
          </w:p>
          <w:p w14:paraId="3960F96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炉窑出烟气温度最高为400℃，采用回流预热燃料及供氧的方式降温再进入布袋除尘器进行除尘，经过热交换和热损失，降温后烟气温度约为240℃，由于温度仍然较高，由于温度仍然较高，本项目采用玻璃纤维材质（耐高温280℃）布袋进行过滤，留有安全余量，且玻璃纤维材质相对其他高温滤料性价比高。</w:t>
            </w:r>
          </w:p>
          <w:p w14:paraId="584CA5C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脉冲式布袋除尘器的工作原理核心在于</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表面过滤</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与</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循环再生</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的有机结合。其工作周期可概括为两个自动交替的阶段：过滤除尘阶段，含尘气体均匀通过滤袋，粉尘被阻隔于袋壁，洁净气体排出，实现气固分离；清灰再生阶段，当</w:t>
            </w:r>
          </w:p>
          <w:p w14:paraId="0F7FC5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粉尘积聚使阻力增大时，系统通过脉冲喷吹等方式强力清灰，使滤袋恢复过滤能力，粉尘落入灰斗。这两个阶段周而复始，从而实现高效、连续、稳定的粉尘捕集与净化。</w:t>
            </w:r>
          </w:p>
          <w:p w14:paraId="33D96673">
            <w:pPr>
              <w:pStyle w:val="51"/>
              <w:spacing w:before="156"/>
              <w:rPr>
                <w:rFonts w:cs="Times New Roman"/>
              </w:rPr>
            </w:pPr>
            <w:r>
              <w:rPr>
                <w:rFonts w:cs="Times New Roman"/>
              </w:rPr>
              <w:drawing>
                <wp:inline distT="0" distB="0" distL="0" distR="0">
                  <wp:extent cx="4038600" cy="2876550"/>
                  <wp:effectExtent l="0" t="0" r="0" b="0"/>
                  <wp:docPr id="21342050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05053" name="图片 6"/>
                          <pic:cNvPicPr>
                            <a:picLocks noChangeAspect="1"/>
                          </pic:cNvPicPr>
                        </pic:nvPicPr>
                        <pic:blipFill>
                          <a:blip r:embed="rId13"/>
                          <a:stretch>
                            <a:fillRect/>
                          </a:stretch>
                        </pic:blipFill>
                        <pic:spPr>
                          <a:xfrm>
                            <a:off x="0" y="0"/>
                            <a:ext cx="4045367" cy="2881932"/>
                          </a:xfrm>
                          <a:prstGeom prst="rect">
                            <a:avLst/>
                          </a:prstGeom>
                        </pic:spPr>
                      </pic:pic>
                    </a:graphicData>
                  </a:graphic>
                </wp:inline>
              </w:drawing>
            </w:r>
          </w:p>
          <w:p w14:paraId="363C1096">
            <w:pPr>
              <w:ind w:firstLine="422"/>
              <w:jc w:val="center"/>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图4-2脉冲布袋除尘器结构示意图</w:t>
            </w:r>
          </w:p>
          <w:p w14:paraId="395516E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1）阶段一：过滤除尘</w:t>
            </w:r>
          </w:p>
          <w:p w14:paraId="105D19B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含尘气体首先进入脉冲式布袋除尘器下部的灰斗，流速降低使粗颗粒在重力作用下预沉降。随后气体向上流动，通过导流板被均匀分配到各个滤袋间的空间。在系统负压作用下，气体从外向内穿过滤袋的纤维孔隙，而粉尘颗粒由于尺寸大于孔隙或受惯性碰撞、拦截、扩散等效应，被高效截留在滤袋外表面，逐渐形成粉尘层。净化后的洁净气体则进入滤袋内部，向上汇集至净气室，最终经出口排出。这一过程持续进行，实现对含尘气流的连续净化。</w:t>
            </w:r>
          </w:p>
          <w:p w14:paraId="5EAFCA2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2）阶段二：清灰再生</w:t>
            </w:r>
          </w:p>
          <w:p w14:paraId="18EC44F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随着滤袋外壁粉尘层增厚，过滤阻力上升至设定值，清灰系统自动启动。控制系统触发脉冲阀瞬间开启，储气罐内的高压压缩空气经喷吹管喷嘴射入滤袋内部，形成逆向冲击气流。滤袋在瞬间膨胀和剧烈抖动下，表面附着的粉尘层受机械力与气流反吹作用而破裂、剥离。脱落的粉尘落入下部灰斗，经卸灰装置定期排出。清灰按滤袋分组轮流进行，确保脉冲式布袋除尘器在不停机状态下持续恢复过滤能力，维持系统稳定高效运行。</w:t>
            </w:r>
          </w:p>
          <w:p w14:paraId="3B1E940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袋式除尘器的主要特点是：</w:t>
            </w:r>
          </w:p>
          <w:p w14:paraId="1F223B7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A.除尘效率高，一般在99%以上；</w:t>
            </w:r>
          </w:p>
          <w:p w14:paraId="7F4F48E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B.处理风量范围广，小的仅每分钟数立方米，大的可达每分钟数万立方米；</w:t>
            </w:r>
          </w:p>
          <w:p w14:paraId="1FAC7A2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C.结构比较简单，维护操作方便；</w:t>
            </w:r>
          </w:p>
          <w:p w14:paraId="36D6A82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D.在同样高的除尘效率下，造价低于电除尘器；</w:t>
            </w:r>
          </w:p>
          <w:p w14:paraId="63FD70F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F.对粉尘的特征不敏感，不受粉尘比电阻的影响。滤袋质量直接影响着除尘器的除尘效率，滤袋的寿命又直接影响到除尘器的运行费用。</w:t>
            </w:r>
          </w:p>
          <w:p w14:paraId="0CE30E7F">
            <w:pPr>
              <w:pStyle w:val="65"/>
              <w:spacing w:before="156"/>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（4）石灰石/石膏法脱硫</w:t>
            </w:r>
          </w:p>
          <w:p w14:paraId="7DAFC70B">
            <w:pPr>
              <w:pStyle w:val="65"/>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石灰石/石膏湿法脱硫是效率最高、应用最广的烟气净化技术。其核心在于将石灰石粉与水配成浆液，在吸收塔内自上而下喷淋，与逆流上升的含硫烟气充分接触。烟气中的二氧化硫溶于浆液，与石灰石发生化学反应，生成亚硫酸钙；随后在塔底浆池中被强制鼓入的空气氧化，最终结晶成二水石膏。脱硫后的洁净烟气经除雾器除去液滴后，经烟囱排放。</w:t>
            </w:r>
          </w:p>
          <w:p w14:paraId="5B73F7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整个系统主要分为四个紧密衔接的环节：烟气系统负责输送与换热；吸收氧化系统是完成脱硫与石膏生成的核心；浆液制备系统持续供应新鲜吸收剂；副产品处理系统则将石膏浆液脱水，产出可资源化利用的石膏产品。</w:t>
            </w:r>
          </w:p>
          <w:p w14:paraId="0AFBB7A3">
            <w:pPr>
              <w:pStyle w:val="65"/>
              <w:spacing w:before="156"/>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7.非正常工况下废气排放情况</w:t>
            </w:r>
          </w:p>
          <w:p w14:paraId="75C0AEF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项目非正常工况污染源主要为废气治理设施发生故障，导致废气非正常排放。该情况下的事故排放源强按废气进入处理装置后处理效率为0计算，非正常情况下排放主要大气污染物排放源强见下表。</w:t>
            </w:r>
          </w:p>
          <w:p w14:paraId="7C0465BC">
            <w:pPr>
              <w:pStyle w:val="134"/>
              <w:spacing w:before="156" w:beforeLines="50"/>
              <w:ind w:firstLine="420"/>
              <w:rPr>
                <w:rFonts w:eastAsiaTheme="minorEastAsia"/>
                <w:color w:val="000000" w:themeColor="text1"/>
                <w:kern w:val="2"/>
                <w:sz w:val="21"/>
                <w:szCs w:val="21"/>
                <w14:textFill>
                  <w14:solidFill>
                    <w14:schemeClr w14:val="tx1"/>
                  </w14:solidFill>
                </w14:textFill>
              </w:rPr>
            </w:pPr>
            <w:r>
              <w:rPr>
                <w:rFonts w:eastAsiaTheme="minorEastAsia"/>
                <w:color w:val="000000" w:themeColor="text1"/>
                <w:kern w:val="2"/>
                <w:sz w:val="21"/>
                <w:szCs w:val="21"/>
                <w14:textFill>
                  <w14:solidFill>
                    <w14:schemeClr w14:val="tx1"/>
                  </w14:solidFill>
                </w14:textFill>
              </w:rPr>
              <w:t>表4-14非正常排放情况一览表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15"/>
              <w:gridCol w:w="937"/>
              <w:gridCol w:w="1065"/>
              <w:gridCol w:w="1276"/>
              <w:gridCol w:w="992"/>
              <w:gridCol w:w="1134"/>
              <w:gridCol w:w="2243"/>
            </w:tblGrid>
            <w:tr w14:paraId="4E0C457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restart"/>
                  <w:vAlign w:val="center"/>
                </w:tcPr>
                <w:p w14:paraId="4FBFC5D2">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排放位置</w:t>
                  </w:r>
                </w:p>
              </w:tc>
              <w:tc>
                <w:tcPr>
                  <w:tcW w:w="937" w:type="dxa"/>
                  <w:vMerge w:val="restart"/>
                  <w:vAlign w:val="center"/>
                </w:tcPr>
                <w:p w14:paraId="0B14F21E">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污染物</w:t>
                  </w:r>
                </w:p>
              </w:tc>
              <w:tc>
                <w:tcPr>
                  <w:tcW w:w="1065" w:type="dxa"/>
                  <w:vMerge w:val="restart"/>
                  <w:vAlign w:val="center"/>
                </w:tcPr>
                <w:p w14:paraId="3D9920CC">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非正常原因</w:t>
                  </w:r>
                </w:p>
              </w:tc>
              <w:tc>
                <w:tcPr>
                  <w:tcW w:w="3402" w:type="dxa"/>
                  <w:gridSpan w:val="3"/>
                  <w:vAlign w:val="center"/>
                </w:tcPr>
                <w:p w14:paraId="368BF8E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非正常排放状况</w:t>
                  </w:r>
                </w:p>
              </w:tc>
              <w:tc>
                <w:tcPr>
                  <w:tcW w:w="2243" w:type="dxa"/>
                  <w:vMerge w:val="restart"/>
                  <w:vAlign w:val="center"/>
                </w:tcPr>
                <w:p w14:paraId="32D91BC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 xml:space="preserve">应对措施 </w:t>
                  </w:r>
                </w:p>
              </w:tc>
            </w:tr>
            <w:tr w14:paraId="13C46AD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vAlign w:val="center"/>
                </w:tcPr>
                <w:p w14:paraId="47D0BBD8">
                  <w:pPr>
                    <w:widowControl/>
                    <w:rPr>
                      <w:rFonts w:eastAsiaTheme="minorEastAsia"/>
                      <w:color w:val="000000" w:themeColor="text1"/>
                      <w:kern w:val="0"/>
                      <w:szCs w:val="21"/>
                      <w14:textFill>
                        <w14:solidFill>
                          <w14:schemeClr w14:val="tx1"/>
                        </w14:solidFill>
                      </w14:textFill>
                    </w:rPr>
                  </w:pPr>
                </w:p>
              </w:tc>
              <w:tc>
                <w:tcPr>
                  <w:tcW w:w="937" w:type="dxa"/>
                  <w:vMerge w:val="continue"/>
                  <w:vAlign w:val="center"/>
                </w:tcPr>
                <w:p w14:paraId="2DC3255C">
                  <w:pPr>
                    <w:widowControl/>
                    <w:rPr>
                      <w:rFonts w:eastAsiaTheme="minorEastAsia"/>
                      <w:color w:val="000000" w:themeColor="text1"/>
                      <w:kern w:val="0"/>
                      <w:szCs w:val="21"/>
                      <w14:textFill>
                        <w14:solidFill>
                          <w14:schemeClr w14:val="tx1"/>
                        </w14:solidFill>
                      </w14:textFill>
                    </w:rPr>
                  </w:pPr>
                </w:p>
              </w:tc>
              <w:tc>
                <w:tcPr>
                  <w:tcW w:w="1065" w:type="dxa"/>
                  <w:vMerge w:val="continue"/>
                  <w:vAlign w:val="center"/>
                </w:tcPr>
                <w:p w14:paraId="327D16BC">
                  <w:pPr>
                    <w:widowControl/>
                    <w:rPr>
                      <w:rFonts w:eastAsiaTheme="minorEastAsia"/>
                      <w:color w:val="000000" w:themeColor="text1"/>
                      <w:kern w:val="0"/>
                      <w:szCs w:val="21"/>
                      <w14:textFill>
                        <w14:solidFill>
                          <w14:schemeClr w14:val="tx1"/>
                        </w14:solidFill>
                      </w14:textFill>
                    </w:rPr>
                  </w:pPr>
                </w:p>
              </w:tc>
              <w:tc>
                <w:tcPr>
                  <w:tcW w:w="1276" w:type="dxa"/>
                  <w:vAlign w:val="center"/>
                </w:tcPr>
                <w:p w14:paraId="03DDFBB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频次及持续时间</w:t>
                  </w:r>
                </w:p>
              </w:tc>
              <w:tc>
                <w:tcPr>
                  <w:tcW w:w="992" w:type="dxa"/>
                  <w:vAlign w:val="center"/>
                </w:tcPr>
                <w:p w14:paraId="760F92DE">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浓度mg/m</w:t>
                  </w:r>
                  <w:r>
                    <w:rPr>
                      <w:rFonts w:eastAsiaTheme="minorEastAsia"/>
                      <w:color w:val="000000" w:themeColor="text1"/>
                      <w:kern w:val="0"/>
                      <w:szCs w:val="21"/>
                      <w:vertAlign w:val="superscript"/>
                      <w14:textFill>
                        <w14:solidFill>
                          <w14:schemeClr w14:val="tx1"/>
                        </w14:solidFill>
                      </w14:textFill>
                    </w:rPr>
                    <w:t>3</w:t>
                  </w:r>
                </w:p>
              </w:tc>
              <w:tc>
                <w:tcPr>
                  <w:tcW w:w="1134" w:type="dxa"/>
                  <w:vAlign w:val="center"/>
                </w:tcPr>
                <w:p w14:paraId="4E824F9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速率kg/h</w:t>
                  </w:r>
                </w:p>
              </w:tc>
              <w:tc>
                <w:tcPr>
                  <w:tcW w:w="2243" w:type="dxa"/>
                  <w:vMerge w:val="continue"/>
                  <w:vAlign w:val="center"/>
                </w:tcPr>
                <w:p w14:paraId="783491A5">
                  <w:pPr>
                    <w:widowControl/>
                    <w:rPr>
                      <w:rFonts w:eastAsiaTheme="minorEastAsia"/>
                      <w:color w:val="000000" w:themeColor="text1"/>
                      <w:kern w:val="0"/>
                      <w:szCs w:val="21"/>
                      <w14:textFill>
                        <w14:solidFill>
                          <w14:schemeClr w14:val="tx1"/>
                        </w14:solidFill>
                      </w14:textFill>
                    </w:rPr>
                  </w:pPr>
                </w:p>
              </w:tc>
            </w:tr>
            <w:tr w14:paraId="134EC67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715" w:type="dxa"/>
                  <w:vMerge w:val="restart"/>
                  <w:vAlign w:val="center"/>
                </w:tcPr>
                <w:p w14:paraId="7142A1C6">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DA001</w:t>
                  </w:r>
                </w:p>
              </w:tc>
              <w:tc>
                <w:tcPr>
                  <w:tcW w:w="937" w:type="dxa"/>
                  <w:vAlign w:val="center"/>
                </w:tcPr>
                <w:p w14:paraId="24451E92">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1065" w:type="dxa"/>
                  <w:vMerge w:val="restart"/>
                  <w:vAlign w:val="center"/>
                </w:tcPr>
                <w:p w14:paraId="0AB2816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废气处理设施故障</w:t>
                  </w:r>
                </w:p>
              </w:tc>
              <w:tc>
                <w:tcPr>
                  <w:tcW w:w="1276" w:type="dxa"/>
                  <w:vMerge w:val="restart"/>
                  <w:vAlign w:val="center"/>
                </w:tcPr>
                <w:p w14:paraId="7D1B5FB9">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1次/年，1h/次</w:t>
                  </w:r>
                </w:p>
              </w:tc>
              <w:tc>
                <w:tcPr>
                  <w:tcW w:w="992" w:type="dxa"/>
                  <w:vAlign w:val="center"/>
                </w:tcPr>
                <w:p w14:paraId="1E344075">
                  <w:pPr>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 xml:space="preserve">2360.5313 </w:t>
                  </w:r>
                </w:p>
              </w:tc>
              <w:tc>
                <w:tcPr>
                  <w:tcW w:w="1134" w:type="dxa"/>
                  <w:vAlign w:val="center"/>
                </w:tcPr>
                <w:p w14:paraId="559992E8">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11.8027</w:t>
                  </w:r>
                </w:p>
              </w:tc>
              <w:tc>
                <w:tcPr>
                  <w:tcW w:w="2243" w:type="dxa"/>
                  <w:vMerge w:val="restart"/>
                </w:tcPr>
                <w:p w14:paraId="7FA5B647">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立即停止生产，关闭排放阀，及时维修故障设备，在除尘设备能够正常运行前不进行生产</w:t>
                  </w:r>
                </w:p>
              </w:tc>
            </w:tr>
            <w:tr w14:paraId="59BE769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715" w:type="dxa"/>
                  <w:vMerge w:val="continue"/>
                  <w:vAlign w:val="center"/>
                </w:tcPr>
                <w:p w14:paraId="50219DA0">
                  <w:pPr>
                    <w:widowControl/>
                    <w:jc w:val="center"/>
                    <w:rPr>
                      <w:rFonts w:eastAsiaTheme="minorEastAsia"/>
                      <w:color w:val="000000" w:themeColor="text1"/>
                      <w:kern w:val="0"/>
                      <w:szCs w:val="21"/>
                      <w14:textFill>
                        <w14:solidFill>
                          <w14:schemeClr w14:val="tx1"/>
                        </w14:solidFill>
                      </w14:textFill>
                    </w:rPr>
                  </w:pPr>
                </w:p>
              </w:tc>
              <w:tc>
                <w:tcPr>
                  <w:tcW w:w="937" w:type="dxa"/>
                  <w:vAlign w:val="center"/>
                </w:tcPr>
                <w:p w14:paraId="34A8D266">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1065" w:type="dxa"/>
                  <w:vMerge w:val="continue"/>
                  <w:vAlign w:val="center"/>
                </w:tcPr>
                <w:p w14:paraId="4B9C73A3">
                  <w:pPr>
                    <w:widowControl/>
                    <w:jc w:val="center"/>
                    <w:rPr>
                      <w:rFonts w:eastAsiaTheme="minorEastAsia"/>
                      <w:color w:val="000000" w:themeColor="text1"/>
                      <w:kern w:val="0"/>
                      <w:szCs w:val="21"/>
                      <w14:textFill>
                        <w14:solidFill>
                          <w14:schemeClr w14:val="tx1"/>
                        </w14:solidFill>
                      </w14:textFill>
                    </w:rPr>
                  </w:pPr>
                </w:p>
              </w:tc>
              <w:tc>
                <w:tcPr>
                  <w:tcW w:w="1276" w:type="dxa"/>
                  <w:vMerge w:val="continue"/>
                  <w:vAlign w:val="center"/>
                </w:tcPr>
                <w:p w14:paraId="4C0D1339">
                  <w:pPr>
                    <w:widowControl/>
                    <w:jc w:val="center"/>
                    <w:rPr>
                      <w:rFonts w:eastAsiaTheme="minorEastAsia"/>
                      <w:color w:val="000000" w:themeColor="text1"/>
                      <w:kern w:val="0"/>
                      <w:szCs w:val="21"/>
                      <w14:textFill>
                        <w14:solidFill>
                          <w14:schemeClr w14:val="tx1"/>
                        </w14:solidFill>
                      </w14:textFill>
                    </w:rPr>
                  </w:pPr>
                </w:p>
              </w:tc>
              <w:tc>
                <w:tcPr>
                  <w:tcW w:w="992" w:type="dxa"/>
                  <w:vAlign w:val="center"/>
                </w:tcPr>
                <w:p w14:paraId="2CA757D6">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650.2375 </w:t>
                  </w:r>
                </w:p>
              </w:tc>
              <w:tc>
                <w:tcPr>
                  <w:tcW w:w="1134" w:type="dxa"/>
                  <w:vAlign w:val="center"/>
                </w:tcPr>
                <w:p w14:paraId="2AE17653">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3.2512</w:t>
                  </w:r>
                </w:p>
              </w:tc>
              <w:tc>
                <w:tcPr>
                  <w:tcW w:w="2243" w:type="dxa"/>
                  <w:vMerge w:val="continue"/>
                </w:tcPr>
                <w:p w14:paraId="26850FDE">
                  <w:pPr>
                    <w:jc w:val="center"/>
                    <w:rPr>
                      <w:rFonts w:eastAsiaTheme="minorEastAsia"/>
                      <w:color w:val="000000" w:themeColor="text1"/>
                      <w:szCs w:val="21"/>
                      <w14:textFill>
                        <w14:solidFill>
                          <w14:schemeClr w14:val="tx1"/>
                        </w14:solidFill>
                      </w14:textFill>
                    </w:rPr>
                  </w:pPr>
                </w:p>
              </w:tc>
            </w:tr>
            <w:tr w14:paraId="35E76A5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vAlign w:val="center"/>
                </w:tcPr>
                <w:p w14:paraId="7AD84882">
                  <w:pPr>
                    <w:widowControl/>
                    <w:jc w:val="center"/>
                    <w:rPr>
                      <w:rFonts w:eastAsiaTheme="minorEastAsia"/>
                      <w:color w:val="000000" w:themeColor="text1"/>
                      <w:kern w:val="0"/>
                      <w:szCs w:val="21"/>
                      <w14:textFill>
                        <w14:solidFill>
                          <w14:schemeClr w14:val="tx1"/>
                        </w14:solidFill>
                      </w14:textFill>
                    </w:rPr>
                  </w:pPr>
                </w:p>
              </w:tc>
              <w:tc>
                <w:tcPr>
                  <w:tcW w:w="937" w:type="dxa"/>
                  <w:vAlign w:val="center"/>
                </w:tcPr>
                <w:p w14:paraId="56629245">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氮氧化物</w:t>
                  </w:r>
                </w:p>
              </w:tc>
              <w:tc>
                <w:tcPr>
                  <w:tcW w:w="1065" w:type="dxa"/>
                  <w:vMerge w:val="continue"/>
                  <w:vAlign w:val="center"/>
                </w:tcPr>
                <w:p w14:paraId="1E924267">
                  <w:pPr>
                    <w:widowControl/>
                    <w:jc w:val="center"/>
                    <w:rPr>
                      <w:rFonts w:eastAsiaTheme="minorEastAsia"/>
                      <w:color w:val="000000" w:themeColor="text1"/>
                      <w:kern w:val="0"/>
                      <w:szCs w:val="21"/>
                      <w14:textFill>
                        <w14:solidFill>
                          <w14:schemeClr w14:val="tx1"/>
                        </w14:solidFill>
                      </w14:textFill>
                    </w:rPr>
                  </w:pPr>
                </w:p>
              </w:tc>
              <w:tc>
                <w:tcPr>
                  <w:tcW w:w="1276" w:type="dxa"/>
                  <w:vMerge w:val="continue"/>
                  <w:vAlign w:val="center"/>
                </w:tcPr>
                <w:p w14:paraId="6C0A1B05">
                  <w:pPr>
                    <w:widowControl/>
                    <w:jc w:val="center"/>
                    <w:rPr>
                      <w:rFonts w:eastAsiaTheme="minorEastAsia"/>
                      <w:color w:val="000000" w:themeColor="text1"/>
                      <w:kern w:val="0"/>
                      <w:szCs w:val="21"/>
                      <w14:textFill>
                        <w14:solidFill>
                          <w14:schemeClr w14:val="tx1"/>
                        </w14:solidFill>
                      </w14:textFill>
                    </w:rPr>
                  </w:pPr>
                </w:p>
              </w:tc>
              <w:tc>
                <w:tcPr>
                  <w:tcW w:w="992" w:type="dxa"/>
                  <w:vAlign w:val="center"/>
                </w:tcPr>
                <w:p w14:paraId="5ABB7218">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31.9275 </w:t>
                  </w:r>
                </w:p>
              </w:tc>
              <w:tc>
                <w:tcPr>
                  <w:tcW w:w="1134" w:type="dxa"/>
                  <w:vAlign w:val="center"/>
                </w:tcPr>
                <w:p w14:paraId="6414F67B">
                  <w:pPr>
                    <w:jc w:val="center"/>
                    <w:rPr>
                      <w:rFonts w:eastAsiaTheme="minorEastAsia"/>
                      <w:color w:val="000000" w:themeColor="text1"/>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0.1596</w:t>
                  </w:r>
                </w:p>
              </w:tc>
              <w:tc>
                <w:tcPr>
                  <w:tcW w:w="2243" w:type="dxa"/>
                  <w:vMerge w:val="continue"/>
                </w:tcPr>
                <w:p w14:paraId="1340BEE1">
                  <w:pPr>
                    <w:jc w:val="center"/>
                    <w:rPr>
                      <w:rFonts w:eastAsiaTheme="minorEastAsia"/>
                      <w:color w:val="000000" w:themeColor="text1"/>
                      <w:szCs w:val="21"/>
                      <w14:textFill>
                        <w14:solidFill>
                          <w14:schemeClr w14:val="tx1"/>
                        </w14:solidFill>
                      </w14:textFill>
                    </w:rPr>
                  </w:pPr>
                </w:p>
              </w:tc>
            </w:tr>
            <w:tr w14:paraId="5FDBCA9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Align w:val="center"/>
                </w:tcPr>
                <w:p w14:paraId="09E6A88E">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14:textFill>
                        <w14:solidFill>
                          <w14:schemeClr w14:val="tx1"/>
                        </w14:solidFill>
                      </w14:textFill>
                    </w:rPr>
                    <w:t>DA002</w:t>
                  </w:r>
                </w:p>
              </w:tc>
              <w:tc>
                <w:tcPr>
                  <w:tcW w:w="937" w:type="dxa"/>
                  <w:vAlign w:val="center"/>
                </w:tcPr>
                <w:p w14:paraId="70DCFE1D">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1065" w:type="dxa"/>
                  <w:vAlign w:val="center"/>
                </w:tcPr>
                <w:p w14:paraId="690D9705">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14:textFill>
                        <w14:solidFill>
                          <w14:schemeClr w14:val="tx1"/>
                        </w14:solidFill>
                      </w14:textFill>
                    </w:rPr>
                    <w:t>废气处理设施故障</w:t>
                  </w:r>
                </w:p>
              </w:tc>
              <w:tc>
                <w:tcPr>
                  <w:tcW w:w="1276" w:type="dxa"/>
                  <w:vAlign w:val="center"/>
                </w:tcPr>
                <w:p w14:paraId="496777A7">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14:textFill>
                        <w14:solidFill>
                          <w14:schemeClr w14:val="tx1"/>
                        </w14:solidFill>
                      </w14:textFill>
                    </w:rPr>
                    <w:t>1次/年，1h/次</w:t>
                  </w:r>
                </w:p>
              </w:tc>
              <w:tc>
                <w:tcPr>
                  <w:tcW w:w="992" w:type="dxa"/>
                  <w:vAlign w:val="center"/>
                </w:tcPr>
                <w:p w14:paraId="21661D88">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641.2563</w:t>
                  </w:r>
                </w:p>
              </w:tc>
              <w:tc>
                <w:tcPr>
                  <w:tcW w:w="1134" w:type="dxa"/>
                  <w:vAlign w:val="center"/>
                </w:tcPr>
                <w:p w14:paraId="6587B868">
                  <w:pPr>
                    <w:jc w:val="center"/>
                    <w:rPr>
                      <w:rFonts w:eastAsiaTheme="minorEastAsia"/>
                      <w:color w:val="000000" w:themeColor="text1"/>
                      <w:sz w:val="22"/>
                      <w:szCs w:val="22"/>
                      <w14:textFill>
                        <w14:solidFill>
                          <w14:schemeClr w14:val="tx1"/>
                        </w14:solidFill>
                      </w14:textFill>
                    </w:rPr>
                  </w:pPr>
                  <w:r>
                    <w:rPr>
                      <w:rFonts w:eastAsiaTheme="minorEastAsia"/>
                      <w:color w:val="0000FF"/>
                      <w:sz w:val="22"/>
                      <w:szCs w:val="22"/>
                    </w:rPr>
                    <w:t>11.4272</w:t>
                  </w:r>
                </w:p>
              </w:tc>
              <w:tc>
                <w:tcPr>
                  <w:tcW w:w="2243" w:type="dxa"/>
                </w:tcPr>
                <w:p w14:paraId="22BA4AFF">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立即停止生产，关闭排放阀，及时维修故障设备，在除尘设备能够正常运行前不进行生产</w:t>
                  </w:r>
                </w:p>
              </w:tc>
            </w:tr>
            <w:tr w14:paraId="3D54869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restart"/>
                  <w:vAlign w:val="center"/>
                </w:tcPr>
                <w:p w14:paraId="0DF8C8CC">
                  <w:pPr>
                    <w:widowControl/>
                    <w:jc w:val="center"/>
                    <w:rPr>
                      <w:rFonts w:eastAsiaTheme="minorEastAsia"/>
                      <w:color w:val="000000" w:themeColor="text1"/>
                      <w:kern w:val="0"/>
                      <w:szCs w:val="21"/>
                      <w14:textFill>
                        <w14:solidFill>
                          <w14:schemeClr w14:val="tx1"/>
                        </w14:solidFill>
                      </w14:textFill>
                    </w:rPr>
                  </w:pPr>
                  <w:r>
                    <w:rPr>
                      <w:rFonts w:eastAsiaTheme="minorEastAsia"/>
                      <w:color w:val="0000FF"/>
                      <w:kern w:val="0"/>
                      <w:szCs w:val="21"/>
                    </w:rPr>
                    <w:t>DA001</w:t>
                  </w:r>
                </w:p>
              </w:tc>
              <w:tc>
                <w:tcPr>
                  <w:tcW w:w="937" w:type="dxa"/>
                  <w:vAlign w:val="center"/>
                </w:tcPr>
                <w:p w14:paraId="1C3BF2D5">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1065" w:type="dxa"/>
                  <w:vMerge w:val="restart"/>
                  <w:vAlign w:val="center"/>
                </w:tcPr>
                <w:p w14:paraId="42DF9C1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炉窑开停车</w:t>
                  </w:r>
                </w:p>
              </w:tc>
              <w:tc>
                <w:tcPr>
                  <w:tcW w:w="1276" w:type="dxa"/>
                  <w:vMerge w:val="restart"/>
                  <w:vAlign w:val="center"/>
                </w:tcPr>
                <w:p w14:paraId="1774C9FF">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1次/日，5min/次</w:t>
                  </w:r>
                </w:p>
              </w:tc>
              <w:tc>
                <w:tcPr>
                  <w:tcW w:w="992" w:type="dxa"/>
                  <w:vAlign w:val="center"/>
                </w:tcPr>
                <w:p w14:paraId="7675FDB8">
                  <w:pPr>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 xml:space="preserve">23.6053 </w:t>
                  </w:r>
                </w:p>
              </w:tc>
              <w:tc>
                <w:tcPr>
                  <w:tcW w:w="1134" w:type="dxa"/>
                  <w:vAlign w:val="center"/>
                </w:tcPr>
                <w:p w14:paraId="279383FE">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0.1180 </w:t>
                  </w:r>
                </w:p>
              </w:tc>
              <w:tc>
                <w:tcPr>
                  <w:tcW w:w="2243" w:type="dxa"/>
                  <w:vMerge w:val="restart"/>
                  <w:vAlign w:val="center"/>
                </w:tcPr>
                <w:p w14:paraId="613B5C65">
                  <w:pPr>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炉窑开停车期间保证环境保护设施正常运行</w:t>
                  </w:r>
                </w:p>
              </w:tc>
            </w:tr>
            <w:tr w14:paraId="41EBBCB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vAlign w:val="center"/>
                </w:tcPr>
                <w:p w14:paraId="6EBBA737">
                  <w:pPr>
                    <w:widowControl/>
                    <w:jc w:val="center"/>
                    <w:rPr>
                      <w:rFonts w:eastAsiaTheme="minorEastAsia"/>
                      <w:color w:val="000000" w:themeColor="text1"/>
                      <w:kern w:val="0"/>
                      <w:szCs w:val="21"/>
                      <w14:textFill>
                        <w14:solidFill>
                          <w14:schemeClr w14:val="tx1"/>
                        </w14:solidFill>
                      </w14:textFill>
                    </w:rPr>
                  </w:pPr>
                </w:p>
              </w:tc>
              <w:tc>
                <w:tcPr>
                  <w:tcW w:w="937" w:type="dxa"/>
                  <w:vAlign w:val="center"/>
                </w:tcPr>
                <w:p w14:paraId="300AE5D0">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1065" w:type="dxa"/>
                  <w:vMerge w:val="continue"/>
                </w:tcPr>
                <w:p w14:paraId="2D1F27B8">
                  <w:pPr>
                    <w:widowControl/>
                    <w:jc w:val="center"/>
                    <w:rPr>
                      <w:rFonts w:eastAsiaTheme="minorEastAsia"/>
                      <w:color w:val="000000" w:themeColor="text1"/>
                      <w:kern w:val="0"/>
                      <w:szCs w:val="21"/>
                      <w14:textFill>
                        <w14:solidFill>
                          <w14:schemeClr w14:val="tx1"/>
                        </w14:solidFill>
                      </w14:textFill>
                    </w:rPr>
                  </w:pPr>
                </w:p>
              </w:tc>
              <w:tc>
                <w:tcPr>
                  <w:tcW w:w="1276" w:type="dxa"/>
                  <w:vMerge w:val="continue"/>
                  <w:vAlign w:val="center"/>
                </w:tcPr>
                <w:p w14:paraId="1F437871">
                  <w:pPr>
                    <w:widowControl/>
                    <w:jc w:val="center"/>
                    <w:rPr>
                      <w:rFonts w:eastAsiaTheme="minorEastAsia"/>
                      <w:color w:val="000000" w:themeColor="text1"/>
                      <w:kern w:val="0"/>
                      <w:szCs w:val="21"/>
                      <w14:textFill>
                        <w14:solidFill>
                          <w14:schemeClr w14:val="tx1"/>
                        </w14:solidFill>
                      </w14:textFill>
                    </w:rPr>
                  </w:pPr>
                </w:p>
              </w:tc>
              <w:tc>
                <w:tcPr>
                  <w:tcW w:w="992" w:type="dxa"/>
                  <w:vAlign w:val="center"/>
                </w:tcPr>
                <w:p w14:paraId="7A703C2C">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65.0238 </w:t>
                  </w:r>
                </w:p>
              </w:tc>
              <w:tc>
                <w:tcPr>
                  <w:tcW w:w="1134" w:type="dxa"/>
                  <w:vAlign w:val="center"/>
                </w:tcPr>
                <w:p w14:paraId="3EC15BDF">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0.3251 </w:t>
                  </w:r>
                </w:p>
              </w:tc>
              <w:tc>
                <w:tcPr>
                  <w:tcW w:w="2243" w:type="dxa"/>
                  <w:vMerge w:val="continue"/>
                </w:tcPr>
                <w:p w14:paraId="1AEE4578">
                  <w:pPr>
                    <w:jc w:val="center"/>
                    <w:rPr>
                      <w:rFonts w:eastAsiaTheme="minorEastAsia"/>
                      <w:color w:val="000000" w:themeColor="text1"/>
                      <w:szCs w:val="21"/>
                      <w14:textFill>
                        <w14:solidFill>
                          <w14:schemeClr w14:val="tx1"/>
                        </w14:solidFill>
                      </w14:textFill>
                    </w:rPr>
                  </w:pPr>
                </w:p>
              </w:tc>
            </w:tr>
            <w:tr w14:paraId="794B5AD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vAlign w:val="center"/>
                </w:tcPr>
                <w:p w14:paraId="0BB2EA09">
                  <w:pPr>
                    <w:widowControl/>
                    <w:jc w:val="center"/>
                    <w:rPr>
                      <w:rFonts w:eastAsiaTheme="minorEastAsia"/>
                      <w:color w:val="000000" w:themeColor="text1"/>
                      <w:kern w:val="0"/>
                      <w:szCs w:val="21"/>
                      <w14:textFill>
                        <w14:solidFill>
                          <w14:schemeClr w14:val="tx1"/>
                        </w14:solidFill>
                      </w14:textFill>
                    </w:rPr>
                  </w:pPr>
                </w:p>
              </w:tc>
              <w:tc>
                <w:tcPr>
                  <w:tcW w:w="937" w:type="dxa"/>
                  <w:vAlign w:val="center"/>
                </w:tcPr>
                <w:p w14:paraId="69C907E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氮氧化物</w:t>
                  </w:r>
                </w:p>
              </w:tc>
              <w:tc>
                <w:tcPr>
                  <w:tcW w:w="1065" w:type="dxa"/>
                  <w:vMerge w:val="continue"/>
                </w:tcPr>
                <w:p w14:paraId="6041F2D3">
                  <w:pPr>
                    <w:widowControl/>
                    <w:jc w:val="center"/>
                    <w:rPr>
                      <w:rFonts w:eastAsiaTheme="minorEastAsia"/>
                      <w:color w:val="000000" w:themeColor="text1"/>
                      <w:kern w:val="0"/>
                      <w:szCs w:val="21"/>
                      <w14:textFill>
                        <w14:solidFill>
                          <w14:schemeClr w14:val="tx1"/>
                        </w14:solidFill>
                      </w14:textFill>
                    </w:rPr>
                  </w:pPr>
                </w:p>
              </w:tc>
              <w:tc>
                <w:tcPr>
                  <w:tcW w:w="1276" w:type="dxa"/>
                  <w:vMerge w:val="continue"/>
                  <w:vAlign w:val="center"/>
                </w:tcPr>
                <w:p w14:paraId="5D0D7FC9">
                  <w:pPr>
                    <w:widowControl/>
                    <w:jc w:val="center"/>
                    <w:rPr>
                      <w:rFonts w:eastAsiaTheme="minorEastAsia"/>
                      <w:color w:val="000000" w:themeColor="text1"/>
                      <w:kern w:val="0"/>
                      <w:szCs w:val="21"/>
                      <w14:textFill>
                        <w14:solidFill>
                          <w14:schemeClr w14:val="tx1"/>
                        </w14:solidFill>
                      </w14:textFill>
                    </w:rPr>
                  </w:pPr>
                </w:p>
              </w:tc>
              <w:tc>
                <w:tcPr>
                  <w:tcW w:w="992" w:type="dxa"/>
                  <w:vAlign w:val="center"/>
                </w:tcPr>
                <w:p w14:paraId="69EC3AE0">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31.9275 </w:t>
                  </w:r>
                </w:p>
              </w:tc>
              <w:tc>
                <w:tcPr>
                  <w:tcW w:w="1134" w:type="dxa"/>
                  <w:vAlign w:val="center"/>
                </w:tcPr>
                <w:p w14:paraId="269BA30E">
                  <w:pPr>
                    <w:jc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0.1596 </w:t>
                  </w:r>
                </w:p>
              </w:tc>
              <w:tc>
                <w:tcPr>
                  <w:tcW w:w="2243" w:type="dxa"/>
                  <w:vMerge w:val="continue"/>
                </w:tcPr>
                <w:p w14:paraId="3BCB1758">
                  <w:pPr>
                    <w:jc w:val="center"/>
                    <w:rPr>
                      <w:rFonts w:eastAsiaTheme="minorEastAsia"/>
                      <w:color w:val="000000" w:themeColor="text1"/>
                      <w:szCs w:val="21"/>
                      <w14:textFill>
                        <w14:solidFill>
                          <w14:schemeClr w14:val="tx1"/>
                        </w14:solidFill>
                      </w14:textFill>
                    </w:rPr>
                  </w:pPr>
                </w:p>
              </w:tc>
            </w:tr>
          </w:tbl>
          <w:p w14:paraId="5AE8DC1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由上表可知，在非正常工况下颗粒物的排放量增加。为防止废气非正常排放，应采取以下措施确保废气达标排放：</w:t>
            </w:r>
          </w:p>
          <w:p w14:paraId="324F8305">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立即报告车间负责人，并通知工作人员停止作业，查找泄漏源。</w:t>
            </w:r>
          </w:p>
          <w:p w14:paraId="2F62208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对废气处理设备进行检修，查明故障原因并排除故障。</w:t>
            </w:r>
          </w:p>
          <w:p w14:paraId="62876A8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立即对排放口进、出口和排放设备进行密切监测，并将结果迅速、准确汇报给现场指挥。</w:t>
            </w:r>
          </w:p>
          <w:p w14:paraId="000DDA4B">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检修人员针对监测结果制定调整方案，实施调整。</w:t>
            </w:r>
          </w:p>
          <w:p w14:paraId="2E7C134A">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rFonts w:eastAsiaTheme="minorEastAsia"/>
                <w:color w:val="000000" w:themeColor="text1"/>
                <w14:textFill>
                  <w14:solidFill>
                    <w14:schemeClr w14:val="tx1"/>
                  </w14:solidFill>
                </w14:textFill>
              </w:rPr>
              <w:t>待故障排除，废气稳定达标排放后，再进行生产作业；同时加强日常巡检。</w:t>
            </w:r>
          </w:p>
          <w:p w14:paraId="68FCBF85">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rFonts w:eastAsiaTheme="minorEastAsia"/>
                <w:color w:val="000000" w:themeColor="text1"/>
                <w14:textFill>
                  <w14:solidFill>
                    <w14:schemeClr w14:val="tx1"/>
                  </w14:solidFill>
                </w14:textFill>
              </w:rPr>
              <w:t>炉窑开停车期间保证环境保护设施正常运行。</w:t>
            </w:r>
          </w:p>
          <w:p w14:paraId="434C3D4A">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8.废气环境影响分析</w:t>
            </w:r>
          </w:p>
          <w:p w14:paraId="5ED80FE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（1）烘干废气排气筒DA001</w:t>
            </w:r>
          </w:p>
          <w:p w14:paraId="21E710D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炉窑烘干排气筒颗粒物、二氧化硫、氮氧化物。其中二氧化硫排放量为0.9363t/a，排放浓度为65.0238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；颗粒物排放量为0.3399t/a，排放浓度为23.6053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；氮氧化物排放量为0.4598t/a，排放浓度为31.9275 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w:t>
            </w:r>
          </w:p>
          <w:p w14:paraId="387D2474">
            <w:pPr>
              <w:pStyle w:val="65"/>
              <w:ind w:firstLine="480"/>
              <w:rPr>
                <w:rFonts w:eastAsiaTheme="minorEastAsia"/>
                <w:color w:val="0000FF"/>
              </w:rPr>
            </w:pPr>
            <w:r>
              <w:rPr>
                <w:rFonts w:eastAsiaTheme="minorEastAsia"/>
                <w:color w:val="0000FF"/>
              </w:rPr>
              <w:t>烘干炉排放污染物满足《工业炉窑大气污染物排放标准》</w:t>
            </w:r>
            <w:r>
              <w:rPr>
                <w:rFonts w:hint="eastAsia" w:eastAsiaTheme="minorEastAsia"/>
                <w:color w:val="0000FF"/>
              </w:rPr>
              <w:t>（</w:t>
            </w:r>
            <w:r>
              <w:rPr>
                <w:rFonts w:eastAsiaTheme="minorEastAsia"/>
                <w:color w:val="0000FF"/>
              </w:rPr>
              <w:t>GB 9078-1996</w:t>
            </w:r>
            <w:r>
              <w:rPr>
                <w:rFonts w:hint="eastAsia" w:eastAsiaTheme="minorEastAsia"/>
                <w:color w:val="0000FF"/>
              </w:rPr>
              <w:t>）</w:t>
            </w:r>
            <w:r>
              <w:rPr>
                <w:rFonts w:eastAsiaTheme="minorEastAsia"/>
                <w:color w:val="0000FF"/>
              </w:rPr>
              <w:t>表2中</w:t>
            </w:r>
            <w:r>
              <w:rPr>
                <w:rFonts w:hint="eastAsia" w:eastAsiaTheme="minorEastAsia"/>
                <w:color w:val="0000FF"/>
              </w:rPr>
              <w:t>“</w:t>
            </w:r>
            <w:r>
              <w:rPr>
                <w:rFonts w:eastAsiaTheme="minorEastAsia"/>
                <w:color w:val="0000FF"/>
              </w:rPr>
              <w:t>干燥炉、窑</w:t>
            </w:r>
            <w:r>
              <w:rPr>
                <w:rFonts w:hint="eastAsia" w:eastAsiaTheme="minorEastAsia"/>
                <w:color w:val="0000FF"/>
              </w:rPr>
              <w:t>”</w:t>
            </w:r>
            <w:r>
              <w:rPr>
                <w:rFonts w:eastAsiaTheme="minorEastAsia"/>
                <w:color w:val="0000FF"/>
              </w:rPr>
              <w:t>二级标准限制颗粒物200mg/m³，二氧化硫、氮氧化物满足《大气污染物综合排放标准》（GB16297-1996）表2中15m高排气筒二级标准限值SO₂为550mg/m³、NOₓ为240mg/m³。</w:t>
            </w:r>
          </w:p>
          <w:p w14:paraId="33EC39A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（2）投料、混料废气排气筒DA002</w:t>
            </w:r>
          </w:p>
          <w:p w14:paraId="086C886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投料、混料、造球、</w:t>
            </w:r>
            <w:r>
              <w:rPr>
                <w:rFonts w:eastAsiaTheme="minorEastAsia"/>
                <w:color w:val="0000FF"/>
              </w:rPr>
              <w:t>烘干卸料</w:t>
            </w:r>
            <w:r>
              <w:rPr>
                <w:rFonts w:eastAsiaTheme="minorEastAsia"/>
                <w:color w:val="000000" w:themeColor="text1"/>
                <w14:textFill>
                  <w14:solidFill>
                    <w14:schemeClr w14:val="tx1"/>
                  </w14:solidFill>
                </w14:textFill>
              </w:rPr>
              <w:t>废气排气筒颗粒物排放量</w:t>
            </w:r>
            <w:r>
              <w:rPr>
                <w:rFonts w:eastAsiaTheme="minorEastAsia"/>
                <w:color w:val="0000FF"/>
              </w:rPr>
              <w:t>为0.3291t/a，</w:t>
            </w:r>
            <w:r>
              <w:rPr>
                <w:rFonts w:eastAsiaTheme="minorEastAsia"/>
                <w:color w:val="000000" w:themeColor="text1"/>
                <w14:textFill>
                  <w14:solidFill>
                    <w14:schemeClr w14:val="tx1"/>
                  </w14:solidFill>
                </w14:textFill>
              </w:rPr>
              <w:t>排放浓度为</w:t>
            </w:r>
            <w:r>
              <w:rPr>
                <w:rFonts w:eastAsiaTheme="minorEastAsia"/>
                <w:color w:val="0000FF"/>
              </w:rPr>
              <w:t>6.4126</w:t>
            </w:r>
            <w:r>
              <w:rPr>
                <w:rFonts w:eastAsiaTheme="minorEastAsia"/>
                <w:color w:val="0000FF"/>
                <w:kern w:val="0"/>
              </w:rPr>
              <w:t>mg/m</w:t>
            </w:r>
            <w:r>
              <w:rPr>
                <w:rFonts w:eastAsiaTheme="minorEastAsia"/>
                <w:color w:val="0000FF"/>
                <w:kern w:val="0"/>
                <w:vertAlign w:val="superscript"/>
              </w:rPr>
              <w:t>3</w:t>
            </w:r>
            <w:r>
              <w:rPr>
                <w:rFonts w:eastAsiaTheme="minorEastAsia"/>
                <w:color w:val="0000FF"/>
              </w:rPr>
              <w:t>。</w:t>
            </w:r>
            <w:r>
              <w:rPr>
                <w:rFonts w:eastAsiaTheme="minorEastAsia"/>
                <w:color w:val="000000" w:themeColor="text1"/>
                <w14:textFill>
                  <w14:solidFill>
                    <w14:schemeClr w14:val="tx1"/>
                  </w14:solidFill>
                </w14:textFill>
              </w:rPr>
              <w:t>满足《大气污染物综合排放标准》（GB 16297-1996）中标准限值120mg/m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的要求，排放速率为</w:t>
            </w:r>
            <w:r>
              <w:rPr>
                <w:rFonts w:eastAsiaTheme="minorEastAsia"/>
                <w:color w:val="0000FF"/>
              </w:rPr>
              <w:t>0.1143kg/h，</w:t>
            </w:r>
            <w:r>
              <w:rPr>
                <w:rFonts w:eastAsiaTheme="minorEastAsia"/>
                <w:color w:val="000000" w:themeColor="text1"/>
                <w14:textFill>
                  <w14:solidFill>
                    <w14:schemeClr w14:val="tx1"/>
                  </w14:solidFill>
                </w14:textFill>
              </w:rPr>
              <w:t>满足《大气污染物综合排放标准》（GB 16297-1996）中3.5kg/h的最高允许排放速率。</w:t>
            </w:r>
          </w:p>
          <w:p w14:paraId="46B9648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（3）无组织排放</w:t>
            </w:r>
          </w:p>
          <w:p w14:paraId="51528714">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厂界</w:t>
            </w:r>
          </w:p>
          <w:p w14:paraId="6614E3A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厂界无组织排放污染物为颗粒物，其中原料库排放颗粒物的最大落地浓度为0.2992mg/m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；生产车间0.5157mg/m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；烘干车间0.0642mg/m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；产品库0.1044mg/m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。本项目各无组织面源颗粒物周界外浓度最高点均满足《大气污染物综合排放标准》（GB 16297-1996）中表2标准限值1.0mg/m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的要求。生产车间无组织面源颗粒物周界外浓度最高点满足《工业炉窑大气污染物排放标准》（GB 9078-1996）中5mg/m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的要求。</w:t>
            </w:r>
          </w:p>
          <w:p w14:paraId="4A6E7242">
            <w:pPr>
              <w:pStyle w:val="65"/>
              <w:ind w:firstLine="480"/>
              <w:rPr>
                <w:rFonts w:eastAsiaTheme="minorEastAsia"/>
                <w:color w:val="0000FF"/>
              </w:rPr>
            </w:pPr>
            <w:r>
              <w:rPr>
                <w:rFonts w:hint="eastAsia" w:ascii="宋体" w:hAnsi="宋体" w:cs="宋体"/>
                <w:color w:val="0000FF"/>
              </w:rPr>
              <w:t>②</w:t>
            </w:r>
            <w:r>
              <w:rPr>
                <w:rFonts w:eastAsiaTheme="minorEastAsia"/>
                <w:color w:val="0000FF"/>
              </w:rPr>
              <w:t>厂内</w:t>
            </w:r>
          </w:p>
          <w:p w14:paraId="0A2219BC">
            <w:pPr>
              <w:pStyle w:val="65"/>
              <w:ind w:firstLine="480"/>
              <w:rPr>
                <w:rFonts w:eastAsiaTheme="minorEastAsia"/>
                <w:color w:val="0000FF"/>
              </w:rPr>
            </w:pPr>
            <w:r>
              <w:rPr>
                <w:rFonts w:eastAsiaTheme="minorEastAsia"/>
                <w:color w:val="0000FF"/>
              </w:rPr>
              <w:t>厂内无组织排放污染物为颗粒物，烘干车间无组织排放颗粒物的最大落地浓度为0.0742mg/m</w:t>
            </w:r>
            <w:r>
              <w:rPr>
                <w:rFonts w:eastAsiaTheme="minorEastAsia"/>
                <w:color w:val="0000FF"/>
                <w:vertAlign w:val="superscript"/>
              </w:rPr>
              <w:t>3</w:t>
            </w:r>
            <w:r>
              <w:rPr>
                <w:rFonts w:eastAsiaTheme="minorEastAsia"/>
                <w:color w:val="0000FF"/>
              </w:rPr>
              <w:t>，本项目监控点为烘干车间入口外，能够满足《工业炉窑大气污染物排放标准》</w:t>
            </w:r>
            <w:r>
              <w:rPr>
                <w:rFonts w:hint="eastAsia" w:eastAsiaTheme="minorEastAsia"/>
                <w:color w:val="0000FF"/>
              </w:rPr>
              <w:t>（</w:t>
            </w:r>
            <w:r>
              <w:rPr>
                <w:rFonts w:eastAsiaTheme="minorEastAsia"/>
                <w:color w:val="0000FF"/>
              </w:rPr>
              <w:t>GB 9078-1996</w:t>
            </w:r>
            <w:r>
              <w:rPr>
                <w:rFonts w:hint="eastAsia" w:eastAsiaTheme="minorEastAsia"/>
                <w:color w:val="0000FF"/>
              </w:rPr>
              <w:t>）</w:t>
            </w:r>
            <w:r>
              <w:rPr>
                <w:rFonts w:eastAsiaTheme="minorEastAsia"/>
                <w:color w:val="0000FF"/>
              </w:rPr>
              <w:t xml:space="preserve"> 中无组织排放监控限值浓度限值5mg/m</w:t>
            </w:r>
            <w:r>
              <w:rPr>
                <w:rFonts w:eastAsiaTheme="minorEastAsia"/>
                <w:color w:val="0000FF"/>
                <w:vertAlign w:val="superscript"/>
              </w:rPr>
              <w:t>3</w:t>
            </w:r>
            <w:r>
              <w:rPr>
                <w:rFonts w:eastAsiaTheme="minorEastAsia"/>
                <w:color w:val="0000FF"/>
              </w:rPr>
              <w:t>。</w:t>
            </w:r>
          </w:p>
          <w:p w14:paraId="5941E6E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（4）运输废气</w:t>
            </w:r>
          </w:p>
          <w:p w14:paraId="5044598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原料进厂及成品出厂均采取运输车辆进行覆盖，厂内道路洒水抑尘的措施，厂外限速行驶、减少鸣笛，并使用质量合格燃料，定期对车辆进行维护保养，减少消耗，车辆本身应符合相应的产品质量标准，经采取措施后对周边环境影响较小。</w:t>
            </w:r>
          </w:p>
          <w:p w14:paraId="692B648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（5）结论</w:t>
            </w:r>
          </w:p>
          <w:p w14:paraId="40BDBDF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本项目边界外500米范围内无自然保护区、风景名胜区、文化区等保护目标，西南侧</w:t>
            </w:r>
            <w:r>
              <w:rPr>
                <w:rFonts w:eastAsiaTheme="minorEastAsia"/>
                <w:color w:val="0000FF"/>
              </w:rPr>
              <w:t>404m</w:t>
            </w:r>
            <w:r>
              <w:rPr>
                <w:rFonts w:eastAsiaTheme="minorEastAsia"/>
                <w:color w:val="000000" w:themeColor="text1"/>
                <w14:textFill>
                  <w14:solidFill>
                    <w14:schemeClr w14:val="tx1"/>
                  </w14:solidFill>
                </w14:textFill>
              </w:rPr>
              <w:t>处为东沟，北侧</w:t>
            </w:r>
            <w:r>
              <w:rPr>
                <w:rFonts w:eastAsiaTheme="minorEastAsia"/>
                <w:color w:val="0000FF"/>
              </w:rPr>
              <w:t>382m</w:t>
            </w:r>
            <w:r>
              <w:rPr>
                <w:rFonts w:eastAsiaTheme="minorEastAsia"/>
                <w:color w:val="000000" w:themeColor="text1"/>
                <w14:textFill>
                  <w14:solidFill>
                    <w14:schemeClr w14:val="tx1"/>
                  </w14:solidFill>
                </w14:textFill>
              </w:rPr>
              <w:t>处为上三家子村。本项目废气通过相应的治理措施处理后，有组织、无组织废气均可达标排放，故本项目废气排放对周围环境影响较小。</w:t>
            </w:r>
          </w:p>
          <w:p w14:paraId="4A2D2B15">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9.监测要求</w:t>
            </w:r>
          </w:p>
          <w:p w14:paraId="41DA9E9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根据《排污单位自行监测技术指南总则》（HJ819-2017）、《排污许可证申请与核发技术规范 工业炉窑》（HJ1121-2020）、《排污许可证申请与核发技术规范 废弃资源加工工业》（HJ1034-2019），结合本项目的自身特点，确定本项目运营期的大气环境监测计划，具体情况见下表4-15。</w:t>
            </w:r>
          </w:p>
          <w:p w14:paraId="7B03F301">
            <w:pPr>
              <w:pStyle w:val="134"/>
              <w:adjustRightInd w:val="0"/>
              <w:snapToGrid w:val="0"/>
              <w:spacing w:before="156" w:beforeLines="50"/>
              <w:ind w:firstLine="420"/>
              <w:rPr>
                <w:rFonts w:eastAsiaTheme="minorEastAsia"/>
                <w:color w:val="000000" w:themeColor="text1"/>
                <w:kern w:val="2"/>
                <w:sz w:val="21"/>
                <w:szCs w:val="21"/>
                <w14:textFill>
                  <w14:solidFill>
                    <w14:schemeClr w14:val="tx1"/>
                  </w14:solidFill>
                </w14:textFill>
              </w:rPr>
            </w:pPr>
            <w:r>
              <w:rPr>
                <w:rFonts w:eastAsiaTheme="minorEastAsia"/>
                <w:color w:val="000000" w:themeColor="text1"/>
                <w:kern w:val="2"/>
                <w:sz w:val="21"/>
                <w:szCs w:val="21"/>
                <w14:textFill>
                  <w14:solidFill>
                    <w14:schemeClr w14:val="tx1"/>
                  </w14:solidFill>
                </w14:textFill>
              </w:rPr>
              <w:t>表4-15废气监测要求一览表</w:t>
            </w:r>
          </w:p>
          <w:tbl>
            <w:tblPr>
              <w:tblStyle w:val="35"/>
              <w:tblW w:w="8138"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89"/>
              <w:gridCol w:w="1170"/>
              <w:gridCol w:w="1245"/>
              <w:gridCol w:w="2743"/>
            </w:tblGrid>
            <w:tr w14:paraId="4886667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618E64DF">
                  <w:pPr>
                    <w:pStyle w:val="48"/>
                  </w:pPr>
                  <w:r>
                    <w:t>分类</w:t>
                  </w:r>
                </w:p>
              </w:tc>
              <w:tc>
                <w:tcPr>
                  <w:tcW w:w="2289" w:type="dxa"/>
                  <w:vAlign w:val="center"/>
                </w:tcPr>
                <w:p w14:paraId="2EC0B46D">
                  <w:pPr>
                    <w:pStyle w:val="48"/>
                  </w:pPr>
                  <w:r>
                    <w:t>监测点</w:t>
                  </w:r>
                </w:p>
              </w:tc>
              <w:tc>
                <w:tcPr>
                  <w:tcW w:w="1170" w:type="dxa"/>
                  <w:vAlign w:val="center"/>
                </w:tcPr>
                <w:p w14:paraId="31D68547">
                  <w:pPr>
                    <w:pStyle w:val="48"/>
                  </w:pPr>
                  <w:r>
                    <w:t>监测项目</w:t>
                  </w:r>
                </w:p>
              </w:tc>
              <w:tc>
                <w:tcPr>
                  <w:tcW w:w="1245" w:type="dxa"/>
                  <w:vAlign w:val="center"/>
                </w:tcPr>
                <w:p w14:paraId="0DC3B9CE">
                  <w:pPr>
                    <w:pStyle w:val="48"/>
                  </w:pPr>
                  <w:r>
                    <w:t>监测频率</w:t>
                  </w:r>
                </w:p>
              </w:tc>
              <w:tc>
                <w:tcPr>
                  <w:tcW w:w="2743" w:type="dxa"/>
                  <w:vAlign w:val="center"/>
                </w:tcPr>
                <w:p w14:paraId="28BBD27A">
                  <w:pPr>
                    <w:pStyle w:val="48"/>
                  </w:pPr>
                  <w:r>
                    <w:t>执行标准</w:t>
                  </w:r>
                </w:p>
              </w:tc>
            </w:tr>
            <w:tr w14:paraId="4BF8DC8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restart"/>
                  <w:vAlign w:val="center"/>
                </w:tcPr>
                <w:p w14:paraId="6715BC65">
                  <w:pPr>
                    <w:pStyle w:val="48"/>
                  </w:pPr>
                  <w:r>
                    <w:t>废气</w:t>
                  </w:r>
                </w:p>
              </w:tc>
              <w:tc>
                <w:tcPr>
                  <w:tcW w:w="2289" w:type="dxa"/>
                  <w:vMerge w:val="restart"/>
                  <w:vAlign w:val="center"/>
                </w:tcPr>
                <w:p w14:paraId="47E94E60">
                  <w:pPr>
                    <w:pStyle w:val="48"/>
                  </w:pPr>
                  <w:r>
                    <w:t>DA001</w:t>
                  </w:r>
                </w:p>
              </w:tc>
              <w:tc>
                <w:tcPr>
                  <w:tcW w:w="1170" w:type="dxa"/>
                  <w:vAlign w:val="center"/>
                </w:tcPr>
                <w:p w14:paraId="5C7090FD">
                  <w:pPr>
                    <w:pStyle w:val="48"/>
                  </w:pPr>
                  <w:r>
                    <w:t>颗粒物</w:t>
                  </w:r>
                </w:p>
              </w:tc>
              <w:tc>
                <w:tcPr>
                  <w:tcW w:w="1245" w:type="dxa"/>
                  <w:vAlign w:val="center"/>
                </w:tcPr>
                <w:p w14:paraId="65772B20">
                  <w:pPr>
                    <w:pStyle w:val="48"/>
                  </w:pPr>
                  <w:r>
                    <w:t>1次/年</w:t>
                  </w:r>
                </w:p>
              </w:tc>
              <w:tc>
                <w:tcPr>
                  <w:tcW w:w="2743" w:type="dxa"/>
                  <w:vAlign w:val="center"/>
                </w:tcPr>
                <w:p w14:paraId="27BE5613">
                  <w:pPr>
                    <w:pStyle w:val="48"/>
                    <w:rPr>
                      <w:color w:val="0000FF"/>
                    </w:rPr>
                  </w:pPr>
                  <w:r>
                    <w:rPr>
                      <w:color w:val="0000FF"/>
                      <w:kern w:val="0"/>
                    </w:rPr>
                    <w:t>《工业炉窑大气污染物排放标准》（GB9078-1996）</w:t>
                  </w:r>
                </w:p>
              </w:tc>
            </w:tr>
            <w:tr w14:paraId="0590411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25305D9D">
                  <w:pPr>
                    <w:pStyle w:val="48"/>
                  </w:pPr>
                </w:p>
              </w:tc>
              <w:tc>
                <w:tcPr>
                  <w:tcW w:w="2289" w:type="dxa"/>
                  <w:vMerge w:val="continue"/>
                  <w:vAlign w:val="center"/>
                </w:tcPr>
                <w:p w14:paraId="4B842993">
                  <w:pPr>
                    <w:pStyle w:val="48"/>
                  </w:pPr>
                </w:p>
              </w:tc>
              <w:tc>
                <w:tcPr>
                  <w:tcW w:w="1170" w:type="dxa"/>
                  <w:vAlign w:val="center"/>
                </w:tcPr>
                <w:p w14:paraId="283BC891">
                  <w:pPr>
                    <w:pStyle w:val="48"/>
                  </w:pPr>
                  <w:r>
                    <w:t>二氧化硫</w:t>
                  </w:r>
                </w:p>
              </w:tc>
              <w:tc>
                <w:tcPr>
                  <w:tcW w:w="1245" w:type="dxa"/>
                  <w:vAlign w:val="center"/>
                </w:tcPr>
                <w:p w14:paraId="188A2630">
                  <w:pPr>
                    <w:pStyle w:val="48"/>
                  </w:pPr>
                  <w:r>
                    <w:t>1次/年</w:t>
                  </w:r>
                </w:p>
              </w:tc>
              <w:tc>
                <w:tcPr>
                  <w:tcW w:w="2743" w:type="dxa"/>
                  <w:vAlign w:val="center"/>
                </w:tcPr>
                <w:p w14:paraId="06E7CC2B">
                  <w:pPr>
                    <w:pStyle w:val="48"/>
                    <w:rPr>
                      <w:color w:val="0000FF"/>
                    </w:rPr>
                  </w:pPr>
                  <w:r>
                    <w:rPr>
                      <w:color w:val="0000FF"/>
                    </w:rPr>
                    <w:t>《大气污染物综合排放标准》（GB16297-1996）</w:t>
                  </w:r>
                </w:p>
              </w:tc>
            </w:tr>
            <w:tr w14:paraId="29CD938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0A1E2DC2">
                  <w:pPr>
                    <w:pStyle w:val="48"/>
                  </w:pPr>
                </w:p>
              </w:tc>
              <w:tc>
                <w:tcPr>
                  <w:tcW w:w="2289" w:type="dxa"/>
                  <w:vMerge w:val="continue"/>
                  <w:vAlign w:val="center"/>
                </w:tcPr>
                <w:p w14:paraId="42CE1E81">
                  <w:pPr>
                    <w:pStyle w:val="48"/>
                  </w:pPr>
                </w:p>
              </w:tc>
              <w:tc>
                <w:tcPr>
                  <w:tcW w:w="1170" w:type="dxa"/>
                  <w:vAlign w:val="center"/>
                </w:tcPr>
                <w:p w14:paraId="78750916">
                  <w:pPr>
                    <w:pStyle w:val="48"/>
                  </w:pPr>
                  <w:r>
                    <w:t>氮氧化物</w:t>
                  </w:r>
                </w:p>
              </w:tc>
              <w:tc>
                <w:tcPr>
                  <w:tcW w:w="1245" w:type="dxa"/>
                  <w:vAlign w:val="center"/>
                </w:tcPr>
                <w:p w14:paraId="3CEA831C">
                  <w:pPr>
                    <w:pStyle w:val="48"/>
                  </w:pPr>
                  <w:r>
                    <w:t>1次/年</w:t>
                  </w:r>
                </w:p>
              </w:tc>
              <w:tc>
                <w:tcPr>
                  <w:tcW w:w="2743" w:type="dxa"/>
                  <w:vAlign w:val="center"/>
                </w:tcPr>
                <w:p w14:paraId="0BB4953A">
                  <w:pPr>
                    <w:pStyle w:val="48"/>
                    <w:rPr>
                      <w:color w:val="0000FF"/>
                    </w:rPr>
                  </w:pPr>
                  <w:r>
                    <w:rPr>
                      <w:color w:val="0000FF"/>
                    </w:rPr>
                    <w:t>《大气污染物综合排放标准》（GB16297-1996）</w:t>
                  </w:r>
                </w:p>
              </w:tc>
            </w:tr>
            <w:tr w14:paraId="174B2FC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4EA2A559">
                  <w:pPr>
                    <w:pStyle w:val="48"/>
                  </w:pPr>
                </w:p>
              </w:tc>
              <w:tc>
                <w:tcPr>
                  <w:tcW w:w="2289" w:type="dxa"/>
                  <w:vAlign w:val="center"/>
                </w:tcPr>
                <w:p w14:paraId="50AE1D59">
                  <w:pPr>
                    <w:pStyle w:val="48"/>
                  </w:pPr>
                  <w:r>
                    <w:rPr>
                      <w:kern w:val="0"/>
                    </w:rPr>
                    <w:t>DA002</w:t>
                  </w:r>
                </w:p>
              </w:tc>
              <w:tc>
                <w:tcPr>
                  <w:tcW w:w="1170" w:type="dxa"/>
                  <w:vAlign w:val="center"/>
                </w:tcPr>
                <w:p w14:paraId="42A8CD41">
                  <w:pPr>
                    <w:pStyle w:val="48"/>
                  </w:pPr>
                  <w:r>
                    <w:rPr>
                      <w:kern w:val="0"/>
                    </w:rPr>
                    <w:t>颗粒物</w:t>
                  </w:r>
                </w:p>
              </w:tc>
              <w:tc>
                <w:tcPr>
                  <w:tcW w:w="1245" w:type="dxa"/>
                  <w:vAlign w:val="center"/>
                </w:tcPr>
                <w:p w14:paraId="60D6FBFF">
                  <w:pPr>
                    <w:pStyle w:val="48"/>
                  </w:pPr>
                  <w:r>
                    <w:rPr>
                      <w:kern w:val="0"/>
                    </w:rPr>
                    <w:t>1次/年</w:t>
                  </w:r>
                </w:p>
              </w:tc>
              <w:tc>
                <w:tcPr>
                  <w:tcW w:w="2743" w:type="dxa"/>
                  <w:vAlign w:val="center"/>
                </w:tcPr>
                <w:p w14:paraId="328E471F">
                  <w:pPr>
                    <w:pStyle w:val="48"/>
                  </w:pPr>
                  <w:r>
                    <w:t>《大气污染物综合排放标准》（GB 16297-1996）</w:t>
                  </w:r>
                </w:p>
              </w:tc>
            </w:tr>
            <w:tr w14:paraId="1470EE9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3A75A683">
                  <w:pPr>
                    <w:pStyle w:val="48"/>
                  </w:pPr>
                </w:p>
              </w:tc>
              <w:tc>
                <w:tcPr>
                  <w:tcW w:w="2289" w:type="dxa"/>
                  <w:vAlign w:val="center"/>
                </w:tcPr>
                <w:p w14:paraId="4E81BDAA">
                  <w:pPr>
                    <w:pStyle w:val="48"/>
                  </w:pPr>
                  <w:r>
                    <w:t>有车间厂房</w:t>
                  </w:r>
                  <w:r>
                    <w:rPr>
                      <w:color w:val="0000FF"/>
                    </w:rPr>
                    <w:t>（烘干车间入口外）</w:t>
                  </w:r>
                </w:p>
              </w:tc>
              <w:tc>
                <w:tcPr>
                  <w:tcW w:w="1170" w:type="dxa"/>
                  <w:vAlign w:val="center"/>
                </w:tcPr>
                <w:p w14:paraId="625606EF">
                  <w:pPr>
                    <w:pStyle w:val="48"/>
                  </w:pPr>
                  <w:r>
                    <w:t>颗粒物</w:t>
                  </w:r>
                </w:p>
              </w:tc>
              <w:tc>
                <w:tcPr>
                  <w:tcW w:w="1245" w:type="dxa"/>
                  <w:vAlign w:val="center"/>
                </w:tcPr>
                <w:p w14:paraId="1954F969">
                  <w:pPr>
                    <w:pStyle w:val="48"/>
                  </w:pPr>
                  <w:r>
                    <w:t>1次/年</w:t>
                  </w:r>
                </w:p>
              </w:tc>
              <w:tc>
                <w:tcPr>
                  <w:tcW w:w="2743" w:type="dxa"/>
                  <w:vAlign w:val="center"/>
                </w:tcPr>
                <w:p w14:paraId="6BF0EAE9">
                  <w:pPr>
                    <w:pStyle w:val="48"/>
                  </w:pPr>
                  <w:r>
                    <w:t>《工业炉窑大气污染物排放标准》（GB 9078-1996）</w:t>
                  </w:r>
                </w:p>
              </w:tc>
            </w:tr>
            <w:tr w14:paraId="03B14E4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4B7D2FAE">
                  <w:pPr>
                    <w:pStyle w:val="48"/>
                  </w:pPr>
                </w:p>
              </w:tc>
              <w:tc>
                <w:tcPr>
                  <w:tcW w:w="2289" w:type="dxa"/>
                  <w:vAlign w:val="center"/>
                </w:tcPr>
                <w:p w14:paraId="1C9AFB7B">
                  <w:pPr>
                    <w:pStyle w:val="48"/>
                  </w:pPr>
                  <w:r>
                    <w:t>厂界上风向1个点位，下风向3个点位</w:t>
                  </w:r>
                </w:p>
              </w:tc>
              <w:tc>
                <w:tcPr>
                  <w:tcW w:w="1170" w:type="dxa"/>
                  <w:vAlign w:val="center"/>
                </w:tcPr>
                <w:p w14:paraId="00AE6C4A">
                  <w:pPr>
                    <w:pStyle w:val="48"/>
                  </w:pPr>
                  <w:r>
                    <w:t>颗粒物</w:t>
                  </w:r>
                  <w:r>
                    <w:rPr>
                      <w:color w:val="0000FF"/>
                    </w:rPr>
                    <w:t>、二氧化硫、氮氧化物</w:t>
                  </w:r>
                </w:p>
              </w:tc>
              <w:tc>
                <w:tcPr>
                  <w:tcW w:w="1245" w:type="dxa"/>
                  <w:vAlign w:val="center"/>
                </w:tcPr>
                <w:p w14:paraId="3E7CF4C0">
                  <w:pPr>
                    <w:pStyle w:val="48"/>
                  </w:pPr>
                  <w:r>
                    <w:t>1次/年</w:t>
                  </w:r>
                </w:p>
              </w:tc>
              <w:tc>
                <w:tcPr>
                  <w:tcW w:w="2743" w:type="dxa"/>
                  <w:vAlign w:val="center"/>
                </w:tcPr>
                <w:p w14:paraId="5AC6477C">
                  <w:pPr>
                    <w:pStyle w:val="48"/>
                  </w:pPr>
                  <w:r>
                    <w:t>《大气污染物综合排放标准》（GB 16297-1996）</w:t>
                  </w:r>
                </w:p>
              </w:tc>
            </w:tr>
            <w:tr w14:paraId="4425499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441467F6">
                  <w:pPr>
                    <w:pStyle w:val="48"/>
                  </w:pPr>
                </w:p>
              </w:tc>
              <w:tc>
                <w:tcPr>
                  <w:tcW w:w="2289" w:type="dxa"/>
                  <w:vAlign w:val="center"/>
                </w:tcPr>
                <w:p w14:paraId="5DE5195D">
                  <w:pPr>
                    <w:pStyle w:val="48"/>
                  </w:pPr>
                  <w:r>
                    <w:t>西南侧东沟村</w:t>
                  </w:r>
                </w:p>
              </w:tc>
              <w:tc>
                <w:tcPr>
                  <w:tcW w:w="1170" w:type="dxa"/>
                  <w:vAlign w:val="center"/>
                </w:tcPr>
                <w:p w14:paraId="390AEC30">
                  <w:pPr>
                    <w:pStyle w:val="48"/>
                  </w:pPr>
                  <w:r>
                    <w:rPr>
                      <w:kern w:val="0"/>
                    </w:rPr>
                    <w:t>颗粒物</w:t>
                  </w:r>
                </w:p>
              </w:tc>
              <w:tc>
                <w:tcPr>
                  <w:tcW w:w="1245" w:type="dxa"/>
                  <w:vAlign w:val="center"/>
                </w:tcPr>
                <w:p w14:paraId="7313BA63">
                  <w:pPr>
                    <w:pStyle w:val="48"/>
                  </w:pPr>
                  <w:r>
                    <w:rPr>
                      <w:kern w:val="0"/>
                    </w:rPr>
                    <w:t>1次/年</w:t>
                  </w:r>
                </w:p>
              </w:tc>
              <w:tc>
                <w:tcPr>
                  <w:tcW w:w="2743" w:type="dxa"/>
                  <w:vAlign w:val="center"/>
                </w:tcPr>
                <w:p w14:paraId="56E256B5">
                  <w:pPr>
                    <w:pStyle w:val="48"/>
                  </w:pPr>
                  <w:r>
                    <w:rPr>
                      <w:spacing w:val="10"/>
                    </w:rPr>
                    <w:t>《环</w:t>
                  </w:r>
                  <w:r>
                    <w:rPr>
                      <w:spacing w:val="8"/>
                    </w:rPr>
                    <w:t>境空气质量标准》</w:t>
                  </w:r>
                  <w:r>
                    <w:rPr>
                      <w:spacing w:val="4"/>
                    </w:rPr>
                    <w:t>（</w:t>
                  </w:r>
                  <w:r>
                    <w:t xml:space="preserve">GB </w:t>
                  </w:r>
                  <w:r>
                    <w:rPr>
                      <w:spacing w:val="4"/>
                    </w:rPr>
                    <w:t>3095-2026）</w:t>
                  </w:r>
                </w:p>
              </w:tc>
            </w:tr>
          </w:tbl>
          <w:p w14:paraId="658474DA">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二、废水</w:t>
            </w:r>
          </w:p>
          <w:p w14:paraId="2583B0F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本项目员工7人，根据《辽宁省行业用水定额》（DB21/T1237-2026），生活用水量按45L/人·d计。年工作时间180天，则生活用水量为56.7m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/a。污水系数按用水量的80%计算，生活污水排放量约为45.36m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/a。生活污水排入化粪池，定期清掏堆肥，不外排。脱硫废水通过废水沉淀池沉淀，循环使用，定期补充新鲜水，不外排。</w:t>
            </w:r>
          </w:p>
          <w:p w14:paraId="4829423C">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三、噪声</w:t>
            </w:r>
          </w:p>
          <w:p w14:paraId="71DEC25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1.噪声源强</w:t>
            </w:r>
          </w:p>
          <w:p w14:paraId="09D2C64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噪声污染源主要来自皮带输送机、混料机、温控烘干炉和废气处理配套风机等产生的噪声，根据国内同类企业的车间内噪声值的经验数据，其中混料机、造球机、空压机、循环水泵、除尘器风机参照《污染源源强核算技术指南 钢铁工业》（HJ885-2018）中附录G取值，各设备噪声情况见表4-16。</w:t>
            </w:r>
          </w:p>
          <w:p w14:paraId="760D1B4E">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表4-16本项目工业企业噪声源强调查清单</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92"/>
              <w:gridCol w:w="450"/>
              <w:gridCol w:w="665"/>
              <w:gridCol w:w="530"/>
              <w:gridCol w:w="620"/>
              <w:gridCol w:w="620"/>
              <w:gridCol w:w="588"/>
              <w:gridCol w:w="787"/>
              <w:gridCol w:w="819"/>
              <w:gridCol w:w="617"/>
              <w:gridCol w:w="792"/>
              <w:gridCol w:w="878"/>
              <w:gridCol w:w="688"/>
            </w:tblGrid>
            <w:tr w14:paraId="0C92FD0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restart"/>
                  <w:tcBorders>
                    <w:top w:val="double" w:color="auto" w:sz="2" w:space="0"/>
                    <w:left w:val="nil"/>
                    <w:bottom w:val="single" w:color="auto" w:sz="4" w:space="0"/>
                    <w:right w:val="single" w:color="auto" w:sz="4" w:space="0"/>
                  </w:tcBorders>
                  <w:vAlign w:val="center"/>
                </w:tcPr>
                <w:p w14:paraId="6FDD822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建筑物名称</w:t>
                  </w:r>
                </w:p>
              </w:tc>
              <w:tc>
                <w:tcPr>
                  <w:tcW w:w="450" w:type="dxa"/>
                  <w:vMerge w:val="restart"/>
                  <w:tcBorders>
                    <w:top w:val="double" w:color="auto" w:sz="2" w:space="0"/>
                    <w:left w:val="single" w:color="auto" w:sz="4" w:space="0"/>
                    <w:bottom w:val="single" w:color="auto" w:sz="4" w:space="0"/>
                    <w:right w:val="single" w:color="auto" w:sz="4" w:space="0"/>
                  </w:tcBorders>
                  <w:vAlign w:val="center"/>
                </w:tcPr>
                <w:p w14:paraId="1FD73E6E">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声源名称</w:t>
                  </w:r>
                </w:p>
              </w:tc>
              <w:tc>
                <w:tcPr>
                  <w:tcW w:w="665" w:type="dxa"/>
                  <w:tcBorders>
                    <w:top w:val="double" w:color="auto" w:sz="2" w:space="0"/>
                    <w:left w:val="single" w:color="auto" w:sz="4" w:space="0"/>
                    <w:bottom w:val="single" w:color="auto" w:sz="4" w:space="0"/>
                    <w:right w:val="single" w:color="auto" w:sz="4" w:space="0"/>
                  </w:tcBorders>
                  <w:vAlign w:val="center"/>
                </w:tcPr>
                <w:p w14:paraId="1F82CC3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声源</w:t>
                  </w:r>
                </w:p>
                <w:p w14:paraId="77E1340B">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源强</w:t>
                  </w:r>
                </w:p>
              </w:tc>
              <w:tc>
                <w:tcPr>
                  <w:tcW w:w="530" w:type="dxa"/>
                  <w:vMerge w:val="restart"/>
                  <w:tcBorders>
                    <w:top w:val="double" w:color="auto" w:sz="2" w:space="0"/>
                    <w:left w:val="single" w:color="auto" w:sz="4" w:space="0"/>
                    <w:bottom w:val="single" w:color="auto" w:sz="4" w:space="0"/>
                    <w:right w:val="single" w:color="auto" w:sz="4" w:space="0"/>
                  </w:tcBorders>
                  <w:vAlign w:val="center"/>
                </w:tcPr>
                <w:p w14:paraId="15967093">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声源控制措施</w:t>
                  </w:r>
                </w:p>
              </w:tc>
              <w:tc>
                <w:tcPr>
                  <w:tcW w:w="1828" w:type="dxa"/>
                  <w:gridSpan w:val="3"/>
                  <w:tcBorders>
                    <w:top w:val="double" w:color="auto" w:sz="2" w:space="0"/>
                    <w:left w:val="single" w:color="auto" w:sz="4" w:space="0"/>
                    <w:bottom w:val="single" w:color="auto" w:sz="4" w:space="0"/>
                    <w:right w:val="single" w:color="auto" w:sz="4" w:space="0"/>
                  </w:tcBorders>
                  <w:vAlign w:val="center"/>
                </w:tcPr>
                <w:p w14:paraId="47698481">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空间相对位置/m</w:t>
                  </w:r>
                </w:p>
              </w:tc>
              <w:tc>
                <w:tcPr>
                  <w:tcW w:w="787" w:type="dxa"/>
                  <w:vMerge w:val="restart"/>
                  <w:tcBorders>
                    <w:top w:val="double" w:color="auto" w:sz="2" w:space="0"/>
                    <w:left w:val="single" w:color="auto" w:sz="4" w:space="0"/>
                    <w:bottom w:val="single" w:color="auto" w:sz="4" w:space="0"/>
                    <w:right w:val="single" w:color="auto" w:sz="4" w:space="0"/>
                  </w:tcBorders>
                  <w:vAlign w:val="center"/>
                </w:tcPr>
                <w:p w14:paraId="360D1F2E">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距室内边界距离/m</w:t>
                  </w:r>
                </w:p>
              </w:tc>
              <w:tc>
                <w:tcPr>
                  <w:tcW w:w="819" w:type="dxa"/>
                  <w:vMerge w:val="restart"/>
                  <w:tcBorders>
                    <w:top w:val="double" w:color="auto" w:sz="2" w:space="0"/>
                    <w:left w:val="single" w:color="auto" w:sz="4" w:space="0"/>
                    <w:bottom w:val="single" w:color="auto" w:sz="4" w:space="0"/>
                    <w:right w:val="single" w:color="auto" w:sz="4" w:space="0"/>
                  </w:tcBorders>
                  <w:vAlign w:val="center"/>
                </w:tcPr>
                <w:p w14:paraId="30720B24">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室内边界声级/dB（A）</w:t>
                  </w:r>
                </w:p>
              </w:tc>
              <w:tc>
                <w:tcPr>
                  <w:tcW w:w="617" w:type="dxa"/>
                  <w:vMerge w:val="restart"/>
                  <w:tcBorders>
                    <w:top w:val="double" w:color="auto" w:sz="2" w:space="0"/>
                    <w:left w:val="single" w:color="auto" w:sz="4" w:space="0"/>
                    <w:bottom w:val="single" w:color="auto" w:sz="4" w:space="0"/>
                    <w:right w:val="single" w:color="auto" w:sz="4" w:space="0"/>
                  </w:tcBorders>
                  <w:vAlign w:val="center"/>
                </w:tcPr>
                <w:p w14:paraId="22223F5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运行时段</w:t>
                  </w:r>
                </w:p>
              </w:tc>
              <w:tc>
                <w:tcPr>
                  <w:tcW w:w="792" w:type="dxa"/>
                  <w:vMerge w:val="restart"/>
                  <w:tcBorders>
                    <w:top w:val="double" w:color="auto" w:sz="2" w:space="0"/>
                    <w:left w:val="single" w:color="auto" w:sz="4" w:space="0"/>
                    <w:bottom w:val="single" w:color="auto" w:sz="4" w:space="0"/>
                    <w:right w:val="single" w:color="auto" w:sz="4" w:space="0"/>
                  </w:tcBorders>
                  <w:vAlign w:val="center"/>
                </w:tcPr>
                <w:p w14:paraId="16E4CF97">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建筑物插入损失/dB（A）</w:t>
                  </w:r>
                </w:p>
              </w:tc>
              <w:tc>
                <w:tcPr>
                  <w:tcW w:w="1566" w:type="dxa"/>
                  <w:gridSpan w:val="2"/>
                  <w:tcBorders>
                    <w:top w:val="double" w:color="auto" w:sz="2" w:space="0"/>
                    <w:left w:val="single" w:color="auto" w:sz="4" w:space="0"/>
                    <w:bottom w:val="nil"/>
                    <w:right w:val="nil"/>
                  </w:tcBorders>
                  <w:vAlign w:val="center"/>
                </w:tcPr>
                <w:p w14:paraId="62FC854E">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建筑物外噪声</w:t>
                  </w:r>
                </w:p>
              </w:tc>
            </w:tr>
            <w:tr w14:paraId="63FE331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392" w:type="dxa"/>
                  <w:vMerge w:val="continue"/>
                  <w:tcBorders>
                    <w:top w:val="double" w:color="auto" w:sz="2" w:space="0"/>
                    <w:left w:val="nil"/>
                    <w:bottom w:val="single" w:color="auto" w:sz="4" w:space="0"/>
                    <w:right w:val="single" w:color="auto" w:sz="4" w:space="0"/>
                  </w:tcBorders>
                  <w:vAlign w:val="center"/>
                </w:tcPr>
                <w:p w14:paraId="7E026490">
                  <w:pPr>
                    <w:widowControl/>
                    <w:rPr>
                      <w:rFonts w:eastAsiaTheme="minorEastAsia"/>
                      <w:color w:val="000000" w:themeColor="text1"/>
                      <w:szCs w:val="21"/>
                      <w14:textFill>
                        <w14:solidFill>
                          <w14:schemeClr w14:val="tx1"/>
                        </w14:solidFill>
                      </w14:textFill>
                    </w:rPr>
                  </w:pPr>
                </w:p>
              </w:tc>
              <w:tc>
                <w:tcPr>
                  <w:tcW w:w="450" w:type="dxa"/>
                  <w:vMerge w:val="continue"/>
                  <w:tcBorders>
                    <w:top w:val="double" w:color="auto" w:sz="2" w:space="0"/>
                    <w:left w:val="single" w:color="auto" w:sz="4" w:space="0"/>
                    <w:bottom w:val="single" w:color="auto" w:sz="4" w:space="0"/>
                    <w:right w:val="single" w:color="auto" w:sz="4" w:space="0"/>
                  </w:tcBorders>
                  <w:vAlign w:val="center"/>
                </w:tcPr>
                <w:p w14:paraId="3CD8D2C9">
                  <w:pPr>
                    <w:widowControl/>
                    <w:rPr>
                      <w:rFonts w:eastAsiaTheme="minorEastAsia"/>
                      <w:color w:val="000000" w:themeColor="text1"/>
                      <w:szCs w:val="21"/>
                      <w14:textFill>
                        <w14:solidFill>
                          <w14:schemeClr w14:val="tx1"/>
                        </w14:solidFill>
                      </w14:textFill>
                    </w:rPr>
                  </w:pPr>
                </w:p>
              </w:tc>
              <w:tc>
                <w:tcPr>
                  <w:tcW w:w="665" w:type="dxa"/>
                  <w:tcBorders>
                    <w:top w:val="single" w:color="auto" w:sz="4" w:space="0"/>
                    <w:left w:val="single" w:color="auto" w:sz="4" w:space="0"/>
                    <w:bottom w:val="single" w:color="auto" w:sz="4" w:space="0"/>
                    <w:right w:val="single" w:color="auto" w:sz="4" w:space="0"/>
                  </w:tcBorders>
                  <w:vAlign w:val="center"/>
                </w:tcPr>
                <w:p w14:paraId="651B4734">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声功</w:t>
                  </w:r>
                </w:p>
                <w:p w14:paraId="62877C17">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率级/dB（A）</w:t>
                  </w:r>
                </w:p>
              </w:tc>
              <w:tc>
                <w:tcPr>
                  <w:tcW w:w="530" w:type="dxa"/>
                  <w:vMerge w:val="continue"/>
                  <w:tcBorders>
                    <w:top w:val="double" w:color="auto" w:sz="2" w:space="0"/>
                    <w:left w:val="single" w:color="auto" w:sz="4" w:space="0"/>
                    <w:bottom w:val="single" w:color="auto" w:sz="4" w:space="0"/>
                    <w:right w:val="single" w:color="auto" w:sz="4" w:space="0"/>
                  </w:tcBorders>
                  <w:vAlign w:val="center"/>
                </w:tcPr>
                <w:p w14:paraId="02B07545">
                  <w:pPr>
                    <w:widowControl/>
                    <w:rPr>
                      <w:rFonts w:eastAsiaTheme="minorEastAsia"/>
                      <w:color w:val="000000" w:themeColor="text1"/>
                      <w:szCs w:val="21"/>
                      <w14:textFill>
                        <w14:solidFill>
                          <w14:schemeClr w14:val="tx1"/>
                        </w14:solidFill>
                      </w14:textFill>
                    </w:rPr>
                  </w:pPr>
                </w:p>
              </w:tc>
              <w:tc>
                <w:tcPr>
                  <w:tcW w:w="620" w:type="dxa"/>
                  <w:tcBorders>
                    <w:top w:val="single" w:color="auto" w:sz="4" w:space="0"/>
                    <w:left w:val="single" w:color="auto" w:sz="4" w:space="0"/>
                    <w:bottom w:val="single" w:color="auto" w:sz="4" w:space="0"/>
                    <w:right w:val="single" w:color="auto" w:sz="4" w:space="0"/>
                  </w:tcBorders>
                  <w:vAlign w:val="center"/>
                </w:tcPr>
                <w:p w14:paraId="468F95A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X</w:t>
                  </w:r>
                </w:p>
              </w:tc>
              <w:tc>
                <w:tcPr>
                  <w:tcW w:w="620" w:type="dxa"/>
                  <w:tcBorders>
                    <w:top w:val="single" w:color="auto" w:sz="4" w:space="0"/>
                    <w:left w:val="single" w:color="auto" w:sz="4" w:space="0"/>
                    <w:bottom w:val="single" w:color="auto" w:sz="4" w:space="0"/>
                    <w:right w:val="single" w:color="auto" w:sz="4" w:space="0"/>
                  </w:tcBorders>
                  <w:noWrap/>
                  <w:vAlign w:val="center"/>
                </w:tcPr>
                <w:p w14:paraId="0D6D33B7">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Y</w:t>
                  </w:r>
                </w:p>
              </w:tc>
              <w:tc>
                <w:tcPr>
                  <w:tcW w:w="588" w:type="dxa"/>
                  <w:tcBorders>
                    <w:top w:val="single" w:color="auto" w:sz="4" w:space="0"/>
                    <w:left w:val="single" w:color="auto" w:sz="4" w:space="0"/>
                    <w:bottom w:val="single" w:color="auto" w:sz="4" w:space="0"/>
                    <w:right w:val="single" w:color="auto" w:sz="4" w:space="0"/>
                  </w:tcBorders>
                  <w:noWrap/>
                  <w:vAlign w:val="center"/>
                </w:tcPr>
                <w:p w14:paraId="3165AA41">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Z</w:t>
                  </w:r>
                </w:p>
              </w:tc>
              <w:tc>
                <w:tcPr>
                  <w:tcW w:w="787" w:type="dxa"/>
                  <w:vMerge w:val="continue"/>
                  <w:tcBorders>
                    <w:top w:val="double" w:color="auto" w:sz="2" w:space="0"/>
                    <w:left w:val="single" w:color="auto" w:sz="4" w:space="0"/>
                    <w:bottom w:val="single" w:color="auto" w:sz="4" w:space="0"/>
                    <w:right w:val="single" w:color="auto" w:sz="4" w:space="0"/>
                  </w:tcBorders>
                  <w:vAlign w:val="center"/>
                </w:tcPr>
                <w:p w14:paraId="244150FD">
                  <w:pPr>
                    <w:widowControl/>
                    <w:rPr>
                      <w:rFonts w:eastAsiaTheme="minorEastAsia"/>
                      <w:color w:val="000000" w:themeColor="text1"/>
                      <w:szCs w:val="21"/>
                      <w14:textFill>
                        <w14:solidFill>
                          <w14:schemeClr w14:val="tx1"/>
                        </w14:solidFill>
                      </w14:textFill>
                    </w:rPr>
                  </w:pPr>
                </w:p>
              </w:tc>
              <w:tc>
                <w:tcPr>
                  <w:tcW w:w="819" w:type="dxa"/>
                  <w:vMerge w:val="continue"/>
                  <w:tcBorders>
                    <w:top w:val="double" w:color="auto" w:sz="2" w:space="0"/>
                    <w:left w:val="single" w:color="auto" w:sz="4" w:space="0"/>
                    <w:bottom w:val="single" w:color="auto" w:sz="4" w:space="0"/>
                    <w:right w:val="single" w:color="auto" w:sz="4" w:space="0"/>
                  </w:tcBorders>
                  <w:vAlign w:val="center"/>
                </w:tcPr>
                <w:p w14:paraId="78CCB76C">
                  <w:pPr>
                    <w:widowControl/>
                    <w:rPr>
                      <w:rFonts w:eastAsiaTheme="minorEastAsia"/>
                      <w:color w:val="000000" w:themeColor="text1"/>
                      <w:szCs w:val="21"/>
                      <w14:textFill>
                        <w14:solidFill>
                          <w14:schemeClr w14:val="tx1"/>
                        </w14:solidFill>
                      </w14:textFill>
                    </w:rPr>
                  </w:pPr>
                </w:p>
              </w:tc>
              <w:tc>
                <w:tcPr>
                  <w:tcW w:w="617" w:type="dxa"/>
                  <w:vMerge w:val="continue"/>
                  <w:tcBorders>
                    <w:top w:val="double" w:color="auto" w:sz="2" w:space="0"/>
                    <w:left w:val="single" w:color="auto" w:sz="4" w:space="0"/>
                    <w:bottom w:val="single" w:color="auto" w:sz="4" w:space="0"/>
                    <w:right w:val="single" w:color="auto" w:sz="4" w:space="0"/>
                  </w:tcBorders>
                  <w:vAlign w:val="center"/>
                </w:tcPr>
                <w:p w14:paraId="60A5AF4E">
                  <w:pPr>
                    <w:widowControl/>
                    <w:rPr>
                      <w:rFonts w:eastAsiaTheme="minorEastAsia"/>
                      <w:color w:val="000000" w:themeColor="text1"/>
                      <w:szCs w:val="21"/>
                      <w14:textFill>
                        <w14:solidFill>
                          <w14:schemeClr w14:val="tx1"/>
                        </w14:solidFill>
                      </w14:textFill>
                    </w:rPr>
                  </w:pPr>
                </w:p>
              </w:tc>
              <w:tc>
                <w:tcPr>
                  <w:tcW w:w="792" w:type="dxa"/>
                  <w:vMerge w:val="continue"/>
                  <w:tcBorders>
                    <w:top w:val="double" w:color="auto" w:sz="2" w:space="0"/>
                    <w:left w:val="single" w:color="auto" w:sz="4" w:space="0"/>
                    <w:bottom w:val="single" w:color="auto" w:sz="4" w:space="0"/>
                    <w:right w:val="single" w:color="auto" w:sz="4" w:space="0"/>
                  </w:tcBorders>
                  <w:vAlign w:val="center"/>
                </w:tcPr>
                <w:p w14:paraId="4F4333F4">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602CF1B4">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声压级/dB（A）</w:t>
                  </w:r>
                </w:p>
              </w:tc>
              <w:tc>
                <w:tcPr>
                  <w:tcW w:w="688" w:type="dxa"/>
                  <w:tcBorders>
                    <w:top w:val="single" w:color="auto" w:sz="4" w:space="0"/>
                    <w:left w:val="single" w:color="auto" w:sz="4" w:space="0"/>
                    <w:bottom w:val="single" w:color="auto" w:sz="4" w:space="0"/>
                    <w:right w:val="nil"/>
                  </w:tcBorders>
                  <w:noWrap/>
                  <w:vAlign w:val="center"/>
                </w:tcPr>
                <w:p w14:paraId="37416CF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建筑物外距离/m</w:t>
                  </w:r>
                </w:p>
              </w:tc>
            </w:tr>
            <w:tr w14:paraId="5329CBE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restart"/>
                  <w:tcBorders>
                    <w:top w:val="single" w:color="auto" w:sz="4" w:space="0"/>
                    <w:left w:val="nil"/>
                    <w:right w:val="single" w:color="auto" w:sz="4" w:space="0"/>
                  </w:tcBorders>
                  <w:vAlign w:val="center"/>
                </w:tcPr>
                <w:p w14:paraId="29FBFB9D">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生产车间</w:t>
                  </w:r>
                </w:p>
              </w:tc>
              <w:tc>
                <w:tcPr>
                  <w:tcW w:w="450" w:type="dxa"/>
                  <w:vMerge w:val="restart"/>
                  <w:tcBorders>
                    <w:top w:val="single" w:color="auto" w:sz="4" w:space="0"/>
                    <w:left w:val="single" w:color="auto" w:sz="4" w:space="0"/>
                    <w:bottom w:val="single" w:color="auto" w:sz="4" w:space="0"/>
                    <w:right w:val="single" w:color="auto" w:sz="4" w:space="0"/>
                  </w:tcBorders>
                </w:tcPr>
                <w:p w14:paraId="42F07739">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皮带输送机1#</w:t>
                  </w:r>
                </w:p>
              </w:tc>
              <w:tc>
                <w:tcPr>
                  <w:tcW w:w="665" w:type="dxa"/>
                  <w:vMerge w:val="restart"/>
                  <w:tcBorders>
                    <w:top w:val="single" w:color="auto" w:sz="4" w:space="0"/>
                    <w:left w:val="single" w:color="auto" w:sz="4" w:space="0"/>
                    <w:bottom w:val="single" w:color="auto" w:sz="4" w:space="0"/>
                    <w:right w:val="single" w:color="auto" w:sz="4" w:space="0"/>
                  </w:tcBorders>
                  <w:vAlign w:val="center"/>
                </w:tcPr>
                <w:p w14:paraId="1E1AA099">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530" w:type="dxa"/>
                  <w:vMerge w:val="restart"/>
                  <w:tcBorders>
                    <w:top w:val="single" w:color="auto" w:sz="4" w:space="0"/>
                    <w:left w:val="single" w:color="auto" w:sz="4" w:space="0"/>
                    <w:right w:val="single" w:color="auto" w:sz="4" w:space="0"/>
                  </w:tcBorders>
                  <w:vAlign w:val="center"/>
                </w:tcPr>
                <w:p w14:paraId="7E8FCDB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基础减振厂房隔声距离衰减</w:t>
                  </w:r>
                </w:p>
              </w:tc>
              <w:tc>
                <w:tcPr>
                  <w:tcW w:w="620" w:type="dxa"/>
                  <w:vMerge w:val="restart"/>
                  <w:tcBorders>
                    <w:top w:val="single" w:color="auto" w:sz="4" w:space="0"/>
                    <w:left w:val="single" w:color="auto" w:sz="4" w:space="0"/>
                    <w:bottom w:val="single" w:color="auto" w:sz="4" w:space="0"/>
                    <w:right w:val="single" w:color="auto" w:sz="4" w:space="0"/>
                  </w:tcBorders>
                  <w:vAlign w:val="center"/>
                </w:tcPr>
                <w:p w14:paraId="6DD3F843">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620" w:type="dxa"/>
                  <w:vMerge w:val="restart"/>
                  <w:tcBorders>
                    <w:top w:val="single" w:color="auto" w:sz="4" w:space="0"/>
                    <w:left w:val="single" w:color="auto" w:sz="4" w:space="0"/>
                    <w:bottom w:val="single" w:color="auto" w:sz="4" w:space="0"/>
                    <w:right w:val="single" w:color="auto" w:sz="4" w:space="0"/>
                  </w:tcBorders>
                  <w:noWrap/>
                  <w:vAlign w:val="center"/>
                </w:tcPr>
                <w:p w14:paraId="77E81C3F">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0</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14:paraId="1E908B1C">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w:t>
                  </w:r>
                </w:p>
              </w:tc>
              <w:tc>
                <w:tcPr>
                  <w:tcW w:w="787" w:type="dxa"/>
                  <w:tcBorders>
                    <w:top w:val="single" w:color="auto" w:sz="4" w:space="0"/>
                    <w:left w:val="single" w:color="auto" w:sz="4" w:space="0"/>
                    <w:bottom w:val="single" w:color="auto" w:sz="4" w:space="0"/>
                    <w:right w:val="single" w:color="auto" w:sz="4" w:space="0"/>
                  </w:tcBorders>
                  <w:noWrap/>
                  <w:vAlign w:val="center"/>
                </w:tcPr>
                <w:p w14:paraId="2A356C24">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东：17</w:t>
                  </w:r>
                </w:p>
              </w:tc>
              <w:tc>
                <w:tcPr>
                  <w:tcW w:w="819" w:type="dxa"/>
                  <w:tcBorders>
                    <w:top w:val="single" w:color="auto" w:sz="4" w:space="0"/>
                    <w:left w:val="single" w:color="auto" w:sz="4" w:space="0"/>
                    <w:bottom w:val="single" w:color="auto" w:sz="4" w:space="0"/>
                    <w:right w:val="single" w:color="auto" w:sz="4" w:space="0"/>
                  </w:tcBorders>
                  <w:noWrap/>
                </w:tcPr>
                <w:p w14:paraId="5E82790B">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47.39 </w:t>
                  </w:r>
                </w:p>
              </w:tc>
              <w:tc>
                <w:tcPr>
                  <w:tcW w:w="617" w:type="dxa"/>
                  <w:vMerge w:val="restart"/>
                  <w:tcBorders>
                    <w:top w:val="single" w:color="auto" w:sz="4" w:space="0"/>
                    <w:left w:val="single" w:color="auto" w:sz="4" w:space="0"/>
                    <w:bottom w:val="single" w:color="auto" w:sz="4" w:space="0"/>
                    <w:right w:val="single" w:color="auto" w:sz="4" w:space="0"/>
                  </w:tcBorders>
                  <w:noWrap/>
                  <w:vAlign w:val="center"/>
                </w:tcPr>
                <w:p w14:paraId="4E6A7E4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top w:val="single" w:color="auto" w:sz="4" w:space="0"/>
                    <w:left w:val="single" w:color="auto" w:sz="4" w:space="0"/>
                    <w:bottom w:val="single" w:color="auto" w:sz="4" w:space="0"/>
                    <w:right w:val="single" w:color="auto" w:sz="4" w:space="0"/>
                  </w:tcBorders>
                  <w:noWrap/>
                  <w:vAlign w:val="center"/>
                </w:tcPr>
                <w:p w14:paraId="667B371E">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tcPr>
                <w:p w14:paraId="1FFE6520">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27.39 </w:t>
                  </w:r>
                </w:p>
              </w:tc>
              <w:tc>
                <w:tcPr>
                  <w:tcW w:w="688" w:type="dxa"/>
                  <w:vMerge w:val="restart"/>
                  <w:tcBorders>
                    <w:top w:val="single" w:color="auto" w:sz="4" w:space="0"/>
                    <w:left w:val="single" w:color="auto" w:sz="4" w:space="0"/>
                    <w:bottom w:val="single" w:color="auto" w:sz="4" w:space="0"/>
                    <w:right w:val="nil"/>
                  </w:tcBorders>
                  <w:noWrap/>
                  <w:vAlign w:val="center"/>
                </w:tcPr>
                <w:p w14:paraId="7D7A2D53">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55F4CDB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580356A">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228DC47A">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33B7532A">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1AFE39BE">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25F9EC71">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7FF06A49">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452A7E69">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0A4060C8">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南：2</w:t>
                  </w:r>
                </w:p>
              </w:tc>
              <w:tc>
                <w:tcPr>
                  <w:tcW w:w="819" w:type="dxa"/>
                  <w:tcBorders>
                    <w:top w:val="single" w:color="auto" w:sz="4" w:space="0"/>
                    <w:left w:val="single" w:color="auto" w:sz="4" w:space="0"/>
                    <w:bottom w:val="single" w:color="auto" w:sz="4" w:space="0"/>
                    <w:right w:val="single" w:color="auto" w:sz="4" w:space="0"/>
                  </w:tcBorders>
                  <w:noWrap/>
                </w:tcPr>
                <w:p w14:paraId="62CD9BF1">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65.98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04E44ABD">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4513F480">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2997A30D">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45.98 </w:t>
                  </w:r>
                </w:p>
              </w:tc>
              <w:tc>
                <w:tcPr>
                  <w:tcW w:w="688" w:type="dxa"/>
                  <w:vMerge w:val="continue"/>
                  <w:tcBorders>
                    <w:top w:val="single" w:color="auto" w:sz="4" w:space="0"/>
                    <w:left w:val="single" w:color="auto" w:sz="4" w:space="0"/>
                    <w:bottom w:val="single" w:color="auto" w:sz="4" w:space="0"/>
                    <w:right w:val="nil"/>
                  </w:tcBorders>
                  <w:vAlign w:val="center"/>
                </w:tcPr>
                <w:p w14:paraId="3956E750">
                  <w:pPr>
                    <w:widowControl/>
                    <w:rPr>
                      <w:rFonts w:eastAsiaTheme="minorEastAsia"/>
                      <w:color w:val="000000" w:themeColor="text1"/>
                      <w:kern w:val="0"/>
                      <w:szCs w:val="21"/>
                      <w14:textFill>
                        <w14:solidFill>
                          <w14:schemeClr w14:val="tx1"/>
                        </w14:solidFill>
                      </w14:textFill>
                    </w:rPr>
                  </w:pPr>
                </w:p>
              </w:tc>
            </w:tr>
            <w:tr w14:paraId="13AA93C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2B85B828">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43F6B0F8">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69EFFD26">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36CF7997">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50786714">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36174036">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35071835">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6C3872C2">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w:t>
                  </w:r>
                </w:p>
              </w:tc>
              <w:tc>
                <w:tcPr>
                  <w:tcW w:w="819" w:type="dxa"/>
                  <w:tcBorders>
                    <w:top w:val="single" w:color="auto" w:sz="4" w:space="0"/>
                    <w:left w:val="single" w:color="auto" w:sz="4" w:space="0"/>
                    <w:bottom w:val="single" w:color="auto" w:sz="4" w:space="0"/>
                    <w:right w:val="single" w:color="auto" w:sz="4" w:space="0"/>
                  </w:tcBorders>
                  <w:noWrap/>
                </w:tcPr>
                <w:p w14:paraId="4C975D9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72.00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65EE068D">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777E3EDD">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413E96DA">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52.00 </w:t>
                  </w:r>
                </w:p>
              </w:tc>
              <w:tc>
                <w:tcPr>
                  <w:tcW w:w="688" w:type="dxa"/>
                  <w:vMerge w:val="continue"/>
                  <w:tcBorders>
                    <w:top w:val="single" w:color="auto" w:sz="4" w:space="0"/>
                    <w:left w:val="single" w:color="auto" w:sz="4" w:space="0"/>
                    <w:bottom w:val="single" w:color="auto" w:sz="4" w:space="0"/>
                    <w:right w:val="nil"/>
                  </w:tcBorders>
                  <w:vAlign w:val="center"/>
                </w:tcPr>
                <w:p w14:paraId="192DF8B2">
                  <w:pPr>
                    <w:widowControl/>
                    <w:rPr>
                      <w:rFonts w:eastAsiaTheme="minorEastAsia"/>
                      <w:color w:val="000000" w:themeColor="text1"/>
                      <w:kern w:val="0"/>
                      <w:szCs w:val="21"/>
                      <w14:textFill>
                        <w14:solidFill>
                          <w14:schemeClr w14:val="tx1"/>
                        </w14:solidFill>
                      </w14:textFill>
                    </w:rPr>
                  </w:pPr>
                </w:p>
              </w:tc>
            </w:tr>
            <w:tr w14:paraId="54651DE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11F47F08">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6BBA16CB">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5D094F1F">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492D4F53">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6A48EEAE">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0AF966A6">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CE3B530">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66AAC5D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北：15</w:t>
                  </w:r>
                </w:p>
              </w:tc>
              <w:tc>
                <w:tcPr>
                  <w:tcW w:w="819" w:type="dxa"/>
                  <w:tcBorders>
                    <w:top w:val="single" w:color="auto" w:sz="4" w:space="0"/>
                    <w:left w:val="single" w:color="auto" w:sz="4" w:space="0"/>
                    <w:bottom w:val="single" w:color="auto" w:sz="4" w:space="0"/>
                    <w:right w:val="single" w:color="auto" w:sz="4" w:space="0"/>
                  </w:tcBorders>
                  <w:noWrap/>
                </w:tcPr>
                <w:p w14:paraId="40745C96">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48.48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4B10C906">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5DFCBF8C">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444D4BEE">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28.48 </w:t>
                  </w:r>
                </w:p>
              </w:tc>
              <w:tc>
                <w:tcPr>
                  <w:tcW w:w="688" w:type="dxa"/>
                  <w:vMerge w:val="continue"/>
                  <w:tcBorders>
                    <w:top w:val="single" w:color="auto" w:sz="4" w:space="0"/>
                    <w:left w:val="single" w:color="auto" w:sz="4" w:space="0"/>
                    <w:bottom w:val="single" w:color="auto" w:sz="4" w:space="0"/>
                    <w:right w:val="nil"/>
                  </w:tcBorders>
                  <w:vAlign w:val="center"/>
                </w:tcPr>
                <w:p w14:paraId="6466BCC8">
                  <w:pPr>
                    <w:widowControl/>
                    <w:rPr>
                      <w:rFonts w:eastAsiaTheme="minorEastAsia"/>
                      <w:color w:val="000000" w:themeColor="text1"/>
                      <w:kern w:val="0"/>
                      <w:szCs w:val="21"/>
                      <w14:textFill>
                        <w14:solidFill>
                          <w14:schemeClr w14:val="tx1"/>
                        </w14:solidFill>
                      </w14:textFill>
                    </w:rPr>
                  </w:pPr>
                </w:p>
              </w:tc>
            </w:tr>
            <w:tr w14:paraId="1AD7AEA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4638C0D8">
                  <w:pPr>
                    <w:widowControl/>
                    <w:jc w:val="center"/>
                    <w:rPr>
                      <w:rFonts w:eastAsiaTheme="minorEastAsia"/>
                      <w:color w:val="000000" w:themeColor="text1"/>
                      <w:szCs w:val="21"/>
                      <w14:textFill>
                        <w14:solidFill>
                          <w14:schemeClr w14:val="tx1"/>
                        </w14:solidFill>
                      </w14:textFill>
                    </w:rPr>
                  </w:pPr>
                </w:p>
              </w:tc>
              <w:tc>
                <w:tcPr>
                  <w:tcW w:w="450" w:type="dxa"/>
                  <w:vMerge w:val="restart"/>
                  <w:tcBorders>
                    <w:top w:val="single" w:color="auto" w:sz="4" w:space="0"/>
                    <w:left w:val="single" w:color="auto" w:sz="4" w:space="0"/>
                    <w:bottom w:val="single" w:color="auto" w:sz="4" w:space="0"/>
                    <w:right w:val="single" w:color="auto" w:sz="4" w:space="0"/>
                  </w:tcBorders>
                  <w:vAlign w:val="center"/>
                </w:tcPr>
                <w:p w14:paraId="0A4AF278">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皮带输送机2#</w:t>
                  </w:r>
                </w:p>
              </w:tc>
              <w:tc>
                <w:tcPr>
                  <w:tcW w:w="665" w:type="dxa"/>
                  <w:vMerge w:val="restart"/>
                  <w:tcBorders>
                    <w:top w:val="single" w:color="auto" w:sz="4" w:space="0"/>
                    <w:left w:val="single" w:color="auto" w:sz="4" w:space="0"/>
                    <w:bottom w:val="single" w:color="auto" w:sz="4" w:space="0"/>
                    <w:right w:val="single" w:color="auto" w:sz="4" w:space="0"/>
                  </w:tcBorders>
                  <w:vAlign w:val="center"/>
                </w:tcPr>
                <w:p w14:paraId="78448A75">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530" w:type="dxa"/>
                  <w:vMerge w:val="continue"/>
                  <w:tcBorders>
                    <w:left w:val="single" w:color="auto" w:sz="4" w:space="0"/>
                    <w:right w:val="single" w:color="auto" w:sz="4" w:space="0"/>
                  </w:tcBorders>
                  <w:vAlign w:val="center"/>
                </w:tcPr>
                <w:p w14:paraId="7880926D">
                  <w:pPr>
                    <w:widowControl/>
                    <w:rPr>
                      <w:rFonts w:eastAsiaTheme="minorEastAsia"/>
                      <w:color w:val="000000" w:themeColor="text1"/>
                      <w:szCs w:val="21"/>
                      <w14:textFill>
                        <w14:solidFill>
                          <w14:schemeClr w14:val="tx1"/>
                        </w14:solidFill>
                      </w14:textFill>
                    </w:rPr>
                  </w:pPr>
                </w:p>
              </w:tc>
              <w:tc>
                <w:tcPr>
                  <w:tcW w:w="620" w:type="dxa"/>
                  <w:vMerge w:val="restart"/>
                  <w:tcBorders>
                    <w:top w:val="single" w:color="auto" w:sz="4" w:space="0"/>
                    <w:left w:val="single" w:color="auto" w:sz="4" w:space="0"/>
                    <w:bottom w:val="single" w:color="auto" w:sz="4" w:space="0"/>
                    <w:right w:val="single" w:color="auto" w:sz="4" w:space="0"/>
                  </w:tcBorders>
                  <w:vAlign w:val="center"/>
                </w:tcPr>
                <w:p w14:paraId="777E5D66">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24</w:t>
                  </w:r>
                </w:p>
              </w:tc>
              <w:tc>
                <w:tcPr>
                  <w:tcW w:w="620" w:type="dxa"/>
                  <w:vMerge w:val="restart"/>
                  <w:tcBorders>
                    <w:top w:val="single" w:color="auto" w:sz="4" w:space="0"/>
                    <w:left w:val="single" w:color="auto" w:sz="4" w:space="0"/>
                    <w:bottom w:val="single" w:color="auto" w:sz="4" w:space="0"/>
                    <w:right w:val="single" w:color="auto" w:sz="4" w:space="0"/>
                  </w:tcBorders>
                  <w:noWrap/>
                  <w:vAlign w:val="center"/>
                </w:tcPr>
                <w:p w14:paraId="45D2115C">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14:paraId="26F0C147">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787" w:type="dxa"/>
                  <w:tcBorders>
                    <w:top w:val="single" w:color="auto" w:sz="4" w:space="0"/>
                    <w:left w:val="single" w:color="auto" w:sz="4" w:space="0"/>
                    <w:bottom w:val="single" w:color="auto" w:sz="4" w:space="0"/>
                    <w:right w:val="single" w:color="auto" w:sz="4" w:space="0"/>
                  </w:tcBorders>
                  <w:noWrap/>
                  <w:vAlign w:val="center"/>
                </w:tcPr>
                <w:p w14:paraId="7D3385E0">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东：2</w:t>
                  </w:r>
                </w:p>
              </w:tc>
              <w:tc>
                <w:tcPr>
                  <w:tcW w:w="819" w:type="dxa"/>
                  <w:tcBorders>
                    <w:top w:val="single" w:color="auto" w:sz="4" w:space="0"/>
                    <w:left w:val="single" w:color="auto" w:sz="4" w:space="0"/>
                    <w:bottom w:val="single" w:color="auto" w:sz="4" w:space="0"/>
                    <w:right w:val="single" w:color="auto" w:sz="4" w:space="0"/>
                  </w:tcBorders>
                  <w:noWrap/>
                </w:tcPr>
                <w:p w14:paraId="3CA3CE59">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65.98 </w:t>
                  </w:r>
                </w:p>
              </w:tc>
              <w:tc>
                <w:tcPr>
                  <w:tcW w:w="617" w:type="dxa"/>
                  <w:vMerge w:val="restart"/>
                  <w:tcBorders>
                    <w:top w:val="single" w:color="auto" w:sz="4" w:space="0"/>
                    <w:left w:val="single" w:color="auto" w:sz="4" w:space="0"/>
                    <w:bottom w:val="single" w:color="auto" w:sz="4" w:space="0"/>
                    <w:right w:val="single" w:color="auto" w:sz="4" w:space="0"/>
                  </w:tcBorders>
                  <w:noWrap/>
                  <w:vAlign w:val="center"/>
                </w:tcPr>
                <w:p w14:paraId="732FFC6D">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top w:val="single" w:color="auto" w:sz="4" w:space="0"/>
                    <w:left w:val="single" w:color="auto" w:sz="4" w:space="0"/>
                    <w:bottom w:val="single" w:color="auto" w:sz="4" w:space="0"/>
                    <w:right w:val="single" w:color="auto" w:sz="4" w:space="0"/>
                  </w:tcBorders>
                  <w:noWrap/>
                  <w:vAlign w:val="center"/>
                </w:tcPr>
                <w:p w14:paraId="12F3E879">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tcPr>
                <w:p w14:paraId="322A1BA3">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45.98 </w:t>
                  </w:r>
                </w:p>
              </w:tc>
              <w:tc>
                <w:tcPr>
                  <w:tcW w:w="688" w:type="dxa"/>
                  <w:vMerge w:val="restart"/>
                  <w:tcBorders>
                    <w:top w:val="single" w:color="auto" w:sz="4" w:space="0"/>
                    <w:left w:val="single" w:color="auto" w:sz="4" w:space="0"/>
                    <w:bottom w:val="single" w:color="auto" w:sz="4" w:space="0"/>
                    <w:right w:val="nil"/>
                  </w:tcBorders>
                  <w:noWrap/>
                  <w:vAlign w:val="center"/>
                </w:tcPr>
                <w:p w14:paraId="1473001A">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7EBE6E2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5F5401E6">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34D9CE77">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22D27304">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7E931460">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6B81A25B">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673E6415">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5F92708A">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0FF4421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南：15</w:t>
                  </w:r>
                </w:p>
              </w:tc>
              <w:tc>
                <w:tcPr>
                  <w:tcW w:w="819" w:type="dxa"/>
                  <w:tcBorders>
                    <w:top w:val="single" w:color="auto" w:sz="4" w:space="0"/>
                    <w:left w:val="single" w:color="auto" w:sz="4" w:space="0"/>
                    <w:bottom w:val="single" w:color="auto" w:sz="4" w:space="0"/>
                    <w:right w:val="single" w:color="auto" w:sz="4" w:space="0"/>
                  </w:tcBorders>
                  <w:noWrap/>
                </w:tcPr>
                <w:p w14:paraId="28982BAC">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48.48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70D02B9D">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7D2626D5">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3BACC2DF">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28.48 </w:t>
                  </w:r>
                </w:p>
              </w:tc>
              <w:tc>
                <w:tcPr>
                  <w:tcW w:w="688" w:type="dxa"/>
                  <w:vMerge w:val="continue"/>
                  <w:tcBorders>
                    <w:top w:val="single" w:color="auto" w:sz="4" w:space="0"/>
                    <w:left w:val="single" w:color="auto" w:sz="4" w:space="0"/>
                    <w:bottom w:val="single" w:color="auto" w:sz="4" w:space="0"/>
                    <w:right w:val="nil"/>
                  </w:tcBorders>
                  <w:vAlign w:val="center"/>
                </w:tcPr>
                <w:p w14:paraId="6DBCCAD6">
                  <w:pPr>
                    <w:widowControl/>
                    <w:rPr>
                      <w:rFonts w:eastAsiaTheme="minorEastAsia"/>
                      <w:color w:val="000000" w:themeColor="text1"/>
                      <w:kern w:val="0"/>
                      <w:szCs w:val="21"/>
                      <w14:textFill>
                        <w14:solidFill>
                          <w14:schemeClr w14:val="tx1"/>
                        </w14:solidFill>
                      </w14:textFill>
                    </w:rPr>
                  </w:pPr>
                </w:p>
              </w:tc>
            </w:tr>
            <w:tr w14:paraId="6637DB9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A9586B1">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055D261F">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618C235D">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58359827">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1B1AE331">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718A8C2A">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6B301E64">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300ADB5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西：16</w:t>
                  </w:r>
                </w:p>
              </w:tc>
              <w:tc>
                <w:tcPr>
                  <w:tcW w:w="819" w:type="dxa"/>
                  <w:tcBorders>
                    <w:top w:val="single" w:color="auto" w:sz="4" w:space="0"/>
                    <w:left w:val="single" w:color="auto" w:sz="4" w:space="0"/>
                    <w:bottom w:val="single" w:color="auto" w:sz="4" w:space="0"/>
                    <w:right w:val="single" w:color="auto" w:sz="4" w:space="0"/>
                  </w:tcBorders>
                  <w:noWrap/>
                </w:tcPr>
                <w:p w14:paraId="2B8D5992">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47.92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68B1FC05">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0F1E3EAF">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16578483">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27.92 </w:t>
                  </w:r>
                </w:p>
              </w:tc>
              <w:tc>
                <w:tcPr>
                  <w:tcW w:w="688" w:type="dxa"/>
                  <w:vMerge w:val="continue"/>
                  <w:tcBorders>
                    <w:top w:val="single" w:color="auto" w:sz="4" w:space="0"/>
                    <w:left w:val="single" w:color="auto" w:sz="4" w:space="0"/>
                    <w:bottom w:val="single" w:color="auto" w:sz="4" w:space="0"/>
                    <w:right w:val="nil"/>
                  </w:tcBorders>
                  <w:vAlign w:val="center"/>
                </w:tcPr>
                <w:p w14:paraId="36834D43">
                  <w:pPr>
                    <w:widowControl/>
                    <w:rPr>
                      <w:rFonts w:eastAsiaTheme="minorEastAsia"/>
                      <w:color w:val="000000" w:themeColor="text1"/>
                      <w:kern w:val="0"/>
                      <w:szCs w:val="21"/>
                      <w14:textFill>
                        <w14:solidFill>
                          <w14:schemeClr w14:val="tx1"/>
                        </w14:solidFill>
                      </w14:textFill>
                    </w:rPr>
                  </w:pPr>
                </w:p>
              </w:tc>
            </w:tr>
            <w:tr w14:paraId="22917B2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7F0A21A">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35877C4A">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29B7E93E">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0F7BB882">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1862038F">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032F3E80">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467D54CB">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512AD49A">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北：2</w:t>
                  </w:r>
                </w:p>
              </w:tc>
              <w:tc>
                <w:tcPr>
                  <w:tcW w:w="819" w:type="dxa"/>
                  <w:tcBorders>
                    <w:top w:val="single" w:color="auto" w:sz="4" w:space="0"/>
                    <w:left w:val="single" w:color="auto" w:sz="4" w:space="0"/>
                    <w:bottom w:val="single" w:color="auto" w:sz="4" w:space="0"/>
                    <w:right w:val="single" w:color="auto" w:sz="4" w:space="0"/>
                  </w:tcBorders>
                  <w:noWrap/>
                </w:tcPr>
                <w:p w14:paraId="732AF52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65.98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520BD7DF">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2B6565D9">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6C00F58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45.98 </w:t>
                  </w:r>
                </w:p>
              </w:tc>
              <w:tc>
                <w:tcPr>
                  <w:tcW w:w="688" w:type="dxa"/>
                  <w:vMerge w:val="continue"/>
                  <w:tcBorders>
                    <w:top w:val="single" w:color="auto" w:sz="4" w:space="0"/>
                    <w:left w:val="single" w:color="auto" w:sz="4" w:space="0"/>
                    <w:bottom w:val="single" w:color="auto" w:sz="4" w:space="0"/>
                    <w:right w:val="nil"/>
                  </w:tcBorders>
                  <w:vAlign w:val="center"/>
                </w:tcPr>
                <w:p w14:paraId="7BD7D84A">
                  <w:pPr>
                    <w:widowControl/>
                    <w:rPr>
                      <w:rFonts w:eastAsiaTheme="minorEastAsia"/>
                      <w:color w:val="000000" w:themeColor="text1"/>
                      <w:kern w:val="0"/>
                      <w:szCs w:val="21"/>
                      <w14:textFill>
                        <w14:solidFill>
                          <w14:schemeClr w14:val="tx1"/>
                        </w14:solidFill>
                      </w14:textFill>
                    </w:rPr>
                  </w:pPr>
                </w:p>
              </w:tc>
            </w:tr>
            <w:tr w14:paraId="18AA4AA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422E7324">
                  <w:pPr>
                    <w:widowControl/>
                    <w:jc w:val="center"/>
                    <w:rPr>
                      <w:rFonts w:eastAsiaTheme="minorEastAsia"/>
                      <w:color w:val="000000" w:themeColor="text1"/>
                      <w:szCs w:val="21"/>
                      <w14:textFill>
                        <w14:solidFill>
                          <w14:schemeClr w14:val="tx1"/>
                        </w14:solidFill>
                      </w14:textFill>
                    </w:rPr>
                  </w:pPr>
                </w:p>
              </w:tc>
              <w:tc>
                <w:tcPr>
                  <w:tcW w:w="450" w:type="dxa"/>
                  <w:vMerge w:val="restart"/>
                  <w:tcBorders>
                    <w:top w:val="single" w:color="auto" w:sz="4" w:space="0"/>
                    <w:left w:val="single" w:color="auto" w:sz="4" w:space="0"/>
                    <w:bottom w:val="single" w:color="auto" w:sz="4" w:space="0"/>
                    <w:right w:val="single" w:color="auto" w:sz="4" w:space="0"/>
                  </w:tcBorders>
                  <w:vAlign w:val="center"/>
                </w:tcPr>
                <w:p w14:paraId="0B03FC1B">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混料机1#</w:t>
                  </w:r>
                </w:p>
              </w:tc>
              <w:tc>
                <w:tcPr>
                  <w:tcW w:w="665" w:type="dxa"/>
                  <w:vMerge w:val="restart"/>
                  <w:tcBorders>
                    <w:top w:val="single" w:color="auto" w:sz="4" w:space="0"/>
                    <w:left w:val="single" w:color="auto" w:sz="4" w:space="0"/>
                    <w:bottom w:val="single" w:color="auto" w:sz="4" w:space="0"/>
                    <w:right w:val="single" w:color="auto" w:sz="4" w:space="0"/>
                  </w:tcBorders>
                  <w:vAlign w:val="center"/>
                </w:tcPr>
                <w:p w14:paraId="32EB4AFC">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85</w:t>
                  </w:r>
                </w:p>
              </w:tc>
              <w:tc>
                <w:tcPr>
                  <w:tcW w:w="530" w:type="dxa"/>
                  <w:vMerge w:val="continue"/>
                  <w:tcBorders>
                    <w:left w:val="single" w:color="auto" w:sz="4" w:space="0"/>
                    <w:right w:val="single" w:color="auto" w:sz="4" w:space="0"/>
                  </w:tcBorders>
                  <w:vAlign w:val="center"/>
                </w:tcPr>
                <w:p w14:paraId="07A881B6">
                  <w:pPr>
                    <w:widowControl/>
                    <w:rPr>
                      <w:rFonts w:eastAsiaTheme="minorEastAsia"/>
                      <w:color w:val="000000" w:themeColor="text1"/>
                      <w:szCs w:val="21"/>
                      <w14:textFill>
                        <w14:solidFill>
                          <w14:schemeClr w14:val="tx1"/>
                        </w14:solidFill>
                      </w14:textFill>
                    </w:rPr>
                  </w:pPr>
                </w:p>
              </w:tc>
              <w:tc>
                <w:tcPr>
                  <w:tcW w:w="620" w:type="dxa"/>
                  <w:vMerge w:val="restart"/>
                  <w:tcBorders>
                    <w:top w:val="single" w:color="auto" w:sz="4" w:space="0"/>
                    <w:left w:val="single" w:color="auto" w:sz="4" w:space="0"/>
                    <w:bottom w:val="single" w:color="auto" w:sz="4" w:space="0"/>
                    <w:right w:val="single" w:color="auto" w:sz="4" w:space="0"/>
                  </w:tcBorders>
                  <w:vAlign w:val="center"/>
                </w:tcPr>
                <w:p w14:paraId="6684E6A0">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11</w:t>
                  </w:r>
                </w:p>
              </w:tc>
              <w:tc>
                <w:tcPr>
                  <w:tcW w:w="620" w:type="dxa"/>
                  <w:vMerge w:val="restart"/>
                  <w:tcBorders>
                    <w:top w:val="single" w:color="auto" w:sz="4" w:space="0"/>
                    <w:left w:val="single" w:color="auto" w:sz="4" w:space="0"/>
                    <w:bottom w:val="single" w:color="auto" w:sz="4" w:space="0"/>
                    <w:right w:val="single" w:color="auto" w:sz="4" w:space="0"/>
                  </w:tcBorders>
                  <w:noWrap/>
                  <w:vAlign w:val="center"/>
                </w:tcPr>
                <w:p w14:paraId="13907B38">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14:paraId="28D3C6D2">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787" w:type="dxa"/>
                  <w:tcBorders>
                    <w:top w:val="single" w:color="auto" w:sz="4" w:space="0"/>
                    <w:left w:val="single" w:color="auto" w:sz="4" w:space="0"/>
                    <w:bottom w:val="single" w:color="auto" w:sz="4" w:space="0"/>
                    <w:right w:val="single" w:color="auto" w:sz="4" w:space="0"/>
                  </w:tcBorders>
                  <w:noWrap/>
                  <w:vAlign w:val="center"/>
                </w:tcPr>
                <w:p w14:paraId="5F7F37F6">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东：5</w:t>
                  </w:r>
                </w:p>
              </w:tc>
              <w:tc>
                <w:tcPr>
                  <w:tcW w:w="819" w:type="dxa"/>
                  <w:tcBorders>
                    <w:top w:val="single" w:color="auto" w:sz="4" w:space="0"/>
                    <w:left w:val="single" w:color="auto" w:sz="4" w:space="0"/>
                    <w:bottom w:val="single" w:color="auto" w:sz="4" w:space="0"/>
                    <w:right w:val="single" w:color="auto" w:sz="4" w:space="0"/>
                  </w:tcBorders>
                  <w:noWrap/>
                </w:tcPr>
                <w:p w14:paraId="2E92B1C2">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63.02 </w:t>
                  </w:r>
                </w:p>
              </w:tc>
              <w:tc>
                <w:tcPr>
                  <w:tcW w:w="617" w:type="dxa"/>
                  <w:vMerge w:val="restart"/>
                  <w:tcBorders>
                    <w:top w:val="single" w:color="auto" w:sz="4" w:space="0"/>
                    <w:left w:val="single" w:color="auto" w:sz="4" w:space="0"/>
                    <w:bottom w:val="single" w:color="auto" w:sz="4" w:space="0"/>
                    <w:right w:val="single" w:color="auto" w:sz="4" w:space="0"/>
                  </w:tcBorders>
                  <w:noWrap/>
                  <w:vAlign w:val="center"/>
                </w:tcPr>
                <w:p w14:paraId="4CBA2DB4">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top w:val="single" w:color="auto" w:sz="4" w:space="0"/>
                    <w:left w:val="single" w:color="auto" w:sz="4" w:space="0"/>
                    <w:bottom w:val="single" w:color="auto" w:sz="4" w:space="0"/>
                    <w:right w:val="single" w:color="auto" w:sz="4" w:space="0"/>
                  </w:tcBorders>
                  <w:noWrap/>
                  <w:vAlign w:val="center"/>
                </w:tcPr>
                <w:p w14:paraId="1D781E2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tcPr>
                <w:p w14:paraId="24293D6C">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43.02 </w:t>
                  </w:r>
                </w:p>
              </w:tc>
              <w:tc>
                <w:tcPr>
                  <w:tcW w:w="688" w:type="dxa"/>
                  <w:vMerge w:val="restart"/>
                  <w:tcBorders>
                    <w:top w:val="single" w:color="auto" w:sz="4" w:space="0"/>
                    <w:left w:val="single" w:color="auto" w:sz="4" w:space="0"/>
                    <w:bottom w:val="single" w:color="auto" w:sz="4" w:space="0"/>
                    <w:right w:val="nil"/>
                  </w:tcBorders>
                  <w:noWrap/>
                  <w:vAlign w:val="center"/>
                </w:tcPr>
                <w:p w14:paraId="5D2612C0">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5993402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57FDFE7E">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46191937">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4BE92CF8">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4B6F05B4">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7D3A9B89">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4C6DCC1B">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B3C1308">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3AB2F0F9">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南：5</w:t>
                  </w:r>
                </w:p>
              </w:tc>
              <w:tc>
                <w:tcPr>
                  <w:tcW w:w="819" w:type="dxa"/>
                  <w:tcBorders>
                    <w:top w:val="single" w:color="auto" w:sz="4" w:space="0"/>
                    <w:left w:val="single" w:color="auto" w:sz="4" w:space="0"/>
                    <w:bottom w:val="single" w:color="auto" w:sz="4" w:space="0"/>
                    <w:right w:val="single" w:color="auto" w:sz="4" w:space="0"/>
                  </w:tcBorders>
                  <w:noWrap/>
                </w:tcPr>
                <w:p w14:paraId="7DD35CD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63.02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309DA2E3">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2A7E9ED4">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56A005FA">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43.02 </w:t>
                  </w:r>
                </w:p>
              </w:tc>
              <w:tc>
                <w:tcPr>
                  <w:tcW w:w="688" w:type="dxa"/>
                  <w:vMerge w:val="continue"/>
                  <w:tcBorders>
                    <w:top w:val="single" w:color="auto" w:sz="4" w:space="0"/>
                    <w:left w:val="single" w:color="auto" w:sz="4" w:space="0"/>
                    <w:bottom w:val="single" w:color="auto" w:sz="4" w:space="0"/>
                    <w:right w:val="nil"/>
                  </w:tcBorders>
                  <w:vAlign w:val="center"/>
                </w:tcPr>
                <w:p w14:paraId="5412354A">
                  <w:pPr>
                    <w:widowControl/>
                    <w:rPr>
                      <w:rFonts w:eastAsiaTheme="minorEastAsia"/>
                      <w:color w:val="000000" w:themeColor="text1"/>
                      <w:kern w:val="0"/>
                      <w:szCs w:val="21"/>
                      <w14:textFill>
                        <w14:solidFill>
                          <w14:schemeClr w14:val="tx1"/>
                        </w14:solidFill>
                      </w14:textFill>
                    </w:rPr>
                  </w:pPr>
                </w:p>
              </w:tc>
            </w:tr>
            <w:tr w14:paraId="694714C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1121EEC">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2F390107">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38E93359">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6563BF73">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3EB48654">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2E921F68">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36CB98EC">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3BB65BCB">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西：12</w:t>
                  </w:r>
                </w:p>
              </w:tc>
              <w:tc>
                <w:tcPr>
                  <w:tcW w:w="819" w:type="dxa"/>
                  <w:tcBorders>
                    <w:top w:val="single" w:color="auto" w:sz="4" w:space="0"/>
                    <w:left w:val="single" w:color="auto" w:sz="4" w:space="0"/>
                    <w:bottom w:val="single" w:color="auto" w:sz="4" w:space="0"/>
                    <w:right w:val="single" w:color="auto" w:sz="4" w:space="0"/>
                  </w:tcBorders>
                  <w:noWrap/>
                </w:tcPr>
                <w:p w14:paraId="5DEC4E3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55.42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4D817B28">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7B5E8BF0">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752B714B">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35.42 </w:t>
                  </w:r>
                </w:p>
              </w:tc>
              <w:tc>
                <w:tcPr>
                  <w:tcW w:w="688" w:type="dxa"/>
                  <w:vMerge w:val="continue"/>
                  <w:tcBorders>
                    <w:top w:val="single" w:color="auto" w:sz="4" w:space="0"/>
                    <w:left w:val="single" w:color="auto" w:sz="4" w:space="0"/>
                    <w:bottom w:val="single" w:color="auto" w:sz="4" w:space="0"/>
                    <w:right w:val="nil"/>
                  </w:tcBorders>
                  <w:vAlign w:val="center"/>
                </w:tcPr>
                <w:p w14:paraId="1EA634DF">
                  <w:pPr>
                    <w:widowControl/>
                    <w:rPr>
                      <w:rFonts w:eastAsiaTheme="minorEastAsia"/>
                      <w:color w:val="000000" w:themeColor="text1"/>
                      <w:kern w:val="0"/>
                      <w:szCs w:val="21"/>
                      <w14:textFill>
                        <w14:solidFill>
                          <w14:schemeClr w14:val="tx1"/>
                        </w14:solidFill>
                      </w14:textFill>
                    </w:rPr>
                  </w:pPr>
                </w:p>
              </w:tc>
            </w:tr>
            <w:tr w14:paraId="7E7F4C3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6F4A786">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52CBB757">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6C456184">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3CBAE7C9">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695AD3F9">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5C82DC02">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33F2FCA">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4A1923E9">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北：12</w:t>
                  </w:r>
                </w:p>
              </w:tc>
              <w:tc>
                <w:tcPr>
                  <w:tcW w:w="819" w:type="dxa"/>
                  <w:tcBorders>
                    <w:top w:val="single" w:color="auto" w:sz="4" w:space="0"/>
                    <w:left w:val="single" w:color="auto" w:sz="4" w:space="0"/>
                    <w:bottom w:val="single" w:color="auto" w:sz="4" w:space="0"/>
                    <w:right w:val="single" w:color="auto" w:sz="4" w:space="0"/>
                  </w:tcBorders>
                  <w:noWrap/>
                </w:tcPr>
                <w:p w14:paraId="41837F1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55.42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6CAF0F82">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12F2E7FD">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0BBA8ED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35.42 </w:t>
                  </w:r>
                </w:p>
              </w:tc>
              <w:tc>
                <w:tcPr>
                  <w:tcW w:w="688" w:type="dxa"/>
                  <w:vMerge w:val="continue"/>
                  <w:tcBorders>
                    <w:top w:val="single" w:color="auto" w:sz="4" w:space="0"/>
                    <w:left w:val="single" w:color="auto" w:sz="4" w:space="0"/>
                    <w:bottom w:val="single" w:color="auto" w:sz="4" w:space="0"/>
                    <w:right w:val="nil"/>
                  </w:tcBorders>
                  <w:vAlign w:val="center"/>
                </w:tcPr>
                <w:p w14:paraId="0F064485">
                  <w:pPr>
                    <w:widowControl/>
                    <w:rPr>
                      <w:rFonts w:eastAsiaTheme="minorEastAsia"/>
                      <w:color w:val="000000" w:themeColor="text1"/>
                      <w:kern w:val="0"/>
                      <w:szCs w:val="21"/>
                      <w14:textFill>
                        <w14:solidFill>
                          <w14:schemeClr w14:val="tx1"/>
                        </w14:solidFill>
                      </w14:textFill>
                    </w:rPr>
                  </w:pPr>
                </w:p>
              </w:tc>
            </w:tr>
            <w:tr w14:paraId="5296253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749B2EF8">
                  <w:pPr>
                    <w:widowControl/>
                    <w:jc w:val="center"/>
                    <w:rPr>
                      <w:rFonts w:eastAsiaTheme="minorEastAsia"/>
                      <w:color w:val="000000" w:themeColor="text1"/>
                      <w:szCs w:val="21"/>
                      <w14:textFill>
                        <w14:solidFill>
                          <w14:schemeClr w14:val="tx1"/>
                        </w14:solidFill>
                      </w14:textFill>
                    </w:rPr>
                  </w:pPr>
                </w:p>
              </w:tc>
              <w:tc>
                <w:tcPr>
                  <w:tcW w:w="450" w:type="dxa"/>
                  <w:vMerge w:val="restart"/>
                  <w:tcBorders>
                    <w:top w:val="single" w:color="auto" w:sz="4" w:space="0"/>
                    <w:left w:val="single" w:color="auto" w:sz="4" w:space="0"/>
                    <w:right w:val="single" w:color="auto" w:sz="4" w:space="0"/>
                  </w:tcBorders>
                  <w:vAlign w:val="center"/>
                </w:tcPr>
                <w:p w14:paraId="0065D669">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混料机2#</w:t>
                  </w:r>
                </w:p>
              </w:tc>
              <w:tc>
                <w:tcPr>
                  <w:tcW w:w="665" w:type="dxa"/>
                  <w:vMerge w:val="restart"/>
                  <w:tcBorders>
                    <w:top w:val="single" w:color="auto" w:sz="4" w:space="0"/>
                    <w:left w:val="single" w:color="auto" w:sz="4" w:space="0"/>
                    <w:right w:val="single" w:color="auto" w:sz="4" w:space="0"/>
                  </w:tcBorders>
                  <w:vAlign w:val="center"/>
                </w:tcPr>
                <w:p w14:paraId="5DDF266D">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85</w:t>
                  </w:r>
                </w:p>
              </w:tc>
              <w:tc>
                <w:tcPr>
                  <w:tcW w:w="530" w:type="dxa"/>
                  <w:vMerge w:val="continue"/>
                  <w:tcBorders>
                    <w:left w:val="single" w:color="auto" w:sz="4" w:space="0"/>
                    <w:right w:val="single" w:color="auto" w:sz="4" w:space="0"/>
                  </w:tcBorders>
                  <w:vAlign w:val="center"/>
                </w:tcPr>
                <w:p w14:paraId="54D20AD9">
                  <w:pPr>
                    <w:widowControl/>
                    <w:rPr>
                      <w:rFonts w:eastAsiaTheme="minorEastAsia"/>
                      <w:color w:val="000000" w:themeColor="text1"/>
                      <w:szCs w:val="21"/>
                      <w14:textFill>
                        <w14:solidFill>
                          <w14:schemeClr w14:val="tx1"/>
                        </w14:solidFill>
                      </w14:textFill>
                    </w:rPr>
                  </w:pPr>
                </w:p>
              </w:tc>
              <w:tc>
                <w:tcPr>
                  <w:tcW w:w="620" w:type="dxa"/>
                  <w:vMerge w:val="restart"/>
                  <w:tcBorders>
                    <w:top w:val="single" w:color="auto" w:sz="4" w:space="0"/>
                    <w:left w:val="single" w:color="auto" w:sz="4" w:space="0"/>
                    <w:right w:val="single" w:color="auto" w:sz="4" w:space="0"/>
                  </w:tcBorders>
                  <w:vAlign w:val="center"/>
                </w:tcPr>
                <w:p w14:paraId="18F71A99">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19</w:t>
                  </w:r>
                </w:p>
              </w:tc>
              <w:tc>
                <w:tcPr>
                  <w:tcW w:w="620" w:type="dxa"/>
                  <w:vMerge w:val="restart"/>
                  <w:tcBorders>
                    <w:top w:val="single" w:color="auto" w:sz="4" w:space="0"/>
                    <w:left w:val="single" w:color="auto" w:sz="4" w:space="0"/>
                    <w:right w:val="single" w:color="auto" w:sz="4" w:space="0"/>
                  </w:tcBorders>
                  <w:vAlign w:val="center"/>
                </w:tcPr>
                <w:p w14:paraId="5AC42B68">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588" w:type="dxa"/>
                  <w:vMerge w:val="restart"/>
                  <w:tcBorders>
                    <w:top w:val="single" w:color="auto" w:sz="4" w:space="0"/>
                    <w:left w:val="single" w:color="auto" w:sz="4" w:space="0"/>
                    <w:right w:val="single" w:color="auto" w:sz="4" w:space="0"/>
                  </w:tcBorders>
                  <w:vAlign w:val="center"/>
                </w:tcPr>
                <w:p w14:paraId="32C22E17">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3</w:t>
                  </w:r>
                </w:p>
              </w:tc>
              <w:tc>
                <w:tcPr>
                  <w:tcW w:w="787" w:type="dxa"/>
                  <w:tcBorders>
                    <w:top w:val="single" w:color="auto" w:sz="4" w:space="0"/>
                    <w:left w:val="single" w:color="auto" w:sz="4" w:space="0"/>
                    <w:bottom w:val="single" w:color="auto" w:sz="4" w:space="0"/>
                    <w:right w:val="single" w:color="auto" w:sz="4" w:space="0"/>
                  </w:tcBorders>
                  <w:noWrap/>
                  <w:vAlign w:val="center"/>
                </w:tcPr>
                <w:p w14:paraId="5E6F051D">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东：5</w:t>
                  </w:r>
                </w:p>
              </w:tc>
              <w:tc>
                <w:tcPr>
                  <w:tcW w:w="819" w:type="dxa"/>
                  <w:tcBorders>
                    <w:top w:val="single" w:color="auto" w:sz="4" w:space="0"/>
                    <w:left w:val="single" w:color="auto" w:sz="4" w:space="0"/>
                    <w:bottom w:val="single" w:color="auto" w:sz="4" w:space="0"/>
                    <w:right w:val="single" w:color="auto" w:sz="4" w:space="0"/>
                  </w:tcBorders>
                  <w:noWrap/>
                </w:tcPr>
                <w:p w14:paraId="642424CA">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63.02 </w:t>
                  </w:r>
                </w:p>
              </w:tc>
              <w:tc>
                <w:tcPr>
                  <w:tcW w:w="617" w:type="dxa"/>
                  <w:vMerge w:val="restart"/>
                  <w:tcBorders>
                    <w:top w:val="single" w:color="auto" w:sz="4" w:space="0"/>
                    <w:left w:val="single" w:color="auto" w:sz="4" w:space="0"/>
                    <w:right w:val="single" w:color="auto" w:sz="4" w:space="0"/>
                  </w:tcBorders>
                  <w:vAlign w:val="center"/>
                </w:tcPr>
                <w:p w14:paraId="59A451DE">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top w:val="single" w:color="auto" w:sz="4" w:space="0"/>
                    <w:left w:val="single" w:color="auto" w:sz="4" w:space="0"/>
                    <w:right w:val="single" w:color="auto" w:sz="4" w:space="0"/>
                  </w:tcBorders>
                  <w:vAlign w:val="center"/>
                </w:tcPr>
                <w:p w14:paraId="0FE58E7D">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tcPr>
                <w:p w14:paraId="749806E8">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43.02 </w:t>
                  </w:r>
                </w:p>
              </w:tc>
              <w:tc>
                <w:tcPr>
                  <w:tcW w:w="688" w:type="dxa"/>
                  <w:vMerge w:val="restart"/>
                  <w:tcBorders>
                    <w:top w:val="single" w:color="auto" w:sz="4" w:space="0"/>
                    <w:left w:val="single" w:color="auto" w:sz="4" w:space="0"/>
                    <w:right w:val="nil"/>
                  </w:tcBorders>
                  <w:vAlign w:val="center"/>
                </w:tcPr>
                <w:p w14:paraId="074DE6A6">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3C28A3D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51F0161">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7184C1DF">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0D0E8DD6">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02640E1B">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537DE099">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1F1E2FAB">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641774AE">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72E434F0">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南：11</w:t>
                  </w:r>
                </w:p>
              </w:tc>
              <w:tc>
                <w:tcPr>
                  <w:tcW w:w="819" w:type="dxa"/>
                  <w:tcBorders>
                    <w:top w:val="single" w:color="auto" w:sz="4" w:space="0"/>
                    <w:left w:val="single" w:color="auto" w:sz="4" w:space="0"/>
                    <w:bottom w:val="single" w:color="auto" w:sz="4" w:space="0"/>
                    <w:right w:val="single" w:color="auto" w:sz="4" w:space="0"/>
                  </w:tcBorders>
                  <w:noWrap/>
                </w:tcPr>
                <w:p w14:paraId="37CFD373">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56.17 </w:t>
                  </w:r>
                </w:p>
              </w:tc>
              <w:tc>
                <w:tcPr>
                  <w:tcW w:w="617" w:type="dxa"/>
                  <w:vMerge w:val="continue"/>
                  <w:tcBorders>
                    <w:left w:val="single" w:color="auto" w:sz="4" w:space="0"/>
                    <w:right w:val="single" w:color="auto" w:sz="4" w:space="0"/>
                  </w:tcBorders>
                  <w:vAlign w:val="center"/>
                </w:tcPr>
                <w:p w14:paraId="3AEFAAC9">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1777A9DA">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64BBD8F3">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36.17 </w:t>
                  </w:r>
                </w:p>
              </w:tc>
              <w:tc>
                <w:tcPr>
                  <w:tcW w:w="688" w:type="dxa"/>
                  <w:vMerge w:val="continue"/>
                  <w:tcBorders>
                    <w:left w:val="single" w:color="auto" w:sz="4" w:space="0"/>
                    <w:right w:val="nil"/>
                  </w:tcBorders>
                  <w:vAlign w:val="center"/>
                </w:tcPr>
                <w:p w14:paraId="157ECA6E">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7902250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7E23678B">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2F482EEA">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7F3CA4BD">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5488EFC7">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24638EB8">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1A66F220">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7A6381D3">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56787170">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西：12</w:t>
                  </w:r>
                </w:p>
              </w:tc>
              <w:tc>
                <w:tcPr>
                  <w:tcW w:w="819" w:type="dxa"/>
                  <w:tcBorders>
                    <w:top w:val="single" w:color="auto" w:sz="4" w:space="0"/>
                    <w:left w:val="single" w:color="auto" w:sz="4" w:space="0"/>
                    <w:bottom w:val="single" w:color="auto" w:sz="4" w:space="0"/>
                    <w:right w:val="single" w:color="auto" w:sz="4" w:space="0"/>
                  </w:tcBorders>
                  <w:noWrap/>
                </w:tcPr>
                <w:p w14:paraId="65A4C434">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55.42 </w:t>
                  </w:r>
                </w:p>
              </w:tc>
              <w:tc>
                <w:tcPr>
                  <w:tcW w:w="617" w:type="dxa"/>
                  <w:vMerge w:val="continue"/>
                  <w:tcBorders>
                    <w:left w:val="single" w:color="auto" w:sz="4" w:space="0"/>
                    <w:right w:val="single" w:color="auto" w:sz="4" w:space="0"/>
                  </w:tcBorders>
                  <w:vAlign w:val="center"/>
                </w:tcPr>
                <w:p w14:paraId="7D07FC04">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365C32B2">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0A11994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35.42 </w:t>
                  </w:r>
                </w:p>
              </w:tc>
              <w:tc>
                <w:tcPr>
                  <w:tcW w:w="688" w:type="dxa"/>
                  <w:vMerge w:val="continue"/>
                  <w:tcBorders>
                    <w:left w:val="single" w:color="auto" w:sz="4" w:space="0"/>
                    <w:right w:val="nil"/>
                  </w:tcBorders>
                  <w:vAlign w:val="center"/>
                </w:tcPr>
                <w:p w14:paraId="6031FEA0">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289D21E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2545743">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bottom w:val="single" w:color="auto" w:sz="4" w:space="0"/>
                    <w:right w:val="single" w:color="auto" w:sz="4" w:space="0"/>
                  </w:tcBorders>
                  <w:vAlign w:val="center"/>
                </w:tcPr>
                <w:p w14:paraId="58A482C6">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bottom w:val="single" w:color="auto" w:sz="4" w:space="0"/>
                    <w:right w:val="single" w:color="auto" w:sz="4" w:space="0"/>
                  </w:tcBorders>
                  <w:vAlign w:val="center"/>
                </w:tcPr>
                <w:p w14:paraId="3A39D32D">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576738BE">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2DF8B13C">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38B406F7">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bottom w:val="single" w:color="auto" w:sz="4" w:space="0"/>
                    <w:right w:val="single" w:color="auto" w:sz="4" w:space="0"/>
                  </w:tcBorders>
                  <w:vAlign w:val="center"/>
                </w:tcPr>
                <w:p w14:paraId="6D7C0619">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4A02DB2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北：6</w:t>
                  </w:r>
                </w:p>
              </w:tc>
              <w:tc>
                <w:tcPr>
                  <w:tcW w:w="819" w:type="dxa"/>
                  <w:tcBorders>
                    <w:top w:val="single" w:color="auto" w:sz="4" w:space="0"/>
                    <w:left w:val="single" w:color="auto" w:sz="4" w:space="0"/>
                    <w:bottom w:val="single" w:color="auto" w:sz="4" w:space="0"/>
                    <w:right w:val="single" w:color="auto" w:sz="4" w:space="0"/>
                  </w:tcBorders>
                  <w:noWrap/>
                </w:tcPr>
                <w:p w14:paraId="6A9E3A90">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61.44 </w:t>
                  </w:r>
                </w:p>
              </w:tc>
              <w:tc>
                <w:tcPr>
                  <w:tcW w:w="617" w:type="dxa"/>
                  <w:vMerge w:val="continue"/>
                  <w:tcBorders>
                    <w:left w:val="single" w:color="auto" w:sz="4" w:space="0"/>
                    <w:bottom w:val="single" w:color="auto" w:sz="4" w:space="0"/>
                    <w:right w:val="single" w:color="auto" w:sz="4" w:space="0"/>
                  </w:tcBorders>
                  <w:vAlign w:val="center"/>
                </w:tcPr>
                <w:p w14:paraId="53398685">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bottom w:val="single" w:color="auto" w:sz="4" w:space="0"/>
                    <w:right w:val="single" w:color="auto" w:sz="4" w:space="0"/>
                  </w:tcBorders>
                  <w:vAlign w:val="center"/>
                </w:tcPr>
                <w:p w14:paraId="60EA7ED8">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1F111F34">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41.44 </w:t>
                  </w:r>
                </w:p>
              </w:tc>
              <w:tc>
                <w:tcPr>
                  <w:tcW w:w="688" w:type="dxa"/>
                  <w:vMerge w:val="continue"/>
                  <w:tcBorders>
                    <w:left w:val="single" w:color="auto" w:sz="4" w:space="0"/>
                    <w:bottom w:val="single" w:color="auto" w:sz="4" w:space="0"/>
                    <w:right w:val="nil"/>
                  </w:tcBorders>
                  <w:vAlign w:val="center"/>
                </w:tcPr>
                <w:p w14:paraId="6EE6D598">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075930C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2F2A7429">
                  <w:pPr>
                    <w:widowControl/>
                    <w:jc w:val="center"/>
                    <w:rPr>
                      <w:rFonts w:eastAsiaTheme="minorEastAsia"/>
                      <w:color w:val="000000" w:themeColor="text1"/>
                      <w:szCs w:val="21"/>
                      <w14:textFill>
                        <w14:solidFill>
                          <w14:schemeClr w14:val="tx1"/>
                        </w14:solidFill>
                      </w14:textFill>
                    </w:rPr>
                  </w:pPr>
                </w:p>
              </w:tc>
              <w:tc>
                <w:tcPr>
                  <w:tcW w:w="450" w:type="dxa"/>
                  <w:vMerge w:val="restart"/>
                  <w:tcBorders>
                    <w:left w:val="single" w:color="auto" w:sz="4" w:space="0"/>
                    <w:right w:val="single" w:color="auto" w:sz="4" w:space="0"/>
                  </w:tcBorders>
                  <w:vAlign w:val="center"/>
                </w:tcPr>
                <w:p w14:paraId="0AB70930">
                  <w:pPr>
                    <w:widowControl/>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造球机</w:t>
                  </w:r>
                </w:p>
              </w:tc>
              <w:tc>
                <w:tcPr>
                  <w:tcW w:w="665" w:type="dxa"/>
                  <w:vMerge w:val="restart"/>
                  <w:tcBorders>
                    <w:left w:val="single" w:color="auto" w:sz="4" w:space="0"/>
                    <w:right w:val="single" w:color="auto" w:sz="4" w:space="0"/>
                  </w:tcBorders>
                  <w:vAlign w:val="center"/>
                </w:tcPr>
                <w:p w14:paraId="2AE82412">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90</w:t>
                  </w:r>
                </w:p>
              </w:tc>
              <w:tc>
                <w:tcPr>
                  <w:tcW w:w="530" w:type="dxa"/>
                  <w:vMerge w:val="continue"/>
                  <w:tcBorders>
                    <w:left w:val="single" w:color="auto" w:sz="4" w:space="0"/>
                    <w:right w:val="single" w:color="auto" w:sz="4" w:space="0"/>
                  </w:tcBorders>
                  <w:vAlign w:val="center"/>
                </w:tcPr>
                <w:p w14:paraId="26BC91C5">
                  <w:pPr>
                    <w:widowControl/>
                    <w:rPr>
                      <w:rFonts w:eastAsiaTheme="minorEastAsia"/>
                      <w:color w:val="000000" w:themeColor="text1"/>
                      <w:szCs w:val="21"/>
                      <w14:textFill>
                        <w14:solidFill>
                          <w14:schemeClr w14:val="tx1"/>
                        </w14:solidFill>
                      </w14:textFill>
                    </w:rPr>
                  </w:pPr>
                </w:p>
              </w:tc>
              <w:tc>
                <w:tcPr>
                  <w:tcW w:w="620" w:type="dxa"/>
                  <w:vMerge w:val="restart"/>
                  <w:tcBorders>
                    <w:left w:val="single" w:color="auto" w:sz="4" w:space="0"/>
                    <w:right w:val="single" w:color="auto" w:sz="4" w:space="0"/>
                  </w:tcBorders>
                  <w:vAlign w:val="center"/>
                </w:tcPr>
                <w:p w14:paraId="2B30F421">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15</w:t>
                  </w:r>
                </w:p>
              </w:tc>
              <w:tc>
                <w:tcPr>
                  <w:tcW w:w="620" w:type="dxa"/>
                  <w:vMerge w:val="restart"/>
                  <w:tcBorders>
                    <w:left w:val="single" w:color="auto" w:sz="4" w:space="0"/>
                    <w:right w:val="single" w:color="auto" w:sz="4" w:space="0"/>
                  </w:tcBorders>
                  <w:vAlign w:val="center"/>
                </w:tcPr>
                <w:p w14:paraId="10126D5C">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588" w:type="dxa"/>
                  <w:vMerge w:val="restart"/>
                  <w:tcBorders>
                    <w:left w:val="single" w:color="auto" w:sz="4" w:space="0"/>
                    <w:right w:val="single" w:color="auto" w:sz="4" w:space="0"/>
                  </w:tcBorders>
                  <w:vAlign w:val="center"/>
                </w:tcPr>
                <w:p w14:paraId="2DFA0DF5">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w:t>
                  </w:r>
                </w:p>
              </w:tc>
              <w:tc>
                <w:tcPr>
                  <w:tcW w:w="787" w:type="dxa"/>
                  <w:tcBorders>
                    <w:top w:val="single" w:color="auto" w:sz="4" w:space="0"/>
                    <w:left w:val="single" w:color="auto" w:sz="4" w:space="0"/>
                    <w:bottom w:val="single" w:color="auto" w:sz="4" w:space="0"/>
                    <w:right w:val="single" w:color="auto" w:sz="4" w:space="0"/>
                  </w:tcBorders>
                  <w:noWrap/>
                  <w:vAlign w:val="center"/>
                </w:tcPr>
                <w:p w14:paraId="6CF637EF">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东：6</w:t>
                  </w:r>
                </w:p>
              </w:tc>
              <w:tc>
                <w:tcPr>
                  <w:tcW w:w="819" w:type="dxa"/>
                  <w:tcBorders>
                    <w:top w:val="single" w:color="auto" w:sz="4" w:space="0"/>
                    <w:left w:val="single" w:color="auto" w:sz="4" w:space="0"/>
                    <w:bottom w:val="single" w:color="auto" w:sz="4" w:space="0"/>
                    <w:right w:val="single" w:color="auto" w:sz="4" w:space="0"/>
                  </w:tcBorders>
                  <w:noWrap/>
                  <w:vAlign w:val="center"/>
                </w:tcPr>
                <w:p w14:paraId="3CCCB40D">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66.44</w:t>
                  </w:r>
                </w:p>
              </w:tc>
              <w:tc>
                <w:tcPr>
                  <w:tcW w:w="617" w:type="dxa"/>
                  <w:vMerge w:val="restart"/>
                  <w:tcBorders>
                    <w:left w:val="single" w:color="auto" w:sz="4" w:space="0"/>
                    <w:right w:val="single" w:color="auto" w:sz="4" w:space="0"/>
                  </w:tcBorders>
                  <w:vAlign w:val="center"/>
                </w:tcPr>
                <w:p w14:paraId="142423AD">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left w:val="single" w:color="auto" w:sz="4" w:space="0"/>
                    <w:right w:val="single" w:color="auto" w:sz="4" w:space="0"/>
                  </w:tcBorders>
                  <w:vAlign w:val="center"/>
                </w:tcPr>
                <w:p w14:paraId="49796C3A">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vAlign w:val="center"/>
                </w:tcPr>
                <w:p w14:paraId="5239D8BE">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46.44</w:t>
                  </w:r>
                </w:p>
              </w:tc>
              <w:tc>
                <w:tcPr>
                  <w:tcW w:w="688" w:type="dxa"/>
                  <w:vMerge w:val="restart"/>
                  <w:tcBorders>
                    <w:left w:val="single" w:color="auto" w:sz="4" w:space="0"/>
                    <w:right w:val="nil"/>
                  </w:tcBorders>
                  <w:vAlign w:val="center"/>
                </w:tcPr>
                <w:p w14:paraId="103CCB8A">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3B16641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3B1B66A">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53AFABBE">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155C6A73">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156C69C3">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7B222937">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689418D7">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1489E5AC">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093CAABD">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南：10</w:t>
                  </w:r>
                </w:p>
              </w:tc>
              <w:tc>
                <w:tcPr>
                  <w:tcW w:w="819" w:type="dxa"/>
                  <w:tcBorders>
                    <w:top w:val="single" w:color="auto" w:sz="4" w:space="0"/>
                    <w:left w:val="single" w:color="auto" w:sz="4" w:space="0"/>
                    <w:bottom w:val="single" w:color="auto" w:sz="4" w:space="0"/>
                    <w:right w:val="single" w:color="auto" w:sz="4" w:space="0"/>
                  </w:tcBorders>
                  <w:noWrap/>
                  <w:vAlign w:val="center"/>
                </w:tcPr>
                <w:p w14:paraId="776ED16D">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62.26</w:t>
                  </w:r>
                </w:p>
              </w:tc>
              <w:tc>
                <w:tcPr>
                  <w:tcW w:w="617" w:type="dxa"/>
                  <w:vMerge w:val="continue"/>
                  <w:tcBorders>
                    <w:left w:val="single" w:color="auto" w:sz="4" w:space="0"/>
                    <w:right w:val="single" w:color="auto" w:sz="4" w:space="0"/>
                  </w:tcBorders>
                  <w:vAlign w:val="center"/>
                </w:tcPr>
                <w:p w14:paraId="71652859">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50C9D1F2">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6988153E">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42.26</w:t>
                  </w:r>
                </w:p>
              </w:tc>
              <w:tc>
                <w:tcPr>
                  <w:tcW w:w="688" w:type="dxa"/>
                  <w:vMerge w:val="continue"/>
                  <w:tcBorders>
                    <w:left w:val="single" w:color="auto" w:sz="4" w:space="0"/>
                    <w:right w:val="nil"/>
                  </w:tcBorders>
                  <w:vAlign w:val="center"/>
                </w:tcPr>
                <w:p w14:paraId="24A3CDAE">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5A5E65A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50B15C1">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754E84EC">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604E3C95">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3476FADE">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5382EF36">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611FDF47">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1EC59FE1">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1E934299">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西：11</w:t>
                  </w:r>
                </w:p>
              </w:tc>
              <w:tc>
                <w:tcPr>
                  <w:tcW w:w="819" w:type="dxa"/>
                  <w:tcBorders>
                    <w:top w:val="single" w:color="auto" w:sz="4" w:space="0"/>
                    <w:left w:val="single" w:color="auto" w:sz="4" w:space="0"/>
                    <w:bottom w:val="single" w:color="auto" w:sz="4" w:space="0"/>
                    <w:right w:val="single" w:color="auto" w:sz="4" w:space="0"/>
                  </w:tcBorders>
                  <w:noWrap/>
                  <w:vAlign w:val="center"/>
                </w:tcPr>
                <w:p w14:paraId="126EA27B">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61.17</w:t>
                  </w:r>
                </w:p>
              </w:tc>
              <w:tc>
                <w:tcPr>
                  <w:tcW w:w="617" w:type="dxa"/>
                  <w:vMerge w:val="continue"/>
                  <w:tcBorders>
                    <w:left w:val="single" w:color="auto" w:sz="4" w:space="0"/>
                    <w:right w:val="single" w:color="auto" w:sz="4" w:space="0"/>
                  </w:tcBorders>
                  <w:vAlign w:val="center"/>
                </w:tcPr>
                <w:p w14:paraId="395BF352">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179251D4">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6359FEF7">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41.17</w:t>
                  </w:r>
                </w:p>
              </w:tc>
              <w:tc>
                <w:tcPr>
                  <w:tcW w:w="688" w:type="dxa"/>
                  <w:vMerge w:val="continue"/>
                  <w:tcBorders>
                    <w:left w:val="single" w:color="auto" w:sz="4" w:space="0"/>
                    <w:right w:val="nil"/>
                  </w:tcBorders>
                  <w:vAlign w:val="center"/>
                </w:tcPr>
                <w:p w14:paraId="0E97387A">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41089E5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726DAC00">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bottom w:val="single" w:color="auto" w:sz="4" w:space="0"/>
                    <w:right w:val="single" w:color="auto" w:sz="4" w:space="0"/>
                  </w:tcBorders>
                  <w:vAlign w:val="center"/>
                </w:tcPr>
                <w:p w14:paraId="746C6605">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bottom w:val="single" w:color="auto" w:sz="4" w:space="0"/>
                    <w:right w:val="single" w:color="auto" w:sz="4" w:space="0"/>
                  </w:tcBorders>
                  <w:vAlign w:val="center"/>
                </w:tcPr>
                <w:p w14:paraId="7D92CEEA">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0418E604">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4A3CD66F">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1AFB35E5">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bottom w:val="single" w:color="auto" w:sz="4" w:space="0"/>
                    <w:right w:val="single" w:color="auto" w:sz="4" w:space="0"/>
                  </w:tcBorders>
                  <w:vAlign w:val="center"/>
                </w:tcPr>
                <w:p w14:paraId="324F564D">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28AEA616">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北：8</w:t>
                  </w:r>
                </w:p>
              </w:tc>
              <w:tc>
                <w:tcPr>
                  <w:tcW w:w="819" w:type="dxa"/>
                  <w:tcBorders>
                    <w:top w:val="single" w:color="auto" w:sz="4" w:space="0"/>
                    <w:left w:val="single" w:color="auto" w:sz="4" w:space="0"/>
                    <w:bottom w:val="single" w:color="auto" w:sz="4" w:space="0"/>
                    <w:right w:val="single" w:color="auto" w:sz="4" w:space="0"/>
                  </w:tcBorders>
                  <w:noWrap/>
                  <w:vAlign w:val="center"/>
                </w:tcPr>
                <w:p w14:paraId="4F2652DD">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63.94</w:t>
                  </w:r>
                </w:p>
              </w:tc>
              <w:tc>
                <w:tcPr>
                  <w:tcW w:w="617" w:type="dxa"/>
                  <w:vMerge w:val="continue"/>
                  <w:tcBorders>
                    <w:left w:val="single" w:color="auto" w:sz="4" w:space="0"/>
                    <w:bottom w:val="single" w:color="auto" w:sz="4" w:space="0"/>
                    <w:right w:val="single" w:color="auto" w:sz="4" w:space="0"/>
                  </w:tcBorders>
                  <w:vAlign w:val="center"/>
                </w:tcPr>
                <w:p w14:paraId="0C45BCF5">
                  <w:pPr>
                    <w:widowControl/>
                    <w:rPr>
                      <w:rFonts w:eastAsiaTheme="minorEastAsia"/>
                      <w:color w:val="000000" w:themeColor="text1"/>
                      <w:szCs w:val="21"/>
                      <w14:textFill>
                        <w14:solidFill>
                          <w14:schemeClr w14:val="tx1"/>
                        </w14:solidFill>
                      </w14:textFill>
                    </w:rPr>
                  </w:pPr>
                </w:p>
              </w:tc>
              <w:tc>
                <w:tcPr>
                  <w:tcW w:w="792" w:type="dxa"/>
                  <w:vMerge w:val="continue"/>
                  <w:tcBorders>
                    <w:left w:val="single" w:color="auto" w:sz="4" w:space="0"/>
                    <w:bottom w:val="single" w:color="auto" w:sz="4" w:space="0"/>
                    <w:right w:val="single" w:color="auto" w:sz="4" w:space="0"/>
                  </w:tcBorders>
                  <w:vAlign w:val="center"/>
                </w:tcPr>
                <w:p w14:paraId="6A6EC038">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35D10D8B">
                  <w:pPr>
                    <w:widowControl/>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sz w:val="22"/>
                      <w:szCs w:val="22"/>
                      <w14:textFill>
                        <w14:solidFill>
                          <w14:schemeClr w14:val="tx1"/>
                        </w14:solidFill>
                      </w14:textFill>
                    </w:rPr>
                    <w:t>43.94</w:t>
                  </w:r>
                </w:p>
              </w:tc>
              <w:tc>
                <w:tcPr>
                  <w:tcW w:w="688" w:type="dxa"/>
                  <w:vMerge w:val="continue"/>
                  <w:tcBorders>
                    <w:left w:val="single" w:color="auto" w:sz="4" w:space="0"/>
                    <w:bottom w:val="single" w:color="auto" w:sz="4" w:space="0"/>
                    <w:right w:val="nil"/>
                  </w:tcBorders>
                  <w:vAlign w:val="center"/>
                </w:tcPr>
                <w:p w14:paraId="3001683C">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49443FB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2B02417">
                  <w:pPr>
                    <w:widowControl/>
                    <w:jc w:val="center"/>
                    <w:rPr>
                      <w:rFonts w:eastAsiaTheme="minorEastAsia"/>
                      <w:color w:val="000000" w:themeColor="text1"/>
                      <w:szCs w:val="21"/>
                      <w14:textFill>
                        <w14:solidFill>
                          <w14:schemeClr w14:val="tx1"/>
                        </w14:solidFill>
                      </w14:textFill>
                    </w:rPr>
                  </w:pPr>
                </w:p>
              </w:tc>
              <w:tc>
                <w:tcPr>
                  <w:tcW w:w="450" w:type="dxa"/>
                  <w:vMerge w:val="restart"/>
                  <w:tcBorders>
                    <w:left w:val="single" w:color="auto" w:sz="4" w:space="0"/>
                    <w:right w:val="single" w:color="auto" w:sz="4" w:space="0"/>
                  </w:tcBorders>
                  <w:vAlign w:val="center"/>
                </w:tcPr>
                <w:p w14:paraId="3A6532B7">
                  <w:pPr>
                    <w:widowControl/>
                    <w:jc w:val="center"/>
                    <w:rPr>
                      <w:rFonts w:eastAsiaTheme="minorEastAsia"/>
                      <w:color w:val="0000FF"/>
                      <w:szCs w:val="21"/>
                    </w:rPr>
                  </w:pPr>
                  <w:r>
                    <w:rPr>
                      <w:rFonts w:eastAsiaTheme="minorEastAsia"/>
                      <w:color w:val="0000FF"/>
                      <w:szCs w:val="21"/>
                    </w:rPr>
                    <w:t>空</w:t>
                  </w:r>
                </w:p>
                <w:p w14:paraId="57575E57">
                  <w:pPr>
                    <w:widowControl/>
                    <w:jc w:val="center"/>
                    <w:rPr>
                      <w:rFonts w:eastAsiaTheme="minorEastAsia"/>
                      <w:color w:val="0000FF"/>
                      <w:szCs w:val="21"/>
                    </w:rPr>
                  </w:pPr>
                  <w:r>
                    <w:rPr>
                      <w:rFonts w:eastAsiaTheme="minorEastAsia"/>
                      <w:color w:val="0000FF"/>
                      <w:szCs w:val="21"/>
                    </w:rPr>
                    <w:t>压</w:t>
                  </w:r>
                </w:p>
                <w:p w14:paraId="4DCB0180">
                  <w:pPr>
                    <w:widowControl/>
                    <w:jc w:val="center"/>
                    <w:rPr>
                      <w:rFonts w:eastAsiaTheme="minorEastAsia"/>
                      <w:color w:val="0000FF"/>
                      <w:szCs w:val="21"/>
                    </w:rPr>
                  </w:pPr>
                  <w:r>
                    <w:rPr>
                      <w:rFonts w:eastAsiaTheme="minorEastAsia"/>
                      <w:color w:val="0000FF"/>
                      <w:szCs w:val="21"/>
                    </w:rPr>
                    <w:t>机</w:t>
                  </w:r>
                </w:p>
              </w:tc>
              <w:tc>
                <w:tcPr>
                  <w:tcW w:w="665" w:type="dxa"/>
                  <w:vMerge w:val="restart"/>
                  <w:tcBorders>
                    <w:left w:val="single" w:color="auto" w:sz="4" w:space="0"/>
                    <w:right w:val="single" w:color="auto" w:sz="4" w:space="0"/>
                  </w:tcBorders>
                  <w:vAlign w:val="center"/>
                </w:tcPr>
                <w:p w14:paraId="000579CC">
                  <w:pPr>
                    <w:widowControl/>
                    <w:jc w:val="center"/>
                    <w:rPr>
                      <w:rFonts w:eastAsiaTheme="minorEastAsia"/>
                      <w:color w:val="0000FF"/>
                      <w:szCs w:val="21"/>
                    </w:rPr>
                  </w:pPr>
                  <w:r>
                    <w:rPr>
                      <w:rFonts w:eastAsiaTheme="minorEastAsia"/>
                      <w:color w:val="0000FF"/>
                      <w:szCs w:val="21"/>
                    </w:rPr>
                    <w:t>92</w:t>
                  </w:r>
                </w:p>
              </w:tc>
              <w:tc>
                <w:tcPr>
                  <w:tcW w:w="530" w:type="dxa"/>
                  <w:vMerge w:val="continue"/>
                  <w:tcBorders>
                    <w:left w:val="single" w:color="auto" w:sz="4" w:space="0"/>
                    <w:right w:val="single" w:color="auto" w:sz="4" w:space="0"/>
                  </w:tcBorders>
                  <w:vAlign w:val="center"/>
                </w:tcPr>
                <w:p w14:paraId="6D1E48F8">
                  <w:pPr>
                    <w:widowControl/>
                    <w:rPr>
                      <w:rFonts w:eastAsiaTheme="minorEastAsia"/>
                      <w:color w:val="0000FF"/>
                      <w:szCs w:val="21"/>
                    </w:rPr>
                  </w:pPr>
                </w:p>
              </w:tc>
              <w:tc>
                <w:tcPr>
                  <w:tcW w:w="620" w:type="dxa"/>
                  <w:vMerge w:val="restart"/>
                  <w:tcBorders>
                    <w:left w:val="single" w:color="auto" w:sz="4" w:space="0"/>
                    <w:right w:val="single" w:color="auto" w:sz="4" w:space="0"/>
                  </w:tcBorders>
                  <w:vAlign w:val="center"/>
                </w:tcPr>
                <w:p w14:paraId="3DE24556">
                  <w:pPr>
                    <w:widowControl/>
                    <w:jc w:val="center"/>
                    <w:rPr>
                      <w:rFonts w:eastAsiaTheme="minorEastAsia"/>
                      <w:color w:val="0000FF"/>
                      <w:szCs w:val="21"/>
                    </w:rPr>
                  </w:pPr>
                  <w:r>
                    <w:rPr>
                      <w:rFonts w:eastAsiaTheme="minorEastAsia"/>
                      <w:color w:val="0000FF"/>
                      <w:szCs w:val="21"/>
                    </w:rPr>
                    <w:t>2</w:t>
                  </w:r>
                </w:p>
              </w:tc>
              <w:tc>
                <w:tcPr>
                  <w:tcW w:w="620" w:type="dxa"/>
                  <w:vMerge w:val="restart"/>
                  <w:tcBorders>
                    <w:left w:val="single" w:color="auto" w:sz="4" w:space="0"/>
                    <w:right w:val="single" w:color="auto" w:sz="4" w:space="0"/>
                  </w:tcBorders>
                  <w:vAlign w:val="center"/>
                </w:tcPr>
                <w:p w14:paraId="2C8AC398">
                  <w:pPr>
                    <w:widowControl/>
                    <w:jc w:val="center"/>
                    <w:rPr>
                      <w:rFonts w:eastAsiaTheme="minorEastAsia"/>
                      <w:color w:val="0000FF"/>
                      <w:szCs w:val="21"/>
                    </w:rPr>
                  </w:pPr>
                  <w:r>
                    <w:rPr>
                      <w:rFonts w:eastAsiaTheme="minorEastAsia"/>
                      <w:color w:val="0000FF"/>
                      <w:szCs w:val="21"/>
                    </w:rPr>
                    <w:t>2</w:t>
                  </w:r>
                </w:p>
              </w:tc>
              <w:tc>
                <w:tcPr>
                  <w:tcW w:w="588" w:type="dxa"/>
                  <w:vMerge w:val="restart"/>
                  <w:tcBorders>
                    <w:left w:val="single" w:color="auto" w:sz="4" w:space="0"/>
                    <w:right w:val="single" w:color="auto" w:sz="4" w:space="0"/>
                  </w:tcBorders>
                  <w:vAlign w:val="center"/>
                </w:tcPr>
                <w:p w14:paraId="627E5F68">
                  <w:pPr>
                    <w:widowControl/>
                    <w:jc w:val="center"/>
                    <w:rPr>
                      <w:rFonts w:eastAsiaTheme="minorEastAsia"/>
                      <w:color w:val="0000FF"/>
                      <w:szCs w:val="21"/>
                    </w:rPr>
                  </w:pPr>
                  <w:r>
                    <w:rPr>
                      <w:rFonts w:eastAsiaTheme="minorEastAsia"/>
                      <w:color w:val="0000FF"/>
                      <w:szCs w:val="21"/>
                    </w:rPr>
                    <w:t>1</w:t>
                  </w:r>
                </w:p>
              </w:tc>
              <w:tc>
                <w:tcPr>
                  <w:tcW w:w="787" w:type="dxa"/>
                  <w:tcBorders>
                    <w:top w:val="single" w:color="auto" w:sz="4" w:space="0"/>
                    <w:left w:val="single" w:color="auto" w:sz="4" w:space="0"/>
                    <w:bottom w:val="single" w:color="auto" w:sz="4" w:space="0"/>
                    <w:right w:val="single" w:color="auto" w:sz="4" w:space="0"/>
                  </w:tcBorders>
                  <w:noWrap/>
                  <w:vAlign w:val="center"/>
                </w:tcPr>
                <w:p w14:paraId="251EF3AC">
                  <w:pPr>
                    <w:widowControl/>
                    <w:jc w:val="center"/>
                    <w:textAlignment w:val="center"/>
                    <w:rPr>
                      <w:rFonts w:eastAsiaTheme="minorEastAsia"/>
                      <w:color w:val="0000FF"/>
                      <w:szCs w:val="21"/>
                    </w:rPr>
                  </w:pPr>
                  <w:r>
                    <w:rPr>
                      <w:rFonts w:eastAsiaTheme="minorEastAsia"/>
                      <w:color w:val="0000FF"/>
                      <w:szCs w:val="21"/>
                    </w:rPr>
                    <w:t>东：6</w:t>
                  </w:r>
                </w:p>
              </w:tc>
              <w:tc>
                <w:tcPr>
                  <w:tcW w:w="819" w:type="dxa"/>
                  <w:tcBorders>
                    <w:top w:val="single" w:color="auto" w:sz="4" w:space="0"/>
                    <w:left w:val="single" w:color="auto" w:sz="4" w:space="0"/>
                    <w:bottom w:val="single" w:color="auto" w:sz="4" w:space="0"/>
                    <w:right w:val="single" w:color="auto" w:sz="4" w:space="0"/>
                  </w:tcBorders>
                  <w:noWrap/>
                  <w:vAlign w:val="center"/>
                </w:tcPr>
                <w:p w14:paraId="2F76CDA0">
                  <w:pPr>
                    <w:widowControl/>
                    <w:jc w:val="center"/>
                    <w:textAlignment w:val="center"/>
                    <w:rPr>
                      <w:rFonts w:eastAsiaTheme="minorEastAsia"/>
                      <w:color w:val="0000FF"/>
                    </w:rPr>
                  </w:pPr>
                  <w:r>
                    <w:rPr>
                      <w:rFonts w:eastAsiaTheme="minorEastAsia"/>
                      <w:color w:val="0000FF"/>
                      <w:sz w:val="20"/>
                      <w:szCs w:val="20"/>
                    </w:rPr>
                    <w:t xml:space="preserve">68.44 </w:t>
                  </w:r>
                </w:p>
              </w:tc>
              <w:tc>
                <w:tcPr>
                  <w:tcW w:w="617" w:type="dxa"/>
                  <w:vMerge w:val="restart"/>
                  <w:tcBorders>
                    <w:left w:val="single" w:color="auto" w:sz="4" w:space="0"/>
                    <w:right w:val="single" w:color="auto" w:sz="4" w:space="0"/>
                  </w:tcBorders>
                  <w:vAlign w:val="center"/>
                </w:tcPr>
                <w:p w14:paraId="7BBB392E">
                  <w:pPr>
                    <w:widowControl/>
                    <w:rPr>
                      <w:rFonts w:eastAsiaTheme="minorEastAsia"/>
                      <w:color w:val="0000FF"/>
                      <w:szCs w:val="21"/>
                    </w:rPr>
                  </w:pPr>
                  <w:r>
                    <w:rPr>
                      <w:rFonts w:eastAsiaTheme="minorEastAsia"/>
                      <w:color w:val="0000FF"/>
                      <w:szCs w:val="21"/>
                    </w:rPr>
                    <w:t>16h</w:t>
                  </w:r>
                </w:p>
              </w:tc>
              <w:tc>
                <w:tcPr>
                  <w:tcW w:w="792" w:type="dxa"/>
                  <w:vMerge w:val="restart"/>
                  <w:tcBorders>
                    <w:left w:val="single" w:color="auto" w:sz="4" w:space="0"/>
                    <w:right w:val="single" w:color="auto" w:sz="4" w:space="0"/>
                  </w:tcBorders>
                  <w:vAlign w:val="center"/>
                </w:tcPr>
                <w:p w14:paraId="588D938B">
                  <w:pPr>
                    <w:widowControl/>
                    <w:jc w:val="center"/>
                    <w:rPr>
                      <w:rFonts w:eastAsiaTheme="minorEastAsia"/>
                      <w:color w:val="0000FF"/>
                      <w:szCs w:val="21"/>
                    </w:rPr>
                  </w:pPr>
                  <w:r>
                    <w:rPr>
                      <w:rFonts w:eastAsiaTheme="minorEastAsia"/>
                      <w:color w:val="0000FF"/>
                      <w:kern w:val="0"/>
                      <w:szCs w:val="21"/>
                    </w:rPr>
                    <w:t>20</w:t>
                  </w:r>
                </w:p>
              </w:tc>
              <w:tc>
                <w:tcPr>
                  <w:tcW w:w="878" w:type="dxa"/>
                  <w:tcBorders>
                    <w:top w:val="single" w:color="auto" w:sz="4" w:space="0"/>
                    <w:left w:val="single" w:color="auto" w:sz="4" w:space="0"/>
                    <w:bottom w:val="single" w:color="auto" w:sz="4" w:space="0"/>
                    <w:right w:val="single" w:color="auto" w:sz="4" w:space="0"/>
                  </w:tcBorders>
                  <w:noWrap/>
                  <w:vAlign w:val="center"/>
                </w:tcPr>
                <w:p w14:paraId="4A6222D2">
                  <w:pPr>
                    <w:widowControl/>
                    <w:jc w:val="center"/>
                    <w:textAlignment w:val="center"/>
                    <w:rPr>
                      <w:rFonts w:eastAsiaTheme="minorEastAsia"/>
                      <w:color w:val="0000FF"/>
                    </w:rPr>
                  </w:pPr>
                  <w:r>
                    <w:rPr>
                      <w:rFonts w:eastAsiaTheme="minorEastAsia"/>
                      <w:color w:val="0000FF"/>
                      <w:sz w:val="20"/>
                      <w:szCs w:val="20"/>
                    </w:rPr>
                    <w:t xml:space="preserve">48.44 </w:t>
                  </w:r>
                </w:p>
              </w:tc>
              <w:tc>
                <w:tcPr>
                  <w:tcW w:w="688" w:type="dxa"/>
                  <w:vMerge w:val="restart"/>
                  <w:tcBorders>
                    <w:left w:val="single" w:color="auto" w:sz="4" w:space="0"/>
                    <w:right w:val="nil"/>
                  </w:tcBorders>
                  <w:vAlign w:val="center"/>
                </w:tcPr>
                <w:p w14:paraId="31DEBEA3">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39109E4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5A4D3AC7">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5FD4C254">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002FE8C9">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49021972">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70970D9E">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6DF26181">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06937C7D">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631B8D2B">
                  <w:pPr>
                    <w:widowControl/>
                    <w:jc w:val="center"/>
                    <w:textAlignment w:val="center"/>
                    <w:rPr>
                      <w:rFonts w:eastAsiaTheme="minorEastAsia"/>
                      <w:color w:val="0000FF"/>
                      <w:szCs w:val="21"/>
                    </w:rPr>
                  </w:pPr>
                  <w:r>
                    <w:rPr>
                      <w:rFonts w:eastAsiaTheme="minorEastAsia"/>
                      <w:color w:val="0000FF"/>
                      <w:szCs w:val="21"/>
                    </w:rPr>
                    <w:t>南：10</w:t>
                  </w:r>
                </w:p>
              </w:tc>
              <w:tc>
                <w:tcPr>
                  <w:tcW w:w="819" w:type="dxa"/>
                  <w:tcBorders>
                    <w:top w:val="single" w:color="auto" w:sz="4" w:space="0"/>
                    <w:left w:val="single" w:color="auto" w:sz="4" w:space="0"/>
                    <w:bottom w:val="single" w:color="auto" w:sz="4" w:space="0"/>
                    <w:right w:val="single" w:color="auto" w:sz="4" w:space="0"/>
                  </w:tcBorders>
                  <w:noWrap/>
                  <w:vAlign w:val="center"/>
                </w:tcPr>
                <w:p w14:paraId="33038895">
                  <w:pPr>
                    <w:widowControl/>
                    <w:jc w:val="center"/>
                    <w:textAlignment w:val="center"/>
                    <w:rPr>
                      <w:rFonts w:eastAsiaTheme="minorEastAsia"/>
                      <w:color w:val="0000FF"/>
                    </w:rPr>
                  </w:pPr>
                  <w:r>
                    <w:rPr>
                      <w:rFonts w:eastAsiaTheme="minorEastAsia"/>
                      <w:color w:val="0000FF"/>
                      <w:sz w:val="20"/>
                      <w:szCs w:val="20"/>
                    </w:rPr>
                    <w:t xml:space="preserve">64.00 </w:t>
                  </w:r>
                </w:p>
              </w:tc>
              <w:tc>
                <w:tcPr>
                  <w:tcW w:w="617" w:type="dxa"/>
                  <w:vMerge w:val="continue"/>
                  <w:tcBorders>
                    <w:left w:val="single" w:color="auto" w:sz="4" w:space="0"/>
                    <w:right w:val="single" w:color="auto" w:sz="4" w:space="0"/>
                  </w:tcBorders>
                  <w:vAlign w:val="center"/>
                </w:tcPr>
                <w:p w14:paraId="299B8D6E">
                  <w:pPr>
                    <w:widowControl/>
                    <w:rPr>
                      <w:rFonts w:eastAsiaTheme="minorEastAsia"/>
                      <w:color w:val="0000FF"/>
                      <w:szCs w:val="21"/>
                    </w:rPr>
                  </w:pPr>
                </w:p>
              </w:tc>
              <w:tc>
                <w:tcPr>
                  <w:tcW w:w="792" w:type="dxa"/>
                  <w:vMerge w:val="continue"/>
                  <w:tcBorders>
                    <w:left w:val="single" w:color="auto" w:sz="4" w:space="0"/>
                    <w:right w:val="single" w:color="auto" w:sz="4" w:space="0"/>
                  </w:tcBorders>
                  <w:vAlign w:val="center"/>
                </w:tcPr>
                <w:p w14:paraId="4F8D6B82">
                  <w:pPr>
                    <w:widowControl/>
                    <w:rPr>
                      <w:rFonts w:eastAsiaTheme="minorEastAsia"/>
                      <w:color w:val="0000FF"/>
                      <w:szCs w:val="21"/>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7F623D0E">
                  <w:pPr>
                    <w:widowControl/>
                    <w:jc w:val="center"/>
                    <w:textAlignment w:val="center"/>
                    <w:rPr>
                      <w:rFonts w:eastAsiaTheme="minorEastAsia"/>
                      <w:color w:val="0000FF"/>
                    </w:rPr>
                  </w:pPr>
                  <w:r>
                    <w:rPr>
                      <w:rFonts w:eastAsiaTheme="minorEastAsia"/>
                      <w:color w:val="0000FF"/>
                      <w:sz w:val="20"/>
                      <w:szCs w:val="20"/>
                    </w:rPr>
                    <w:t xml:space="preserve">44.00 </w:t>
                  </w:r>
                </w:p>
              </w:tc>
              <w:tc>
                <w:tcPr>
                  <w:tcW w:w="688" w:type="dxa"/>
                  <w:vMerge w:val="continue"/>
                  <w:tcBorders>
                    <w:left w:val="single" w:color="auto" w:sz="4" w:space="0"/>
                    <w:right w:val="nil"/>
                  </w:tcBorders>
                  <w:vAlign w:val="center"/>
                </w:tcPr>
                <w:p w14:paraId="76CD3253">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5090D55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4D93E014">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3D084F82">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02DF0BD1">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41D4FF62">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23561DC2">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39C06D13">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26254453">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7EBAF67F">
                  <w:pPr>
                    <w:widowControl/>
                    <w:jc w:val="center"/>
                    <w:textAlignment w:val="center"/>
                    <w:rPr>
                      <w:rFonts w:eastAsiaTheme="minorEastAsia"/>
                      <w:color w:val="0000FF"/>
                      <w:szCs w:val="21"/>
                    </w:rPr>
                  </w:pPr>
                  <w:r>
                    <w:rPr>
                      <w:rFonts w:eastAsiaTheme="minorEastAsia"/>
                      <w:color w:val="0000FF"/>
                      <w:szCs w:val="21"/>
                    </w:rPr>
                    <w:t>西：11</w:t>
                  </w:r>
                </w:p>
              </w:tc>
              <w:tc>
                <w:tcPr>
                  <w:tcW w:w="819" w:type="dxa"/>
                  <w:tcBorders>
                    <w:top w:val="single" w:color="auto" w:sz="4" w:space="0"/>
                    <w:left w:val="single" w:color="auto" w:sz="4" w:space="0"/>
                    <w:bottom w:val="single" w:color="auto" w:sz="4" w:space="0"/>
                    <w:right w:val="single" w:color="auto" w:sz="4" w:space="0"/>
                  </w:tcBorders>
                  <w:noWrap/>
                  <w:vAlign w:val="center"/>
                </w:tcPr>
                <w:p w14:paraId="658F57E0">
                  <w:pPr>
                    <w:widowControl/>
                    <w:jc w:val="center"/>
                    <w:textAlignment w:val="center"/>
                    <w:rPr>
                      <w:rFonts w:eastAsiaTheme="minorEastAsia"/>
                      <w:color w:val="0000FF"/>
                    </w:rPr>
                  </w:pPr>
                  <w:r>
                    <w:rPr>
                      <w:rFonts w:eastAsiaTheme="minorEastAsia"/>
                      <w:color w:val="0000FF"/>
                      <w:sz w:val="20"/>
                      <w:szCs w:val="20"/>
                    </w:rPr>
                    <w:t xml:space="preserve">63.17 </w:t>
                  </w:r>
                </w:p>
              </w:tc>
              <w:tc>
                <w:tcPr>
                  <w:tcW w:w="617" w:type="dxa"/>
                  <w:vMerge w:val="continue"/>
                  <w:tcBorders>
                    <w:left w:val="single" w:color="auto" w:sz="4" w:space="0"/>
                    <w:right w:val="single" w:color="auto" w:sz="4" w:space="0"/>
                  </w:tcBorders>
                  <w:vAlign w:val="center"/>
                </w:tcPr>
                <w:p w14:paraId="472B2263">
                  <w:pPr>
                    <w:widowControl/>
                    <w:rPr>
                      <w:rFonts w:eastAsiaTheme="minorEastAsia"/>
                      <w:color w:val="0000FF"/>
                      <w:szCs w:val="21"/>
                    </w:rPr>
                  </w:pPr>
                </w:p>
              </w:tc>
              <w:tc>
                <w:tcPr>
                  <w:tcW w:w="792" w:type="dxa"/>
                  <w:vMerge w:val="continue"/>
                  <w:tcBorders>
                    <w:left w:val="single" w:color="auto" w:sz="4" w:space="0"/>
                    <w:right w:val="single" w:color="auto" w:sz="4" w:space="0"/>
                  </w:tcBorders>
                  <w:vAlign w:val="center"/>
                </w:tcPr>
                <w:p w14:paraId="5CD30D06">
                  <w:pPr>
                    <w:widowControl/>
                    <w:rPr>
                      <w:rFonts w:eastAsiaTheme="minorEastAsia"/>
                      <w:color w:val="0000FF"/>
                      <w:szCs w:val="21"/>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27A78FF3">
                  <w:pPr>
                    <w:widowControl/>
                    <w:jc w:val="center"/>
                    <w:textAlignment w:val="center"/>
                    <w:rPr>
                      <w:rFonts w:eastAsiaTheme="minorEastAsia"/>
                      <w:color w:val="0000FF"/>
                    </w:rPr>
                  </w:pPr>
                  <w:r>
                    <w:rPr>
                      <w:rFonts w:eastAsiaTheme="minorEastAsia"/>
                      <w:color w:val="0000FF"/>
                      <w:sz w:val="20"/>
                      <w:szCs w:val="20"/>
                    </w:rPr>
                    <w:t xml:space="preserve">43.17 </w:t>
                  </w:r>
                </w:p>
              </w:tc>
              <w:tc>
                <w:tcPr>
                  <w:tcW w:w="688" w:type="dxa"/>
                  <w:vMerge w:val="continue"/>
                  <w:tcBorders>
                    <w:left w:val="single" w:color="auto" w:sz="4" w:space="0"/>
                    <w:right w:val="nil"/>
                  </w:tcBorders>
                  <w:vAlign w:val="center"/>
                </w:tcPr>
                <w:p w14:paraId="624A1EEA">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2FD1F37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5F555EBE">
                  <w:pPr>
                    <w:widowControl/>
                    <w:jc w:val="center"/>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bottom w:val="single" w:color="auto" w:sz="4" w:space="0"/>
                    <w:right w:val="single" w:color="auto" w:sz="4" w:space="0"/>
                  </w:tcBorders>
                  <w:vAlign w:val="center"/>
                </w:tcPr>
                <w:p w14:paraId="69208DB1">
                  <w:pPr>
                    <w:widowControl/>
                    <w:rPr>
                      <w:rFonts w:eastAsiaTheme="minorEastAsia"/>
                      <w:color w:val="000000" w:themeColor="text1"/>
                      <w:szCs w:val="21"/>
                      <w14:textFill>
                        <w14:solidFill>
                          <w14:schemeClr w14:val="tx1"/>
                        </w14:solidFill>
                      </w14:textFill>
                    </w:rPr>
                  </w:pPr>
                </w:p>
              </w:tc>
              <w:tc>
                <w:tcPr>
                  <w:tcW w:w="665" w:type="dxa"/>
                  <w:vMerge w:val="continue"/>
                  <w:tcBorders>
                    <w:left w:val="single" w:color="auto" w:sz="4" w:space="0"/>
                    <w:bottom w:val="single" w:color="auto" w:sz="4" w:space="0"/>
                    <w:right w:val="single" w:color="auto" w:sz="4" w:space="0"/>
                  </w:tcBorders>
                  <w:vAlign w:val="center"/>
                </w:tcPr>
                <w:p w14:paraId="20E8A402">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17E89900">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51425849">
                  <w:pPr>
                    <w:widowControl/>
                    <w:rPr>
                      <w:rFonts w:eastAsiaTheme="minorEastAsia"/>
                      <w:color w:val="000000" w:themeColor="text1"/>
                      <w:szCs w:val="2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7941C6B4">
                  <w:pPr>
                    <w:widowControl/>
                    <w:rPr>
                      <w:rFonts w:eastAsiaTheme="minorEastAsia"/>
                      <w:color w:val="000000" w:themeColor="text1"/>
                      <w:szCs w:val="21"/>
                      <w14:textFill>
                        <w14:solidFill>
                          <w14:schemeClr w14:val="tx1"/>
                        </w14:solidFill>
                      </w14:textFill>
                    </w:rPr>
                  </w:pPr>
                </w:p>
              </w:tc>
              <w:tc>
                <w:tcPr>
                  <w:tcW w:w="588" w:type="dxa"/>
                  <w:vMerge w:val="continue"/>
                  <w:tcBorders>
                    <w:left w:val="single" w:color="auto" w:sz="4" w:space="0"/>
                    <w:bottom w:val="single" w:color="auto" w:sz="4" w:space="0"/>
                    <w:right w:val="single" w:color="auto" w:sz="4" w:space="0"/>
                  </w:tcBorders>
                  <w:vAlign w:val="center"/>
                </w:tcPr>
                <w:p w14:paraId="6B70CD97">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618C10C4">
                  <w:pPr>
                    <w:widowControl/>
                    <w:jc w:val="center"/>
                    <w:textAlignment w:val="center"/>
                    <w:rPr>
                      <w:rFonts w:eastAsiaTheme="minorEastAsia"/>
                      <w:color w:val="0000FF"/>
                      <w:szCs w:val="21"/>
                    </w:rPr>
                  </w:pPr>
                  <w:r>
                    <w:rPr>
                      <w:rFonts w:eastAsiaTheme="minorEastAsia"/>
                      <w:color w:val="0000FF"/>
                      <w:szCs w:val="21"/>
                    </w:rPr>
                    <w:t>北：8</w:t>
                  </w:r>
                </w:p>
              </w:tc>
              <w:tc>
                <w:tcPr>
                  <w:tcW w:w="819" w:type="dxa"/>
                  <w:tcBorders>
                    <w:top w:val="single" w:color="auto" w:sz="4" w:space="0"/>
                    <w:left w:val="single" w:color="auto" w:sz="4" w:space="0"/>
                    <w:bottom w:val="single" w:color="auto" w:sz="4" w:space="0"/>
                    <w:right w:val="single" w:color="auto" w:sz="4" w:space="0"/>
                  </w:tcBorders>
                  <w:noWrap/>
                  <w:vAlign w:val="center"/>
                </w:tcPr>
                <w:p w14:paraId="556C133B">
                  <w:pPr>
                    <w:widowControl/>
                    <w:jc w:val="center"/>
                    <w:textAlignment w:val="center"/>
                    <w:rPr>
                      <w:rFonts w:eastAsiaTheme="minorEastAsia"/>
                      <w:color w:val="0000FF"/>
                    </w:rPr>
                  </w:pPr>
                  <w:r>
                    <w:rPr>
                      <w:rFonts w:eastAsiaTheme="minorEastAsia"/>
                      <w:color w:val="0000FF"/>
                      <w:sz w:val="20"/>
                      <w:szCs w:val="20"/>
                    </w:rPr>
                    <w:t xml:space="preserve">65.94 </w:t>
                  </w:r>
                </w:p>
              </w:tc>
              <w:tc>
                <w:tcPr>
                  <w:tcW w:w="617" w:type="dxa"/>
                  <w:vMerge w:val="continue"/>
                  <w:tcBorders>
                    <w:left w:val="single" w:color="auto" w:sz="4" w:space="0"/>
                    <w:bottom w:val="single" w:color="auto" w:sz="4" w:space="0"/>
                    <w:right w:val="single" w:color="auto" w:sz="4" w:space="0"/>
                  </w:tcBorders>
                  <w:vAlign w:val="center"/>
                </w:tcPr>
                <w:p w14:paraId="2E2AAB15">
                  <w:pPr>
                    <w:widowControl/>
                    <w:rPr>
                      <w:rFonts w:eastAsiaTheme="minorEastAsia"/>
                      <w:color w:val="0000FF"/>
                      <w:szCs w:val="21"/>
                    </w:rPr>
                  </w:pPr>
                </w:p>
              </w:tc>
              <w:tc>
                <w:tcPr>
                  <w:tcW w:w="792" w:type="dxa"/>
                  <w:vMerge w:val="continue"/>
                  <w:tcBorders>
                    <w:left w:val="single" w:color="auto" w:sz="4" w:space="0"/>
                    <w:bottom w:val="single" w:color="auto" w:sz="4" w:space="0"/>
                    <w:right w:val="single" w:color="auto" w:sz="4" w:space="0"/>
                  </w:tcBorders>
                  <w:vAlign w:val="center"/>
                </w:tcPr>
                <w:p w14:paraId="35F206A4">
                  <w:pPr>
                    <w:widowControl/>
                    <w:rPr>
                      <w:rFonts w:eastAsiaTheme="minorEastAsia"/>
                      <w:color w:val="0000FF"/>
                      <w:szCs w:val="21"/>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20F59C65">
                  <w:pPr>
                    <w:widowControl/>
                    <w:jc w:val="center"/>
                    <w:textAlignment w:val="center"/>
                    <w:rPr>
                      <w:rFonts w:eastAsiaTheme="minorEastAsia"/>
                      <w:color w:val="0000FF"/>
                    </w:rPr>
                  </w:pPr>
                  <w:r>
                    <w:rPr>
                      <w:rFonts w:eastAsiaTheme="minorEastAsia"/>
                      <w:color w:val="0000FF"/>
                      <w:sz w:val="20"/>
                      <w:szCs w:val="20"/>
                    </w:rPr>
                    <w:t xml:space="preserve">45.94 </w:t>
                  </w:r>
                </w:p>
              </w:tc>
              <w:tc>
                <w:tcPr>
                  <w:tcW w:w="688" w:type="dxa"/>
                  <w:vMerge w:val="continue"/>
                  <w:tcBorders>
                    <w:left w:val="single" w:color="auto" w:sz="4" w:space="0"/>
                    <w:bottom w:val="single" w:color="auto" w:sz="4" w:space="0"/>
                    <w:right w:val="nil"/>
                  </w:tcBorders>
                  <w:vAlign w:val="center"/>
                </w:tcPr>
                <w:p w14:paraId="097D87DE">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4B7F36B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restart"/>
                  <w:tcBorders>
                    <w:left w:val="nil"/>
                    <w:right w:val="single" w:color="auto" w:sz="4" w:space="0"/>
                  </w:tcBorders>
                  <w:vAlign w:val="center"/>
                </w:tcPr>
                <w:p w14:paraId="2475EF54">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烘干车间</w:t>
                  </w:r>
                </w:p>
              </w:tc>
              <w:tc>
                <w:tcPr>
                  <w:tcW w:w="450" w:type="dxa"/>
                  <w:vMerge w:val="restart"/>
                  <w:tcBorders>
                    <w:top w:val="single" w:color="auto" w:sz="4" w:space="0"/>
                    <w:left w:val="single" w:color="auto" w:sz="4" w:space="0"/>
                    <w:bottom w:val="single" w:color="auto" w:sz="4" w:space="0"/>
                    <w:right w:val="single" w:color="auto" w:sz="4" w:space="0"/>
                  </w:tcBorders>
                  <w:vAlign w:val="center"/>
                </w:tcPr>
                <w:p w14:paraId="5B6B2DD9">
                  <w:pPr>
                    <w:pStyle w:val="62"/>
                    <w:ind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循环水泵</w:t>
                  </w:r>
                </w:p>
              </w:tc>
              <w:tc>
                <w:tcPr>
                  <w:tcW w:w="665" w:type="dxa"/>
                  <w:vMerge w:val="restart"/>
                  <w:tcBorders>
                    <w:top w:val="single" w:color="auto" w:sz="4" w:space="0"/>
                    <w:left w:val="single" w:color="auto" w:sz="4" w:space="0"/>
                    <w:bottom w:val="single" w:color="auto" w:sz="4" w:space="0"/>
                    <w:right w:val="single" w:color="auto" w:sz="4" w:space="0"/>
                  </w:tcBorders>
                  <w:vAlign w:val="center"/>
                </w:tcPr>
                <w:p w14:paraId="39CAD0D9">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80</w:t>
                  </w:r>
                </w:p>
              </w:tc>
              <w:tc>
                <w:tcPr>
                  <w:tcW w:w="530" w:type="dxa"/>
                  <w:vMerge w:val="continue"/>
                  <w:tcBorders>
                    <w:left w:val="single" w:color="auto" w:sz="4" w:space="0"/>
                    <w:right w:val="single" w:color="auto" w:sz="4" w:space="0"/>
                  </w:tcBorders>
                  <w:vAlign w:val="center"/>
                </w:tcPr>
                <w:p w14:paraId="34BAE7B4">
                  <w:pPr>
                    <w:widowControl/>
                    <w:rPr>
                      <w:rFonts w:eastAsiaTheme="minorEastAsia"/>
                      <w:color w:val="000000" w:themeColor="text1"/>
                      <w:szCs w:val="21"/>
                      <w14:textFill>
                        <w14:solidFill>
                          <w14:schemeClr w14:val="tx1"/>
                        </w14:solidFill>
                      </w14:textFill>
                    </w:rPr>
                  </w:pPr>
                </w:p>
              </w:tc>
              <w:tc>
                <w:tcPr>
                  <w:tcW w:w="620" w:type="dxa"/>
                  <w:vMerge w:val="restart"/>
                  <w:tcBorders>
                    <w:top w:val="single" w:color="auto" w:sz="4" w:space="0"/>
                    <w:left w:val="single" w:color="auto" w:sz="4" w:space="0"/>
                    <w:bottom w:val="single" w:color="auto" w:sz="4" w:space="0"/>
                    <w:right w:val="single" w:color="auto" w:sz="4" w:space="0"/>
                  </w:tcBorders>
                  <w:vAlign w:val="center"/>
                </w:tcPr>
                <w:p w14:paraId="0157BA30">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42</w:t>
                  </w:r>
                </w:p>
              </w:tc>
              <w:tc>
                <w:tcPr>
                  <w:tcW w:w="620" w:type="dxa"/>
                  <w:vMerge w:val="restart"/>
                  <w:tcBorders>
                    <w:top w:val="single" w:color="auto" w:sz="4" w:space="0"/>
                    <w:left w:val="single" w:color="auto" w:sz="4" w:space="0"/>
                    <w:bottom w:val="single" w:color="auto" w:sz="4" w:space="0"/>
                    <w:right w:val="single" w:color="auto" w:sz="4" w:space="0"/>
                  </w:tcBorders>
                  <w:noWrap/>
                  <w:vAlign w:val="center"/>
                </w:tcPr>
                <w:p w14:paraId="1D8E7617">
                  <w:pPr>
                    <w:adjustRightInd w:val="0"/>
                    <w:snapToGrid w:val="0"/>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-14</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14:paraId="7D55221A">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787" w:type="dxa"/>
                  <w:tcBorders>
                    <w:top w:val="single" w:color="auto" w:sz="4" w:space="0"/>
                    <w:left w:val="single" w:color="auto" w:sz="4" w:space="0"/>
                    <w:bottom w:val="single" w:color="auto" w:sz="4" w:space="0"/>
                    <w:right w:val="single" w:color="auto" w:sz="4" w:space="0"/>
                  </w:tcBorders>
                  <w:noWrap/>
                  <w:vAlign w:val="center"/>
                </w:tcPr>
                <w:p w14:paraId="460A2B4E">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东：3</w:t>
                  </w:r>
                </w:p>
              </w:tc>
              <w:tc>
                <w:tcPr>
                  <w:tcW w:w="819" w:type="dxa"/>
                  <w:tcBorders>
                    <w:top w:val="single" w:color="auto" w:sz="4" w:space="0"/>
                    <w:left w:val="single" w:color="auto" w:sz="4" w:space="0"/>
                    <w:bottom w:val="single" w:color="auto" w:sz="4" w:space="0"/>
                    <w:right w:val="single" w:color="auto" w:sz="4" w:space="0"/>
                  </w:tcBorders>
                  <w:noWrap/>
                </w:tcPr>
                <w:p w14:paraId="0F2C2821">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62.46 </w:t>
                  </w:r>
                </w:p>
              </w:tc>
              <w:tc>
                <w:tcPr>
                  <w:tcW w:w="617" w:type="dxa"/>
                  <w:vMerge w:val="restart"/>
                  <w:tcBorders>
                    <w:top w:val="single" w:color="auto" w:sz="4" w:space="0"/>
                    <w:left w:val="single" w:color="auto" w:sz="4" w:space="0"/>
                    <w:bottom w:val="single" w:color="auto" w:sz="4" w:space="0"/>
                    <w:right w:val="single" w:color="auto" w:sz="4" w:space="0"/>
                  </w:tcBorders>
                  <w:noWrap/>
                  <w:vAlign w:val="center"/>
                </w:tcPr>
                <w:p w14:paraId="2C0C36D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16h</w:t>
                  </w:r>
                </w:p>
              </w:tc>
              <w:tc>
                <w:tcPr>
                  <w:tcW w:w="792" w:type="dxa"/>
                  <w:vMerge w:val="restart"/>
                  <w:tcBorders>
                    <w:top w:val="single" w:color="auto" w:sz="4" w:space="0"/>
                    <w:left w:val="single" w:color="auto" w:sz="4" w:space="0"/>
                    <w:bottom w:val="single" w:color="auto" w:sz="4" w:space="0"/>
                    <w:right w:val="single" w:color="auto" w:sz="4" w:space="0"/>
                  </w:tcBorders>
                  <w:noWrap/>
                  <w:vAlign w:val="center"/>
                </w:tcPr>
                <w:p w14:paraId="6BA04FBC">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20</w:t>
                  </w:r>
                </w:p>
              </w:tc>
              <w:tc>
                <w:tcPr>
                  <w:tcW w:w="878" w:type="dxa"/>
                  <w:tcBorders>
                    <w:top w:val="single" w:color="auto" w:sz="4" w:space="0"/>
                    <w:left w:val="single" w:color="auto" w:sz="4" w:space="0"/>
                    <w:bottom w:val="single" w:color="auto" w:sz="4" w:space="0"/>
                    <w:right w:val="single" w:color="auto" w:sz="4" w:space="0"/>
                  </w:tcBorders>
                  <w:noWrap/>
                </w:tcPr>
                <w:p w14:paraId="001FCEA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42.46 </w:t>
                  </w:r>
                </w:p>
              </w:tc>
              <w:tc>
                <w:tcPr>
                  <w:tcW w:w="688" w:type="dxa"/>
                  <w:vMerge w:val="restart"/>
                  <w:tcBorders>
                    <w:top w:val="single" w:color="auto" w:sz="4" w:space="0"/>
                    <w:left w:val="single" w:color="auto" w:sz="4" w:space="0"/>
                    <w:bottom w:val="single" w:color="auto" w:sz="4" w:space="0"/>
                    <w:right w:val="nil"/>
                  </w:tcBorders>
                  <w:noWrap/>
                  <w:vAlign w:val="center"/>
                </w:tcPr>
                <w:p w14:paraId="5F47406B">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p>
              </w:tc>
            </w:tr>
            <w:tr w14:paraId="6453664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A62FDA5">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72A983BF">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6C302A4C">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0ED3A5D1">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688CEE4F">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019F2D10">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5290628D">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0821ADB8">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南：38</w:t>
                  </w:r>
                </w:p>
              </w:tc>
              <w:tc>
                <w:tcPr>
                  <w:tcW w:w="819" w:type="dxa"/>
                  <w:tcBorders>
                    <w:top w:val="single" w:color="auto" w:sz="4" w:space="0"/>
                    <w:left w:val="single" w:color="auto" w:sz="4" w:space="0"/>
                    <w:bottom w:val="single" w:color="auto" w:sz="4" w:space="0"/>
                    <w:right w:val="single" w:color="auto" w:sz="4" w:space="0"/>
                  </w:tcBorders>
                  <w:noWrap/>
                </w:tcPr>
                <w:p w14:paraId="0F12196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40.40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446548AD">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7CA200E4">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6E09282E">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20.40 </w:t>
                  </w:r>
                </w:p>
              </w:tc>
              <w:tc>
                <w:tcPr>
                  <w:tcW w:w="688" w:type="dxa"/>
                  <w:vMerge w:val="continue"/>
                  <w:tcBorders>
                    <w:top w:val="single" w:color="auto" w:sz="4" w:space="0"/>
                    <w:left w:val="single" w:color="auto" w:sz="4" w:space="0"/>
                    <w:bottom w:val="single" w:color="auto" w:sz="4" w:space="0"/>
                    <w:right w:val="nil"/>
                  </w:tcBorders>
                  <w:vAlign w:val="center"/>
                </w:tcPr>
                <w:p w14:paraId="70576891">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112723F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6E86B4E3">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40D64A2C">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77E84E6D">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2615A0A3">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26C05C91">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3CABE7DD">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9EAE42D">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3340527D">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西：13</w:t>
                  </w:r>
                </w:p>
              </w:tc>
              <w:tc>
                <w:tcPr>
                  <w:tcW w:w="819" w:type="dxa"/>
                  <w:tcBorders>
                    <w:top w:val="single" w:color="auto" w:sz="4" w:space="0"/>
                    <w:left w:val="single" w:color="auto" w:sz="4" w:space="0"/>
                    <w:bottom w:val="single" w:color="auto" w:sz="4" w:space="0"/>
                    <w:right w:val="single" w:color="auto" w:sz="4" w:space="0"/>
                  </w:tcBorders>
                  <w:noWrap/>
                </w:tcPr>
                <w:p w14:paraId="45A94B78">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49.72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0AC10E11">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2B4562FE">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1FF36252">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29.72 </w:t>
                  </w:r>
                </w:p>
              </w:tc>
              <w:tc>
                <w:tcPr>
                  <w:tcW w:w="688" w:type="dxa"/>
                  <w:vMerge w:val="continue"/>
                  <w:tcBorders>
                    <w:top w:val="single" w:color="auto" w:sz="4" w:space="0"/>
                    <w:left w:val="single" w:color="auto" w:sz="4" w:space="0"/>
                    <w:bottom w:val="single" w:color="auto" w:sz="4" w:space="0"/>
                    <w:right w:val="nil"/>
                  </w:tcBorders>
                  <w:vAlign w:val="center"/>
                </w:tcPr>
                <w:p w14:paraId="570FB888">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1A048B8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259B2CB9">
                  <w:pPr>
                    <w:widowControl/>
                    <w:jc w:val="center"/>
                    <w:rPr>
                      <w:rFonts w:eastAsiaTheme="minorEastAsia"/>
                      <w:color w:val="000000" w:themeColor="text1"/>
                      <w:szCs w:val="21"/>
                      <w14:textFill>
                        <w14:solidFill>
                          <w14:schemeClr w14:val="tx1"/>
                        </w14:solidFill>
                      </w14:textFill>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14:paraId="4D0F69F5">
                  <w:pPr>
                    <w:widowControl/>
                    <w:rPr>
                      <w:rFonts w:eastAsiaTheme="minorEastAsia"/>
                      <w:color w:val="000000" w:themeColor="text1"/>
                      <w:szCs w:val="21"/>
                      <w14:textFill>
                        <w14:solidFill>
                          <w14:schemeClr w14:val="tx1"/>
                        </w14:solidFill>
                      </w14:textFill>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14:paraId="6360B10C">
                  <w:pPr>
                    <w:widowControl/>
                    <w:rPr>
                      <w:rFonts w:eastAsiaTheme="minorEastAsia"/>
                      <w:color w:val="000000" w:themeColor="text1"/>
                      <w:szCs w:val="2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0F74F96C">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15915278">
                  <w:pPr>
                    <w:widowControl/>
                    <w:rPr>
                      <w:rFonts w:eastAsiaTheme="minorEastAsia"/>
                      <w:color w:val="000000" w:themeColor="text1"/>
                      <w:szCs w:val="21"/>
                      <w14:textFill>
                        <w14:solidFill>
                          <w14:schemeClr w14:val="tx1"/>
                        </w14:solidFill>
                      </w14:textFill>
                    </w:rPr>
                  </w:pPr>
                </w:p>
              </w:tc>
              <w:tc>
                <w:tcPr>
                  <w:tcW w:w="620" w:type="dxa"/>
                  <w:vMerge w:val="continue"/>
                  <w:tcBorders>
                    <w:top w:val="single" w:color="auto" w:sz="4" w:space="0"/>
                    <w:left w:val="single" w:color="auto" w:sz="4" w:space="0"/>
                    <w:bottom w:val="single" w:color="auto" w:sz="4" w:space="0"/>
                    <w:right w:val="single" w:color="auto" w:sz="4" w:space="0"/>
                  </w:tcBorders>
                  <w:vAlign w:val="center"/>
                </w:tcPr>
                <w:p w14:paraId="03157BD9">
                  <w:pPr>
                    <w:widowControl/>
                    <w:rPr>
                      <w:rFonts w:eastAsiaTheme="minorEastAsia"/>
                      <w:color w:val="000000" w:themeColor="text1"/>
                      <w:szCs w:val="21"/>
                      <w14:textFill>
                        <w14:solidFill>
                          <w14:schemeClr w14:val="tx1"/>
                        </w14:solidFill>
                      </w14:textFill>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6A3CD46C">
                  <w:pPr>
                    <w:widowControl/>
                    <w:rPr>
                      <w:rFonts w:eastAsiaTheme="minorEastAsia"/>
                      <w:color w:val="000000" w:themeColor="text1"/>
                      <w:szCs w:val="2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vAlign w:val="center"/>
                </w:tcPr>
                <w:p w14:paraId="3AAE33F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北：8</w:t>
                  </w:r>
                </w:p>
              </w:tc>
              <w:tc>
                <w:tcPr>
                  <w:tcW w:w="819" w:type="dxa"/>
                  <w:tcBorders>
                    <w:top w:val="single" w:color="auto" w:sz="4" w:space="0"/>
                    <w:left w:val="single" w:color="auto" w:sz="4" w:space="0"/>
                    <w:bottom w:val="single" w:color="auto" w:sz="4" w:space="0"/>
                    <w:right w:val="single" w:color="auto" w:sz="4" w:space="0"/>
                  </w:tcBorders>
                  <w:noWrap/>
                </w:tcPr>
                <w:p w14:paraId="480C5775">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53.94 </w:t>
                  </w:r>
                </w:p>
              </w:tc>
              <w:tc>
                <w:tcPr>
                  <w:tcW w:w="617" w:type="dxa"/>
                  <w:vMerge w:val="continue"/>
                  <w:tcBorders>
                    <w:top w:val="single" w:color="auto" w:sz="4" w:space="0"/>
                    <w:left w:val="single" w:color="auto" w:sz="4" w:space="0"/>
                    <w:bottom w:val="single" w:color="auto" w:sz="4" w:space="0"/>
                    <w:right w:val="single" w:color="auto" w:sz="4" w:space="0"/>
                  </w:tcBorders>
                  <w:vAlign w:val="center"/>
                </w:tcPr>
                <w:p w14:paraId="1C83FD58">
                  <w:pPr>
                    <w:widowControl/>
                    <w:rPr>
                      <w:rFonts w:eastAsiaTheme="minorEastAsia"/>
                      <w:color w:val="000000" w:themeColor="text1"/>
                      <w:szCs w:val="21"/>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0E9AEAA5">
                  <w:pPr>
                    <w:widowControl/>
                    <w:rPr>
                      <w:rFonts w:eastAsiaTheme="minorEastAsia"/>
                      <w:color w:val="000000" w:themeColor="text1"/>
                      <w:szCs w:val="2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tcPr>
                <w:p w14:paraId="68286EF7">
                  <w:pPr>
                    <w:widowControl/>
                    <w:jc w:val="center"/>
                    <w:textAlignment w:val="center"/>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 xml:space="preserve">33.94 </w:t>
                  </w:r>
                </w:p>
              </w:tc>
              <w:tc>
                <w:tcPr>
                  <w:tcW w:w="688" w:type="dxa"/>
                  <w:vMerge w:val="continue"/>
                  <w:tcBorders>
                    <w:top w:val="single" w:color="auto" w:sz="4" w:space="0"/>
                    <w:left w:val="single" w:color="auto" w:sz="4" w:space="0"/>
                    <w:bottom w:val="single" w:color="auto" w:sz="4" w:space="0"/>
                    <w:right w:val="nil"/>
                  </w:tcBorders>
                  <w:vAlign w:val="center"/>
                </w:tcPr>
                <w:p w14:paraId="7235EE51">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p>
              </w:tc>
            </w:tr>
            <w:tr w14:paraId="2097F7E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restart"/>
                  <w:tcBorders>
                    <w:left w:val="nil"/>
                    <w:right w:val="single" w:color="auto" w:sz="4" w:space="0"/>
                  </w:tcBorders>
                  <w:vAlign w:val="center"/>
                </w:tcPr>
                <w:p w14:paraId="3B6A1F8D">
                  <w:pPr>
                    <w:widowControl/>
                    <w:jc w:val="center"/>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室外</w:t>
                  </w:r>
                </w:p>
              </w:tc>
              <w:tc>
                <w:tcPr>
                  <w:tcW w:w="450" w:type="dxa"/>
                  <w:vMerge w:val="restart"/>
                  <w:tcBorders>
                    <w:top w:val="single" w:color="auto" w:sz="4" w:space="0"/>
                    <w:left w:val="single" w:color="auto" w:sz="4" w:space="0"/>
                    <w:right w:val="single" w:color="auto" w:sz="4" w:space="0"/>
                  </w:tcBorders>
                  <w:vAlign w:val="center"/>
                </w:tcPr>
                <w:p w14:paraId="714925B5">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除尘器风机</w:t>
                  </w:r>
                </w:p>
              </w:tc>
              <w:tc>
                <w:tcPr>
                  <w:tcW w:w="665" w:type="dxa"/>
                  <w:vMerge w:val="restart"/>
                  <w:tcBorders>
                    <w:top w:val="single" w:color="auto" w:sz="4" w:space="0"/>
                    <w:left w:val="single" w:color="auto" w:sz="4" w:space="0"/>
                    <w:right w:val="single" w:color="auto" w:sz="4" w:space="0"/>
                  </w:tcBorders>
                  <w:vAlign w:val="center"/>
                </w:tcPr>
                <w:p w14:paraId="1E388785">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85</w:t>
                  </w:r>
                </w:p>
              </w:tc>
              <w:tc>
                <w:tcPr>
                  <w:tcW w:w="530" w:type="dxa"/>
                  <w:vMerge w:val="restart"/>
                  <w:tcBorders>
                    <w:left w:val="single" w:color="auto" w:sz="4" w:space="0"/>
                    <w:right w:val="single" w:color="auto" w:sz="4" w:space="0"/>
                  </w:tcBorders>
                  <w:vAlign w:val="center"/>
                </w:tcPr>
                <w:p w14:paraId="79B3A90B">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基础减振</w:t>
                  </w:r>
                </w:p>
                <w:p w14:paraId="7C68FFE2">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隔音距离衰减</w:t>
                  </w:r>
                </w:p>
              </w:tc>
              <w:tc>
                <w:tcPr>
                  <w:tcW w:w="620" w:type="dxa"/>
                  <w:vMerge w:val="restart"/>
                  <w:tcBorders>
                    <w:top w:val="single" w:color="auto" w:sz="4" w:space="0"/>
                    <w:left w:val="single" w:color="auto" w:sz="4" w:space="0"/>
                    <w:right w:val="single" w:color="auto" w:sz="4" w:space="0"/>
                  </w:tcBorders>
                  <w:vAlign w:val="center"/>
                </w:tcPr>
                <w:p w14:paraId="632D68BA">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14</w:t>
                  </w:r>
                </w:p>
              </w:tc>
              <w:tc>
                <w:tcPr>
                  <w:tcW w:w="620" w:type="dxa"/>
                  <w:vMerge w:val="restart"/>
                  <w:tcBorders>
                    <w:top w:val="single" w:color="auto" w:sz="4" w:space="0"/>
                    <w:left w:val="single" w:color="auto" w:sz="4" w:space="0"/>
                    <w:right w:val="single" w:color="auto" w:sz="4" w:space="0"/>
                  </w:tcBorders>
                  <w:vAlign w:val="center"/>
                </w:tcPr>
                <w:p w14:paraId="60178980">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-16</w:t>
                  </w:r>
                </w:p>
              </w:tc>
              <w:tc>
                <w:tcPr>
                  <w:tcW w:w="588" w:type="dxa"/>
                  <w:vMerge w:val="restart"/>
                  <w:tcBorders>
                    <w:top w:val="single" w:color="auto" w:sz="4" w:space="0"/>
                    <w:left w:val="single" w:color="auto" w:sz="4" w:space="0"/>
                    <w:right w:val="single" w:color="auto" w:sz="4" w:space="0"/>
                  </w:tcBorders>
                  <w:vAlign w:val="center"/>
                </w:tcPr>
                <w:p w14:paraId="0202DCDA">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2.5</w:t>
                  </w:r>
                </w:p>
              </w:tc>
              <w:tc>
                <w:tcPr>
                  <w:tcW w:w="787" w:type="dxa"/>
                  <w:tcBorders>
                    <w:top w:val="single" w:color="auto" w:sz="4" w:space="0"/>
                    <w:left w:val="single" w:color="auto" w:sz="4" w:space="0"/>
                    <w:bottom w:val="single" w:color="auto" w:sz="4" w:space="0"/>
                    <w:right w:val="single" w:color="auto" w:sz="4" w:space="0"/>
                  </w:tcBorders>
                  <w:noWrap/>
                </w:tcPr>
                <w:p w14:paraId="42DF5982">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19" w:type="dxa"/>
                  <w:tcBorders>
                    <w:top w:val="single" w:color="auto" w:sz="4" w:space="0"/>
                    <w:left w:val="single" w:color="auto" w:sz="4" w:space="0"/>
                    <w:bottom w:val="single" w:color="auto" w:sz="4" w:space="0"/>
                    <w:right w:val="single" w:color="auto" w:sz="4" w:space="0"/>
                  </w:tcBorders>
                  <w:noWrap/>
                </w:tcPr>
                <w:p w14:paraId="0D79A08E">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17" w:type="dxa"/>
                  <w:vMerge w:val="restart"/>
                  <w:tcBorders>
                    <w:top w:val="single" w:color="auto" w:sz="4" w:space="0"/>
                    <w:left w:val="single" w:color="auto" w:sz="4" w:space="0"/>
                    <w:right w:val="single" w:color="auto" w:sz="4" w:space="0"/>
                  </w:tcBorders>
                  <w:vAlign w:val="center"/>
                </w:tcPr>
                <w:p w14:paraId="0E112747">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16h</w:t>
                  </w:r>
                </w:p>
              </w:tc>
              <w:tc>
                <w:tcPr>
                  <w:tcW w:w="792" w:type="dxa"/>
                  <w:vMerge w:val="restart"/>
                  <w:tcBorders>
                    <w:top w:val="single" w:color="auto" w:sz="4" w:space="0"/>
                    <w:left w:val="single" w:color="auto" w:sz="4" w:space="0"/>
                    <w:right w:val="single" w:color="auto" w:sz="4" w:space="0"/>
                  </w:tcBorders>
                  <w:vAlign w:val="center"/>
                </w:tcPr>
                <w:p w14:paraId="431C916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78" w:type="dxa"/>
                  <w:tcBorders>
                    <w:top w:val="single" w:color="auto" w:sz="4" w:space="0"/>
                    <w:left w:val="single" w:color="auto" w:sz="4" w:space="0"/>
                    <w:bottom w:val="single" w:color="auto" w:sz="4" w:space="0"/>
                    <w:right w:val="single" w:color="auto" w:sz="4" w:space="0"/>
                  </w:tcBorders>
                  <w:noWrap/>
                  <w:vAlign w:val="center"/>
                </w:tcPr>
                <w:p w14:paraId="3A03089D">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88" w:type="dxa"/>
                  <w:vMerge w:val="restart"/>
                  <w:tcBorders>
                    <w:top w:val="single" w:color="auto" w:sz="4" w:space="0"/>
                    <w:left w:val="single" w:color="auto" w:sz="4" w:space="0"/>
                    <w:right w:val="nil"/>
                  </w:tcBorders>
                  <w:vAlign w:val="center"/>
                </w:tcPr>
                <w:p w14:paraId="216E53F7">
                  <w:pPr>
                    <w:pStyle w:val="141"/>
                    <w:ind w:firstLine="0" w:firstLineChars="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w:t>
                  </w:r>
                </w:p>
              </w:tc>
            </w:tr>
            <w:tr w14:paraId="76368E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010E5C92">
                  <w:pPr>
                    <w:widowControl/>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1F0205FD">
                  <w:pPr>
                    <w:pStyle w:val="122"/>
                    <w:adjustRightInd w:val="0"/>
                    <w:snapToGrid w:val="0"/>
                    <w:rPr>
                      <w:rFonts w:eastAsiaTheme="minorEastAsia"/>
                      <w:color w:val="000000" w:themeColor="text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2BAC7030">
                  <w:pPr>
                    <w:pStyle w:val="122"/>
                    <w:adjustRightInd w:val="0"/>
                    <w:snapToGrid w:val="0"/>
                    <w:rPr>
                      <w:rFonts w:eastAsiaTheme="minorEastAsia"/>
                      <w:color w:val="000000" w:themeColor="text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1158A60A">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10E67922">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74C1BE9D">
                  <w:pPr>
                    <w:pStyle w:val="122"/>
                    <w:adjustRightInd w:val="0"/>
                    <w:snapToGrid w:val="0"/>
                    <w:rPr>
                      <w:rFonts w:eastAsiaTheme="minorEastAsia"/>
                      <w:color w:val="000000" w:themeColor="text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47BA8A81">
                  <w:pPr>
                    <w:pStyle w:val="122"/>
                    <w:adjustRightInd w:val="0"/>
                    <w:snapToGrid w:val="0"/>
                    <w:rPr>
                      <w:rFonts w:eastAsiaTheme="minorEastAsia"/>
                      <w:color w:val="000000" w:themeColor="text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tcPr>
                <w:p w14:paraId="5A6043AA">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19" w:type="dxa"/>
                  <w:tcBorders>
                    <w:top w:val="single" w:color="auto" w:sz="4" w:space="0"/>
                    <w:left w:val="single" w:color="auto" w:sz="4" w:space="0"/>
                    <w:bottom w:val="single" w:color="auto" w:sz="4" w:space="0"/>
                    <w:right w:val="single" w:color="auto" w:sz="4" w:space="0"/>
                  </w:tcBorders>
                  <w:noWrap/>
                </w:tcPr>
                <w:p w14:paraId="3A10B191">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17" w:type="dxa"/>
                  <w:vMerge w:val="continue"/>
                  <w:tcBorders>
                    <w:left w:val="single" w:color="auto" w:sz="4" w:space="0"/>
                    <w:right w:val="single" w:color="auto" w:sz="4" w:space="0"/>
                  </w:tcBorders>
                  <w:vAlign w:val="center"/>
                </w:tcPr>
                <w:p w14:paraId="2D78D53A">
                  <w:pPr>
                    <w:pStyle w:val="122"/>
                    <w:adjustRightInd w:val="0"/>
                    <w:snapToGrid w:val="0"/>
                    <w:rPr>
                      <w:rFonts w:eastAsiaTheme="minorEastAsia"/>
                      <w:color w:val="000000" w:themeColor="text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0F98EBD6">
                  <w:pPr>
                    <w:pStyle w:val="122"/>
                    <w:adjustRightInd w:val="0"/>
                    <w:snapToGrid w:val="0"/>
                    <w:rPr>
                      <w:rFonts w:eastAsiaTheme="minorEastAsia"/>
                      <w:color w:val="000000" w:themeColor="text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789C3B71">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88" w:type="dxa"/>
                  <w:vMerge w:val="continue"/>
                  <w:tcBorders>
                    <w:left w:val="single" w:color="auto" w:sz="4" w:space="0"/>
                    <w:right w:val="nil"/>
                  </w:tcBorders>
                  <w:vAlign w:val="center"/>
                </w:tcPr>
                <w:p w14:paraId="1CA161ED">
                  <w:pPr>
                    <w:widowControl/>
                    <w:rPr>
                      <w:rFonts w:eastAsiaTheme="minorEastAsia"/>
                      <w:color w:val="000000" w:themeColor="text1"/>
                      <w:kern w:val="0"/>
                      <w:szCs w:val="21"/>
                      <w14:textFill>
                        <w14:solidFill>
                          <w14:schemeClr w14:val="tx1"/>
                        </w14:solidFill>
                      </w14:textFill>
                    </w:rPr>
                  </w:pPr>
                </w:p>
              </w:tc>
            </w:tr>
            <w:tr w14:paraId="287B3A4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right w:val="single" w:color="auto" w:sz="4" w:space="0"/>
                  </w:tcBorders>
                  <w:vAlign w:val="center"/>
                </w:tcPr>
                <w:p w14:paraId="2616CF8E">
                  <w:pPr>
                    <w:widowControl/>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right w:val="single" w:color="auto" w:sz="4" w:space="0"/>
                  </w:tcBorders>
                  <w:vAlign w:val="center"/>
                </w:tcPr>
                <w:p w14:paraId="542534F4">
                  <w:pPr>
                    <w:pStyle w:val="122"/>
                    <w:adjustRightInd w:val="0"/>
                    <w:snapToGrid w:val="0"/>
                    <w:rPr>
                      <w:rFonts w:eastAsiaTheme="minorEastAsia"/>
                      <w:color w:val="000000" w:themeColor="text1"/>
                      <w14:textFill>
                        <w14:solidFill>
                          <w14:schemeClr w14:val="tx1"/>
                        </w14:solidFill>
                      </w14:textFill>
                    </w:rPr>
                  </w:pPr>
                </w:p>
              </w:tc>
              <w:tc>
                <w:tcPr>
                  <w:tcW w:w="665" w:type="dxa"/>
                  <w:vMerge w:val="continue"/>
                  <w:tcBorders>
                    <w:left w:val="single" w:color="auto" w:sz="4" w:space="0"/>
                    <w:right w:val="single" w:color="auto" w:sz="4" w:space="0"/>
                  </w:tcBorders>
                  <w:vAlign w:val="center"/>
                </w:tcPr>
                <w:p w14:paraId="326D6196">
                  <w:pPr>
                    <w:pStyle w:val="122"/>
                    <w:adjustRightInd w:val="0"/>
                    <w:snapToGrid w:val="0"/>
                    <w:rPr>
                      <w:rFonts w:eastAsiaTheme="minorEastAsia"/>
                      <w:color w:val="000000" w:themeColor="text1"/>
                      <w14:textFill>
                        <w14:solidFill>
                          <w14:schemeClr w14:val="tx1"/>
                        </w14:solidFill>
                      </w14:textFill>
                    </w:rPr>
                  </w:pPr>
                </w:p>
              </w:tc>
              <w:tc>
                <w:tcPr>
                  <w:tcW w:w="530" w:type="dxa"/>
                  <w:vMerge w:val="continue"/>
                  <w:tcBorders>
                    <w:left w:val="single" w:color="auto" w:sz="4" w:space="0"/>
                    <w:right w:val="single" w:color="auto" w:sz="4" w:space="0"/>
                  </w:tcBorders>
                  <w:vAlign w:val="center"/>
                </w:tcPr>
                <w:p w14:paraId="29459561">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6D807491">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right w:val="single" w:color="auto" w:sz="4" w:space="0"/>
                  </w:tcBorders>
                  <w:vAlign w:val="center"/>
                </w:tcPr>
                <w:p w14:paraId="7404BFB4">
                  <w:pPr>
                    <w:pStyle w:val="122"/>
                    <w:adjustRightInd w:val="0"/>
                    <w:snapToGrid w:val="0"/>
                    <w:rPr>
                      <w:rFonts w:eastAsiaTheme="minorEastAsia"/>
                      <w:color w:val="000000" w:themeColor="text1"/>
                      <w14:textFill>
                        <w14:solidFill>
                          <w14:schemeClr w14:val="tx1"/>
                        </w14:solidFill>
                      </w14:textFill>
                    </w:rPr>
                  </w:pPr>
                </w:p>
              </w:tc>
              <w:tc>
                <w:tcPr>
                  <w:tcW w:w="588" w:type="dxa"/>
                  <w:vMerge w:val="continue"/>
                  <w:tcBorders>
                    <w:left w:val="single" w:color="auto" w:sz="4" w:space="0"/>
                    <w:right w:val="single" w:color="auto" w:sz="4" w:space="0"/>
                  </w:tcBorders>
                  <w:vAlign w:val="center"/>
                </w:tcPr>
                <w:p w14:paraId="753B6548">
                  <w:pPr>
                    <w:pStyle w:val="122"/>
                    <w:adjustRightInd w:val="0"/>
                    <w:snapToGrid w:val="0"/>
                    <w:rPr>
                      <w:rFonts w:eastAsiaTheme="minorEastAsia"/>
                      <w:color w:val="000000" w:themeColor="text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tcPr>
                <w:p w14:paraId="02A975F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19" w:type="dxa"/>
                  <w:tcBorders>
                    <w:top w:val="single" w:color="auto" w:sz="4" w:space="0"/>
                    <w:left w:val="single" w:color="auto" w:sz="4" w:space="0"/>
                    <w:bottom w:val="single" w:color="auto" w:sz="4" w:space="0"/>
                    <w:right w:val="single" w:color="auto" w:sz="4" w:space="0"/>
                  </w:tcBorders>
                  <w:noWrap/>
                </w:tcPr>
                <w:p w14:paraId="3A1F537B">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17" w:type="dxa"/>
                  <w:vMerge w:val="continue"/>
                  <w:tcBorders>
                    <w:left w:val="single" w:color="auto" w:sz="4" w:space="0"/>
                    <w:right w:val="single" w:color="auto" w:sz="4" w:space="0"/>
                  </w:tcBorders>
                  <w:vAlign w:val="center"/>
                </w:tcPr>
                <w:p w14:paraId="5ED26BDA">
                  <w:pPr>
                    <w:pStyle w:val="122"/>
                    <w:adjustRightInd w:val="0"/>
                    <w:snapToGrid w:val="0"/>
                    <w:rPr>
                      <w:rFonts w:eastAsiaTheme="minorEastAsia"/>
                      <w:color w:val="000000" w:themeColor="text1"/>
                      <w14:textFill>
                        <w14:solidFill>
                          <w14:schemeClr w14:val="tx1"/>
                        </w14:solidFill>
                      </w14:textFill>
                    </w:rPr>
                  </w:pPr>
                </w:p>
              </w:tc>
              <w:tc>
                <w:tcPr>
                  <w:tcW w:w="792" w:type="dxa"/>
                  <w:vMerge w:val="continue"/>
                  <w:tcBorders>
                    <w:left w:val="single" w:color="auto" w:sz="4" w:space="0"/>
                    <w:right w:val="single" w:color="auto" w:sz="4" w:space="0"/>
                  </w:tcBorders>
                  <w:vAlign w:val="center"/>
                </w:tcPr>
                <w:p w14:paraId="498076B1">
                  <w:pPr>
                    <w:pStyle w:val="122"/>
                    <w:adjustRightInd w:val="0"/>
                    <w:snapToGrid w:val="0"/>
                    <w:rPr>
                      <w:rFonts w:eastAsiaTheme="minorEastAsia"/>
                      <w:color w:val="000000" w:themeColor="text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60563EBD">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88" w:type="dxa"/>
                  <w:vMerge w:val="continue"/>
                  <w:tcBorders>
                    <w:left w:val="single" w:color="auto" w:sz="4" w:space="0"/>
                    <w:right w:val="nil"/>
                  </w:tcBorders>
                  <w:vAlign w:val="center"/>
                </w:tcPr>
                <w:p w14:paraId="67B1BBB7">
                  <w:pPr>
                    <w:widowControl/>
                    <w:rPr>
                      <w:rFonts w:eastAsiaTheme="minorEastAsia"/>
                      <w:color w:val="000000" w:themeColor="text1"/>
                      <w:kern w:val="0"/>
                      <w:szCs w:val="21"/>
                      <w14:textFill>
                        <w14:solidFill>
                          <w14:schemeClr w14:val="tx1"/>
                        </w14:solidFill>
                      </w14:textFill>
                    </w:rPr>
                  </w:pPr>
                </w:p>
              </w:tc>
            </w:tr>
            <w:tr w14:paraId="541770A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2" w:type="dxa"/>
                  <w:vMerge w:val="continue"/>
                  <w:tcBorders>
                    <w:left w:val="nil"/>
                    <w:bottom w:val="single" w:color="auto" w:sz="4" w:space="0"/>
                    <w:right w:val="single" w:color="auto" w:sz="4" w:space="0"/>
                  </w:tcBorders>
                  <w:vAlign w:val="center"/>
                </w:tcPr>
                <w:p w14:paraId="1A7713EE">
                  <w:pPr>
                    <w:widowControl/>
                    <w:rPr>
                      <w:rFonts w:eastAsiaTheme="minorEastAsia"/>
                      <w:color w:val="000000" w:themeColor="text1"/>
                      <w:szCs w:val="21"/>
                      <w14:textFill>
                        <w14:solidFill>
                          <w14:schemeClr w14:val="tx1"/>
                        </w14:solidFill>
                      </w14:textFill>
                    </w:rPr>
                  </w:pPr>
                </w:p>
              </w:tc>
              <w:tc>
                <w:tcPr>
                  <w:tcW w:w="450" w:type="dxa"/>
                  <w:vMerge w:val="continue"/>
                  <w:tcBorders>
                    <w:left w:val="single" w:color="auto" w:sz="4" w:space="0"/>
                    <w:bottom w:val="single" w:color="auto" w:sz="4" w:space="0"/>
                    <w:right w:val="single" w:color="auto" w:sz="4" w:space="0"/>
                  </w:tcBorders>
                  <w:vAlign w:val="center"/>
                </w:tcPr>
                <w:p w14:paraId="6544410A">
                  <w:pPr>
                    <w:pStyle w:val="122"/>
                    <w:adjustRightInd w:val="0"/>
                    <w:snapToGrid w:val="0"/>
                    <w:rPr>
                      <w:rFonts w:eastAsiaTheme="minorEastAsia"/>
                      <w:color w:val="000000" w:themeColor="text1"/>
                      <w14:textFill>
                        <w14:solidFill>
                          <w14:schemeClr w14:val="tx1"/>
                        </w14:solidFill>
                      </w14:textFill>
                    </w:rPr>
                  </w:pPr>
                </w:p>
              </w:tc>
              <w:tc>
                <w:tcPr>
                  <w:tcW w:w="665" w:type="dxa"/>
                  <w:vMerge w:val="continue"/>
                  <w:tcBorders>
                    <w:left w:val="single" w:color="auto" w:sz="4" w:space="0"/>
                    <w:bottom w:val="single" w:color="auto" w:sz="4" w:space="0"/>
                    <w:right w:val="single" w:color="auto" w:sz="4" w:space="0"/>
                  </w:tcBorders>
                  <w:vAlign w:val="center"/>
                </w:tcPr>
                <w:p w14:paraId="06800397">
                  <w:pPr>
                    <w:pStyle w:val="122"/>
                    <w:adjustRightInd w:val="0"/>
                    <w:snapToGrid w:val="0"/>
                    <w:rPr>
                      <w:rFonts w:eastAsiaTheme="minorEastAsia"/>
                      <w:color w:val="000000" w:themeColor="text1"/>
                      <w14:textFill>
                        <w14:solidFill>
                          <w14:schemeClr w14:val="tx1"/>
                        </w14:solidFill>
                      </w14:textFill>
                    </w:rPr>
                  </w:pPr>
                </w:p>
              </w:tc>
              <w:tc>
                <w:tcPr>
                  <w:tcW w:w="530" w:type="dxa"/>
                  <w:vMerge w:val="continue"/>
                  <w:tcBorders>
                    <w:left w:val="single" w:color="auto" w:sz="4" w:space="0"/>
                    <w:bottom w:val="single" w:color="auto" w:sz="4" w:space="0"/>
                    <w:right w:val="single" w:color="auto" w:sz="4" w:space="0"/>
                  </w:tcBorders>
                  <w:vAlign w:val="center"/>
                </w:tcPr>
                <w:p w14:paraId="78165AFE">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0CADC9BF">
                  <w:pPr>
                    <w:pStyle w:val="122"/>
                    <w:adjustRightInd w:val="0"/>
                    <w:snapToGrid w:val="0"/>
                    <w:rPr>
                      <w:rFonts w:eastAsiaTheme="minorEastAsia"/>
                      <w:color w:val="000000" w:themeColor="text1"/>
                      <w14:textFill>
                        <w14:solidFill>
                          <w14:schemeClr w14:val="tx1"/>
                        </w14:solidFill>
                      </w14:textFill>
                    </w:rPr>
                  </w:pPr>
                </w:p>
              </w:tc>
              <w:tc>
                <w:tcPr>
                  <w:tcW w:w="620" w:type="dxa"/>
                  <w:vMerge w:val="continue"/>
                  <w:tcBorders>
                    <w:left w:val="single" w:color="auto" w:sz="4" w:space="0"/>
                    <w:bottom w:val="single" w:color="auto" w:sz="4" w:space="0"/>
                    <w:right w:val="single" w:color="auto" w:sz="4" w:space="0"/>
                  </w:tcBorders>
                  <w:vAlign w:val="center"/>
                </w:tcPr>
                <w:p w14:paraId="02216774">
                  <w:pPr>
                    <w:pStyle w:val="122"/>
                    <w:adjustRightInd w:val="0"/>
                    <w:snapToGrid w:val="0"/>
                    <w:rPr>
                      <w:rFonts w:eastAsiaTheme="minorEastAsia"/>
                      <w:color w:val="000000" w:themeColor="text1"/>
                      <w14:textFill>
                        <w14:solidFill>
                          <w14:schemeClr w14:val="tx1"/>
                        </w14:solidFill>
                      </w14:textFill>
                    </w:rPr>
                  </w:pPr>
                </w:p>
              </w:tc>
              <w:tc>
                <w:tcPr>
                  <w:tcW w:w="588" w:type="dxa"/>
                  <w:vMerge w:val="continue"/>
                  <w:tcBorders>
                    <w:left w:val="single" w:color="auto" w:sz="4" w:space="0"/>
                    <w:bottom w:val="single" w:color="auto" w:sz="4" w:space="0"/>
                    <w:right w:val="single" w:color="auto" w:sz="4" w:space="0"/>
                  </w:tcBorders>
                  <w:vAlign w:val="center"/>
                </w:tcPr>
                <w:p w14:paraId="568A700E">
                  <w:pPr>
                    <w:pStyle w:val="122"/>
                    <w:adjustRightInd w:val="0"/>
                    <w:snapToGrid w:val="0"/>
                    <w:rPr>
                      <w:rFonts w:eastAsiaTheme="minorEastAsia"/>
                      <w:color w:val="000000" w:themeColor="text1"/>
                      <w14:textFill>
                        <w14:solidFill>
                          <w14:schemeClr w14:val="tx1"/>
                        </w14:solidFill>
                      </w14:textFill>
                    </w:rPr>
                  </w:pPr>
                </w:p>
              </w:tc>
              <w:tc>
                <w:tcPr>
                  <w:tcW w:w="787" w:type="dxa"/>
                  <w:tcBorders>
                    <w:top w:val="single" w:color="auto" w:sz="4" w:space="0"/>
                    <w:left w:val="single" w:color="auto" w:sz="4" w:space="0"/>
                    <w:bottom w:val="single" w:color="auto" w:sz="4" w:space="0"/>
                    <w:right w:val="single" w:color="auto" w:sz="4" w:space="0"/>
                  </w:tcBorders>
                  <w:noWrap/>
                </w:tcPr>
                <w:p w14:paraId="17F9BBA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819" w:type="dxa"/>
                  <w:tcBorders>
                    <w:top w:val="single" w:color="auto" w:sz="4" w:space="0"/>
                    <w:left w:val="single" w:color="auto" w:sz="4" w:space="0"/>
                    <w:bottom w:val="single" w:color="auto" w:sz="4" w:space="0"/>
                    <w:right w:val="single" w:color="auto" w:sz="4" w:space="0"/>
                  </w:tcBorders>
                  <w:noWrap/>
                </w:tcPr>
                <w:p w14:paraId="62A0DC18">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17" w:type="dxa"/>
                  <w:vMerge w:val="continue"/>
                  <w:tcBorders>
                    <w:left w:val="single" w:color="auto" w:sz="4" w:space="0"/>
                    <w:bottom w:val="single" w:color="auto" w:sz="4" w:space="0"/>
                    <w:right w:val="single" w:color="auto" w:sz="4" w:space="0"/>
                  </w:tcBorders>
                  <w:vAlign w:val="center"/>
                </w:tcPr>
                <w:p w14:paraId="50286A2C">
                  <w:pPr>
                    <w:pStyle w:val="122"/>
                    <w:adjustRightInd w:val="0"/>
                    <w:snapToGrid w:val="0"/>
                    <w:rPr>
                      <w:rFonts w:eastAsiaTheme="minorEastAsia"/>
                      <w:color w:val="000000" w:themeColor="text1"/>
                      <w14:textFill>
                        <w14:solidFill>
                          <w14:schemeClr w14:val="tx1"/>
                        </w14:solidFill>
                      </w14:textFill>
                    </w:rPr>
                  </w:pPr>
                </w:p>
              </w:tc>
              <w:tc>
                <w:tcPr>
                  <w:tcW w:w="792" w:type="dxa"/>
                  <w:vMerge w:val="continue"/>
                  <w:tcBorders>
                    <w:left w:val="single" w:color="auto" w:sz="4" w:space="0"/>
                    <w:bottom w:val="single" w:color="auto" w:sz="4" w:space="0"/>
                    <w:right w:val="single" w:color="auto" w:sz="4" w:space="0"/>
                  </w:tcBorders>
                  <w:vAlign w:val="center"/>
                </w:tcPr>
                <w:p w14:paraId="397DF194">
                  <w:pPr>
                    <w:pStyle w:val="122"/>
                    <w:adjustRightInd w:val="0"/>
                    <w:snapToGrid w:val="0"/>
                    <w:rPr>
                      <w:rFonts w:eastAsiaTheme="minorEastAsia"/>
                      <w:color w:val="000000" w:themeColor="text1"/>
                      <w14:textFill>
                        <w14:solidFill>
                          <w14:schemeClr w14:val="tx1"/>
                        </w14:solidFill>
                      </w14:textFill>
                    </w:rPr>
                  </w:pPr>
                </w:p>
              </w:tc>
              <w:tc>
                <w:tcPr>
                  <w:tcW w:w="878" w:type="dxa"/>
                  <w:tcBorders>
                    <w:top w:val="single" w:color="auto" w:sz="4" w:space="0"/>
                    <w:left w:val="single" w:color="auto" w:sz="4" w:space="0"/>
                    <w:bottom w:val="single" w:color="auto" w:sz="4" w:space="0"/>
                    <w:right w:val="single" w:color="auto" w:sz="4" w:space="0"/>
                  </w:tcBorders>
                  <w:noWrap/>
                  <w:vAlign w:val="center"/>
                </w:tcPr>
                <w:p w14:paraId="2FA97B35">
                  <w:pPr>
                    <w:pStyle w:val="122"/>
                    <w:adjustRightInd w:val="0"/>
                    <w:snapToGrid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688" w:type="dxa"/>
                  <w:vMerge w:val="continue"/>
                  <w:tcBorders>
                    <w:left w:val="single" w:color="auto" w:sz="4" w:space="0"/>
                    <w:bottom w:val="single" w:color="auto" w:sz="4" w:space="0"/>
                    <w:right w:val="nil"/>
                  </w:tcBorders>
                  <w:vAlign w:val="center"/>
                </w:tcPr>
                <w:p w14:paraId="13E85BD3">
                  <w:pPr>
                    <w:widowControl/>
                    <w:rPr>
                      <w:rFonts w:eastAsiaTheme="minorEastAsia"/>
                      <w:color w:val="000000" w:themeColor="text1"/>
                      <w:kern w:val="0"/>
                      <w:szCs w:val="21"/>
                      <w14:textFill>
                        <w14:solidFill>
                          <w14:schemeClr w14:val="tx1"/>
                        </w14:solidFill>
                      </w14:textFill>
                    </w:rPr>
                  </w:pPr>
                </w:p>
              </w:tc>
            </w:tr>
            <w:tr w14:paraId="036BC33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46" w:type="dxa"/>
                  <w:gridSpan w:val="13"/>
                  <w:tcBorders>
                    <w:top w:val="single" w:color="auto" w:sz="4" w:space="0"/>
                    <w:left w:val="nil"/>
                    <w:bottom w:val="double" w:color="auto" w:sz="2" w:space="0"/>
                    <w:right w:val="nil"/>
                  </w:tcBorders>
                  <w:vAlign w:val="center"/>
                </w:tcPr>
                <w:p w14:paraId="224905E4">
                  <w:pPr>
                    <w:widowControl/>
                    <w:adjustRightInd w:val="0"/>
                    <w:snapToGrid w:val="0"/>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注：以生产车间西南角为坐标原点（0，0，0）。</w:t>
                  </w:r>
                </w:p>
                <w:p w14:paraId="6673CC26">
                  <w:pPr>
                    <w:widowControl/>
                    <w:adjustRightInd w:val="0"/>
                    <w:snapToGrid w:val="0"/>
                    <w:rPr>
                      <w:rFonts w:eastAsiaTheme="minorEastAsia"/>
                      <w:color w:val="000000" w:themeColor="text1"/>
                      <w:szCs w:val="21"/>
                      <w14:textFill>
                        <w14:solidFill>
                          <w14:schemeClr w14:val="tx1"/>
                        </w14:solidFill>
                      </w14:textFill>
                    </w:rPr>
                  </w:pPr>
                  <w:r>
                    <w:rPr>
                      <w:rFonts w:eastAsiaTheme="minorEastAsia"/>
                      <w:color w:val="0000FF"/>
                      <w:kern w:val="0"/>
                      <w:szCs w:val="21"/>
                    </w:rPr>
                    <w:t>本项目厂房为大型钢结构厂房，</w:t>
                  </w:r>
                  <w:r>
                    <w:rPr>
                      <w:rFonts w:eastAsiaTheme="minorEastAsia"/>
                      <w:color w:val="0000FF"/>
                      <w:sz w:val="20"/>
                      <w:szCs w:val="20"/>
                      <w:shd w:val="clear" w:color="auto" w:fill="FFFFFF"/>
                    </w:rPr>
                    <w:t>对高频声音的反射和散射能力较</w:t>
                  </w:r>
                  <w:r>
                    <w:rPr>
                      <w:rFonts w:eastAsiaTheme="minorEastAsia"/>
                      <w:color w:val="0000FF"/>
                      <w:kern w:val="0"/>
                      <w:szCs w:val="21"/>
                    </w:rPr>
                    <w:t>强，插入损失一般为1</w:t>
                  </w:r>
                  <w:r>
                    <w:rPr>
                      <w:rFonts w:eastAsiaTheme="minorEastAsia"/>
                      <w:color w:val="0000FF"/>
                      <w:sz w:val="20"/>
                      <w:szCs w:val="20"/>
                      <w:shd w:val="clear" w:color="auto" w:fill="FFFFFF"/>
                    </w:rPr>
                    <w:t>5~25dB（A），本项目取20 dB（A）。</w:t>
                  </w:r>
                </w:p>
              </w:tc>
            </w:tr>
          </w:tbl>
          <w:p w14:paraId="582D0705">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2.噪声环境影响分析</w:t>
            </w:r>
          </w:p>
          <w:p w14:paraId="5273363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本项目采用低噪声设备，并针对噪声源位置和噪声特点采用基础减振、厂房隔声、距离衰减等措施，一般采取措施后，可减少35~40dB（A）噪声。</w:t>
            </w:r>
          </w:p>
          <w:p w14:paraId="28F2B47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室内点声源对厂界噪声预测点贡献值预测模式室内声源首先换算为等效室外声源，再按各类声源模式计算。</w:t>
            </w:r>
          </w:p>
          <w:p w14:paraId="0201273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a.首先计算出某个室内声源靠近围护结构处的倍频带声压级：</w:t>
            </w:r>
          </w:p>
          <w:p w14:paraId="0149825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室内声源等效于室外声源图例见图4-3。</w:t>
            </w:r>
          </w:p>
          <w:p w14:paraId="7C19B033">
            <w:pPr>
              <w:ind w:firstLine="480"/>
              <w:jc w:val="center"/>
              <w:rPr>
                <w:rFonts w:eastAsiaTheme="minorEastAsia"/>
                <w:color w:val="000000" w:themeColor="text1"/>
                <w:sz w:val="24"/>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2406650" cy="987425"/>
                  <wp:effectExtent l="0" t="0" r="0" b="3175"/>
                  <wp:docPr id="79514118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41184" name="图片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406650" cy="987425"/>
                          </a:xfrm>
                          <a:prstGeom prst="rect">
                            <a:avLst/>
                          </a:prstGeom>
                          <a:noFill/>
                          <a:ln>
                            <a:noFill/>
                          </a:ln>
                        </pic:spPr>
                      </pic:pic>
                    </a:graphicData>
                  </a:graphic>
                </wp:inline>
              </w:drawing>
            </w:r>
          </w:p>
          <w:p w14:paraId="008983A5">
            <w:pPr>
              <w:pStyle w:val="50"/>
              <w:rPr>
                <w:color w:val="000000" w:themeColor="text1"/>
                <w14:textFill>
                  <w14:solidFill>
                    <w14:schemeClr w14:val="tx1"/>
                  </w14:solidFill>
                </w14:textFill>
              </w:rPr>
            </w:pPr>
            <w:r>
              <w:rPr>
                <w:color w:val="000000" w:themeColor="text1"/>
                <w14:textFill>
                  <w14:solidFill>
                    <w14:schemeClr w14:val="tx1"/>
                  </w14:solidFill>
                </w14:textFill>
              </w:rPr>
              <w:t>图4-3室内声源等效于室外声源图例</w:t>
            </w:r>
          </w:p>
          <w:p w14:paraId="368BFF9F">
            <w:pPr>
              <w:pStyle w:val="65"/>
              <w:spacing w:before="156"/>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源位于室内，室内声源可采用等效室外声源声功率级法进行计算。设靠近开口处（或窗户）室内、室外某倍频带的声压级或A声级分别为Lp1和Lp2。若声源所在室内声场为近似扩散声场，则室外的倍频带声压级可按下式近似求出：</w:t>
            </w:r>
          </w:p>
          <w:p w14:paraId="33DA56D2">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2245995" cy="475615"/>
                  <wp:effectExtent l="0" t="0" r="1905" b="635"/>
                  <wp:docPr id="86149080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90802" name="图片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245995" cy="475615"/>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 xml:space="preserve"> </w:t>
            </w:r>
          </w:p>
          <w:p w14:paraId="5A41965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式中：Lp1-靠近开口处（或窗户）室内某倍频带的声压级或A声级，dB；</w:t>
            </w:r>
          </w:p>
          <w:p w14:paraId="2131A8E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Lw-点声源声功率级（A计权或倍频带），dB；</w:t>
            </w:r>
          </w:p>
          <w:p w14:paraId="092A68B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r-声源到靠近围护结构某点处的距离，m；</w:t>
            </w:r>
          </w:p>
          <w:p w14:paraId="3AFFD51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Q-指向性因数；</w:t>
            </w:r>
          </w:p>
          <w:p w14:paraId="039E144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R-房间常数</w:t>
            </w:r>
            <w:r>
              <w:rPr>
                <w:rFonts w:eastAsiaTheme="minorEastAsia"/>
                <w:color w:val="000000" w:themeColor="text1"/>
                <w14:textFill>
                  <w14:solidFill>
                    <w14:schemeClr w14:val="tx1"/>
                  </w14:solidFill>
                </w14:textFill>
              </w:rPr>
              <w:drawing>
                <wp:inline distT="0" distB="0" distL="0" distR="0">
                  <wp:extent cx="1031240" cy="182880"/>
                  <wp:effectExtent l="0" t="0" r="0" b="7620"/>
                  <wp:docPr id="104989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929" name="图片 14"/>
                          <pic:cNvPicPr>
                            <a:picLocks noChangeAspect="1" noChangeArrowheads="1"/>
                          </pic:cNvPicPr>
                        </pic:nvPicPr>
                        <pic:blipFill>
                          <a:blip r:embed="rId16">
                            <a:extLst>
                              <a:ext uri="{28A0092B-C50C-407E-A947-70E740481C1C}">
                                <a14:useLocalDpi xmlns:a14="http://schemas.microsoft.com/office/drawing/2010/main" val="0"/>
                              </a:ext>
                            </a:extLst>
                          </a:blip>
                          <a:srcRect l="17543"/>
                          <a:stretch>
                            <a:fillRect/>
                          </a:stretch>
                        </pic:blipFill>
                        <pic:spPr>
                          <a:xfrm>
                            <a:off x="0" y="0"/>
                            <a:ext cx="1031494" cy="182880"/>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,S为房间内表面面积，m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，α为平均吸声系数。</w:t>
            </w:r>
          </w:p>
          <w:p w14:paraId="627C50C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b.计算出所有室内声源在靠近围护结构处产生的i倍频带叠加声压级：</w:t>
            </w:r>
          </w:p>
          <w:p w14:paraId="5634384A">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2077720" cy="504825"/>
                  <wp:effectExtent l="0" t="0" r="0" b="9525"/>
                  <wp:docPr id="13832511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51120" name="图片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77720" cy="504825"/>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 xml:space="preserve"> </w:t>
            </w:r>
          </w:p>
          <w:p w14:paraId="2C603FB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式中：Lp1i（T）-靠近围护结构处室内N个声源i倍频带的叠加声压级，dB；</w:t>
            </w:r>
          </w:p>
          <w:p w14:paraId="0379C26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Lp1ij-室内j声源i倍频带的声压级dB；</w:t>
            </w:r>
          </w:p>
          <w:p w14:paraId="7123983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N-室内声源总数。</w:t>
            </w:r>
          </w:p>
          <w:p w14:paraId="7D9496E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c.计算出室外靠近围护结构处的声压级：</w:t>
            </w:r>
          </w:p>
          <w:p w14:paraId="486D2874">
            <w:pPr>
              <w:ind w:firstLine="174" w:firstLineChars="83"/>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1938655" cy="278130"/>
                  <wp:effectExtent l="0" t="0" r="4445" b="7620"/>
                  <wp:docPr id="6284449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44923" name="图片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938655" cy="278130"/>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 xml:space="preserve"> </w:t>
            </w:r>
          </w:p>
          <w:p w14:paraId="1EB5C79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式中：Lp2i（T）—靠近围护结构处室外N个声源i倍频带的叠加声压级，dB；</w:t>
            </w:r>
          </w:p>
          <w:p w14:paraId="3EB63FA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TLi—围护结构i倍频带的隔声量，dB；</w:t>
            </w:r>
          </w:p>
          <w:p w14:paraId="70B496B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d.将室外声源的声压级和透过面积换算成等效的室外声源，计算出中心位置位于透声面积（S）处的等效声源的倍频带声功率级：</w:t>
            </w:r>
          </w:p>
          <w:p w14:paraId="5B06313C">
            <w:pPr>
              <w:ind w:firstLine="48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1609090" cy="263525"/>
                  <wp:effectExtent l="0" t="0" r="0" b="3175"/>
                  <wp:docPr id="99819176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91760" name="图片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609090" cy="263525"/>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 xml:space="preserve"> </w:t>
            </w:r>
          </w:p>
          <w:p w14:paraId="179BAD5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e.等效室外声源的位置为围护结构的位置，其倍频带声功率级为Lw，根据厂房结构（门、窗）和预测点的位置关系，分别按照面声源、线声源和点声源的衰减模式，计算预测点处的声级。假设窗户的宽度为a，高度为b，窗户个数为n；预测点距墙中心的距离为r。预测点的声级按照下述公式进行预测：</w:t>
            </w:r>
          </w:p>
          <w:p w14:paraId="4A5543E2">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3924300" cy="1343025"/>
                  <wp:effectExtent l="0" t="0" r="0" b="9525"/>
                  <wp:docPr id="14085223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22369" name="图片 18"/>
                          <pic:cNvPicPr>
                            <a:picLocks noChangeAspect="1"/>
                          </pic:cNvPicPr>
                        </pic:nvPicPr>
                        <pic:blipFill>
                          <a:blip r:embed="rId20"/>
                          <a:stretch>
                            <a:fillRect/>
                          </a:stretch>
                        </pic:blipFill>
                        <pic:spPr>
                          <a:xfrm>
                            <a:off x="0" y="0"/>
                            <a:ext cx="3924300" cy="1343025"/>
                          </a:xfrm>
                          <a:prstGeom prst="rect">
                            <a:avLst/>
                          </a:prstGeom>
                        </pic:spPr>
                      </pic:pic>
                    </a:graphicData>
                  </a:graphic>
                </wp:inline>
              </w:drawing>
            </w:r>
          </w:p>
          <w:p w14:paraId="441A232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计算总声压级</w:t>
            </w:r>
          </w:p>
          <w:p w14:paraId="39C4224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计算本工程各室外噪声源和各含噪声源厂房对各预测点噪声贡献值设第i个室外声源在预测点产生的A声级为LAi，在T时间内该声源工作时间为it；第j个等效室外声源在预测点产生的A声级为LAj，在T时间内该声源工作时间为jt，则工程声源对预测点产生的贡献值（Leqg）为：</w:t>
            </w:r>
          </w:p>
          <w:p w14:paraId="3464E394">
            <w:pPr>
              <w:ind w:firstLine="174" w:firstLineChars="83"/>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2560320" cy="497205"/>
                  <wp:effectExtent l="0" t="0" r="0" b="0"/>
                  <wp:docPr id="20435215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21527" name="图片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60320" cy="497205"/>
                          </a:xfrm>
                          <a:prstGeom prst="rect">
                            <a:avLst/>
                          </a:prstGeom>
                          <a:noFill/>
                          <a:ln>
                            <a:noFill/>
                          </a:ln>
                        </pic:spPr>
                      </pic:pic>
                    </a:graphicData>
                  </a:graphic>
                </wp:inline>
              </w:drawing>
            </w:r>
            <w:r>
              <w:rPr>
                <w:rFonts w:eastAsiaTheme="minorEastAsia"/>
                <w:color w:val="000000" w:themeColor="text1"/>
                <w14:textFill>
                  <w14:solidFill>
                    <w14:schemeClr w14:val="tx1"/>
                  </w14:solidFill>
                </w14:textFill>
              </w:rPr>
              <w:t xml:space="preserve"> </w:t>
            </w:r>
          </w:p>
          <w:p w14:paraId="1D7B650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在本次噪声源影响的计算过程中，仅考虑距离衰减这个主要衰减因素，对于声能在传播过程中受其它因素的影响（如构筑物的屏障作用，地面吸收效应）忽略不计。根据确定的声环境影响评价范围，结合拟建项目的实际位置，在拟建项目场界东面、北面、西面和南面各选取1个预测点作为噪声预测点，各厂界噪声值预测结果见下表4-17。</w:t>
            </w:r>
          </w:p>
          <w:p w14:paraId="21E09E15">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表4-17本项目噪声贡献分析表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3"/>
              <w:gridCol w:w="985"/>
              <w:gridCol w:w="1312"/>
              <w:gridCol w:w="1312"/>
              <w:gridCol w:w="820"/>
              <w:gridCol w:w="1312"/>
              <w:gridCol w:w="1148"/>
              <w:gridCol w:w="820"/>
            </w:tblGrid>
            <w:tr w14:paraId="00AD12D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restart"/>
                  <w:vAlign w:val="center"/>
                </w:tcPr>
                <w:p w14:paraId="411D56DB">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序号</w:t>
                  </w:r>
                </w:p>
              </w:tc>
              <w:tc>
                <w:tcPr>
                  <w:tcW w:w="851" w:type="dxa"/>
                  <w:vMerge w:val="restart"/>
                  <w:vAlign w:val="center"/>
                </w:tcPr>
                <w:p w14:paraId="1D99F77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点位</w:t>
                  </w:r>
                </w:p>
              </w:tc>
              <w:tc>
                <w:tcPr>
                  <w:tcW w:w="2268" w:type="dxa"/>
                  <w:gridSpan w:val="2"/>
                  <w:vAlign w:val="center"/>
                </w:tcPr>
                <w:p w14:paraId="36B8276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昼间</w:t>
                  </w:r>
                </w:p>
              </w:tc>
              <w:tc>
                <w:tcPr>
                  <w:tcW w:w="709" w:type="dxa"/>
                  <w:vMerge w:val="restart"/>
                  <w:vAlign w:val="center"/>
                </w:tcPr>
                <w:p w14:paraId="51CCDF6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达标情况</w:t>
                  </w:r>
                </w:p>
              </w:tc>
              <w:tc>
                <w:tcPr>
                  <w:tcW w:w="2126" w:type="dxa"/>
                  <w:gridSpan w:val="2"/>
                  <w:vAlign w:val="center"/>
                </w:tcPr>
                <w:p w14:paraId="3BA360B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夜间</w:t>
                  </w:r>
                </w:p>
              </w:tc>
              <w:tc>
                <w:tcPr>
                  <w:tcW w:w="709" w:type="dxa"/>
                  <w:vMerge w:val="restart"/>
                  <w:vAlign w:val="center"/>
                </w:tcPr>
                <w:p w14:paraId="05C20E59">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达标情况</w:t>
                  </w:r>
                </w:p>
              </w:tc>
            </w:tr>
            <w:tr w14:paraId="1D696EC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vAlign w:val="center"/>
                </w:tcPr>
                <w:p w14:paraId="0AB8D03F">
                  <w:pPr>
                    <w:widowControl/>
                    <w:rPr>
                      <w:rFonts w:eastAsiaTheme="minorEastAsia"/>
                      <w:bCs/>
                      <w:color w:val="000000" w:themeColor="text1"/>
                      <w:spacing w:val="-10"/>
                      <w:szCs w:val="21"/>
                      <w14:textFill>
                        <w14:solidFill>
                          <w14:schemeClr w14:val="tx1"/>
                        </w14:solidFill>
                      </w14:textFill>
                    </w:rPr>
                  </w:pPr>
                </w:p>
              </w:tc>
              <w:tc>
                <w:tcPr>
                  <w:tcW w:w="851" w:type="dxa"/>
                  <w:vMerge w:val="continue"/>
                  <w:vAlign w:val="center"/>
                </w:tcPr>
                <w:p w14:paraId="6F19CA51">
                  <w:pPr>
                    <w:widowControl/>
                    <w:rPr>
                      <w:rFonts w:eastAsiaTheme="minorEastAsia"/>
                      <w:bCs/>
                      <w:color w:val="000000" w:themeColor="text1"/>
                      <w:spacing w:val="-10"/>
                      <w:szCs w:val="21"/>
                      <w14:textFill>
                        <w14:solidFill>
                          <w14:schemeClr w14:val="tx1"/>
                        </w14:solidFill>
                      </w14:textFill>
                    </w:rPr>
                  </w:pPr>
                </w:p>
              </w:tc>
              <w:tc>
                <w:tcPr>
                  <w:tcW w:w="1134" w:type="dxa"/>
                  <w:vAlign w:val="center"/>
                </w:tcPr>
                <w:p w14:paraId="4B736B11">
                  <w:pPr>
                    <w:widowControl/>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贡献值/dB（A）</w:t>
                  </w:r>
                </w:p>
              </w:tc>
              <w:tc>
                <w:tcPr>
                  <w:tcW w:w="1134" w:type="dxa"/>
                  <w:vAlign w:val="center"/>
                </w:tcPr>
                <w:p w14:paraId="25DF411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标准值/dB（A）</w:t>
                  </w:r>
                </w:p>
              </w:tc>
              <w:tc>
                <w:tcPr>
                  <w:tcW w:w="709" w:type="dxa"/>
                  <w:vMerge w:val="continue"/>
                  <w:vAlign w:val="center"/>
                </w:tcPr>
                <w:p w14:paraId="00D202DB">
                  <w:pPr>
                    <w:widowControl/>
                    <w:rPr>
                      <w:rFonts w:eastAsiaTheme="minorEastAsia"/>
                      <w:bCs/>
                      <w:color w:val="000000" w:themeColor="text1"/>
                      <w:spacing w:val="-10"/>
                      <w:szCs w:val="21"/>
                      <w14:textFill>
                        <w14:solidFill>
                          <w14:schemeClr w14:val="tx1"/>
                        </w14:solidFill>
                      </w14:textFill>
                    </w:rPr>
                  </w:pPr>
                </w:p>
              </w:tc>
              <w:tc>
                <w:tcPr>
                  <w:tcW w:w="1134" w:type="dxa"/>
                  <w:vAlign w:val="center"/>
                </w:tcPr>
                <w:p w14:paraId="13C42EB4">
                  <w:pPr>
                    <w:widowControl/>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贡献值/dB（A）</w:t>
                  </w:r>
                </w:p>
              </w:tc>
              <w:tc>
                <w:tcPr>
                  <w:tcW w:w="992" w:type="dxa"/>
                  <w:vAlign w:val="center"/>
                </w:tcPr>
                <w:p w14:paraId="68406A22">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标准值/dB（A）</w:t>
                  </w:r>
                </w:p>
              </w:tc>
              <w:tc>
                <w:tcPr>
                  <w:tcW w:w="709" w:type="dxa"/>
                  <w:vMerge w:val="continue"/>
                  <w:vAlign w:val="center"/>
                </w:tcPr>
                <w:p w14:paraId="0A348F48">
                  <w:pPr>
                    <w:widowControl/>
                    <w:rPr>
                      <w:rFonts w:eastAsiaTheme="minorEastAsia"/>
                      <w:bCs/>
                      <w:color w:val="000000" w:themeColor="text1"/>
                      <w:spacing w:val="-10"/>
                      <w:szCs w:val="21"/>
                      <w14:textFill>
                        <w14:solidFill>
                          <w14:schemeClr w14:val="tx1"/>
                        </w14:solidFill>
                      </w14:textFill>
                    </w:rPr>
                  </w:pPr>
                </w:p>
              </w:tc>
            </w:tr>
            <w:tr w14:paraId="0AC5DC1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Align w:val="center"/>
                </w:tcPr>
                <w:p w14:paraId="70CAEBC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1</w:t>
                  </w:r>
                </w:p>
              </w:tc>
              <w:tc>
                <w:tcPr>
                  <w:tcW w:w="851" w:type="dxa"/>
                  <w:vAlign w:val="center"/>
                </w:tcPr>
                <w:p w14:paraId="33C33ECE">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东厂界</w:t>
                  </w:r>
                </w:p>
              </w:tc>
              <w:tc>
                <w:tcPr>
                  <w:tcW w:w="1134" w:type="dxa"/>
                  <w:vAlign w:val="center"/>
                </w:tcPr>
                <w:p w14:paraId="644D29B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44.02</w:t>
                  </w:r>
                </w:p>
              </w:tc>
              <w:tc>
                <w:tcPr>
                  <w:tcW w:w="1134" w:type="dxa"/>
                  <w:vAlign w:val="center"/>
                </w:tcPr>
                <w:p w14:paraId="7F4568B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709" w:type="dxa"/>
                  <w:vAlign w:val="center"/>
                </w:tcPr>
                <w:p w14:paraId="24CFAA52">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134" w:type="dxa"/>
                  <w:vAlign w:val="center"/>
                </w:tcPr>
                <w:p w14:paraId="4DC5E447">
                  <w:pPr>
                    <w:adjustRightInd w:val="0"/>
                    <w:snapToGrid w:val="0"/>
                    <w:jc w:val="center"/>
                    <w:rPr>
                      <w:rFonts w:eastAsiaTheme="minorEastAsia"/>
                      <w:bCs/>
                      <w:color w:val="0000FF"/>
                      <w:spacing w:val="-10"/>
                      <w:szCs w:val="21"/>
                    </w:rPr>
                  </w:pPr>
                  <w:r>
                    <w:rPr>
                      <w:rFonts w:eastAsiaTheme="minorEastAsia"/>
                      <w:color w:val="0000FF"/>
                      <w:sz w:val="22"/>
                      <w:szCs w:val="22"/>
                    </w:rPr>
                    <w:t>44.02</w:t>
                  </w:r>
                </w:p>
              </w:tc>
              <w:tc>
                <w:tcPr>
                  <w:tcW w:w="992" w:type="dxa"/>
                  <w:vAlign w:val="center"/>
                </w:tcPr>
                <w:p w14:paraId="3BD3657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709" w:type="dxa"/>
                  <w:vAlign w:val="center"/>
                </w:tcPr>
                <w:p w14:paraId="37E9434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78C8755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Align w:val="center"/>
                </w:tcPr>
                <w:p w14:paraId="6399697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2</w:t>
                  </w:r>
                </w:p>
              </w:tc>
              <w:tc>
                <w:tcPr>
                  <w:tcW w:w="851" w:type="dxa"/>
                  <w:vAlign w:val="center"/>
                </w:tcPr>
                <w:p w14:paraId="0F7112BE">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南厂界</w:t>
                  </w:r>
                </w:p>
              </w:tc>
              <w:tc>
                <w:tcPr>
                  <w:tcW w:w="1134" w:type="dxa"/>
                  <w:vAlign w:val="center"/>
                </w:tcPr>
                <w:p w14:paraId="7FE8C22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34.95</w:t>
                  </w:r>
                </w:p>
              </w:tc>
              <w:tc>
                <w:tcPr>
                  <w:tcW w:w="1134" w:type="dxa"/>
                  <w:vAlign w:val="center"/>
                </w:tcPr>
                <w:p w14:paraId="1F6E8A00">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709" w:type="dxa"/>
                  <w:vAlign w:val="center"/>
                </w:tcPr>
                <w:p w14:paraId="6EB0DE7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134" w:type="dxa"/>
                  <w:vAlign w:val="center"/>
                </w:tcPr>
                <w:p w14:paraId="12536B7A">
                  <w:pPr>
                    <w:adjustRightInd w:val="0"/>
                    <w:snapToGrid w:val="0"/>
                    <w:jc w:val="center"/>
                    <w:rPr>
                      <w:rFonts w:eastAsiaTheme="minorEastAsia"/>
                      <w:bCs/>
                      <w:color w:val="0000FF"/>
                      <w:spacing w:val="-10"/>
                      <w:szCs w:val="21"/>
                    </w:rPr>
                  </w:pPr>
                  <w:r>
                    <w:rPr>
                      <w:rFonts w:eastAsiaTheme="minorEastAsia"/>
                      <w:color w:val="0000FF"/>
                      <w:sz w:val="22"/>
                      <w:szCs w:val="22"/>
                    </w:rPr>
                    <w:t>34.95</w:t>
                  </w:r>
                </w:p>
              </w:tc>
              <w:tc>
                <w:tcPr>
                  <w:tcW w:w="992" w:type="dxa"/>
                  <w:vAlign w:val="center"/>
                </w:tcPr>
                <w:p w14:paraId="254EDEB2">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709" w:type="dxa"/>
                  <w:vAlign w:val="center"/>
                </w:tcPr>
                <w:p w14:paraId="5DC20F0E">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174A5B6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Align w:val="center"/>
                </w:tcPr>
                <w:p w14:paraId="3D4B2C2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3</w:t>
                  </w:r>
                </w:p>
              </w:tc>
              <w:tc>
                <w:tcPr>
                  <w:tcW w:w="851" w:type="dxa"/>
                  <w:vAlign w:val="center"/>
                </w:tcPr>
                <w:p w14:paraId="07E8C270">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西厂界</w:t>
                  </w:r>
                </w:p>
              </w:tc>
              <w:tc>
                <w:tcPr>
                  <w:tcW w:w="1134" w:type="dxa"/>
                  <w:vAlign w:val="center"/>
                </w:tcPr>
                <w:p w14:paraId="0777EB0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45.27</w:t>
                  </w:r>
                </w:p>
              </w:tc>
              <w:tc>
                <w:tcPr>
                  <w:tcW w:w="1134" w:type="dxa"/>
                  <w:vAlign w:val="center"/>
                </w:tcPr>
                <w:p w14:paraId="1E7F2E34">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709" w:type="dxa"/>
                  <w:vAlign w:val="center"/>
                </w:tcPr>
                <w:p w14:paraId="101C3425">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134" w:type="dxa"/>
                  <w:vAlign w:val="center"/>
                </w:tcPr>
                <w:p w14:paraId="25092C36">
                  <w:pPr>
                    <w:adjustRightInd w:val="0"/>
                    <w:snapToGrid w:val="0"/>
                    <w:jc w:val="center"/>
                    <w:rPr>
                      <w:rFonts w:eastAsiaTheme="minorEastAsia"/>
                      <w:bCs/>
                      <w:color w:val="0000FF"/>
                      <w:spacing w:val="-10"/>
                      <w:szCs w:val="21"/>
                    </w:rPr>
                  </w:pPr>
                  <w:r>
                    <w:rPr>
                      <w:rFonts w:eastAsiaTheme="minorEastAsia"/>
                      <w:color w:val="0000FF"/>
                      <w:sz w:val="22"/>
                      <w:szCs w:val="22"/>
                    </w:rPr>
                    <w:t>45.27</w:t>
                  </w:r>
                </w:p>
              </w:tc>
              <w:tc>
                <w:tcPr>
                  <w:tcW w:w="992" w:type="dxa"/>
                  <w:vAlign w:val="center"/>
                </w:tcPr>
                <w:p w14:paraId="6BF1D30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709" w:type="dxa"/>
                  <w:vAlign w:val="center"/>
                </w:tcPr>
                <w:p w14:paraId="3738C0D4">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3EEAEFB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Align w:val="center"/>
                </w:tcPr>
                <w:p w14:paraId="1AA18F2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4</w:t>
                  </w:r>
                </w:p>
              </w:tc>
              <w:tc>
                <w:tcPr>
                  <w:tcW w:w="851" w:type="dxa"/>
                  <w:vAlign w:val="center"/>
                </w:tcPr>
                <w:p w14:paraId="42FEAED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北厂界</w:t>
                  </w:r>
                </w:p>
              </w:tc>
              <w:tc>
                <w:tcPr>
                  <w:tcW w:w="1134" w:type="dxa"/>
                  <w:vAlign w:val="center"/>
                </w:tcPr>
                <w:p w14:paraId="3F86C48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 w:val="22"/>
                      <w:szCs w:val="22"/>
                      <w14:textFill>
                        <w14:solidFill>
                          <w14:schemeClr w14:val="tx1"/>
                        </w14:solidFill>
                      </w14:textFill>
                    </w:rPr>
                    <w:t>40.3</w:t>
                  </w:r>
                </w:p>
              </w:tc>
              <w:tc>
                <w:tcPr>
                  <w:tcW w:w="1134" w:type="dxa"/>
                  <w:vAlign w:val="center"/>
                </w:tcPr>
                <w:p w14:paraId="302F2985">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709" w:type="dxa"/>
                  <w:vAlign w:val="center"/>
                </w:tcPr>
                <w:p w14:paraId="1C58940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134" w:type="dxa"/>
                  <w:vAlign w:val="center"/>
                </w:tcPr>
                <w:p w14:paraId="0D34B488">
                  <w:pPr>
                    <w:adjustRightInd w:val="0"/>
                    <w:snapToGrid w:val="0"/>
                    <w:jc w:val="center"/>
                    <w:rPr>
                      <w:rFonts w:eastAsiaTheme="minorEastAsia"/>
                      <w:bCs/>
                      <w:color w:val="0000FF"/>
                      <w:spacing w:val="-10"/>
                      <w:szCs w:val="21"/>
                    </w:rPr>
                  </w:pPr>
                  <w:r>
                    <w:rPr>
                      <w:rFonts w:eastAsiaTheme="minorEastAsia"/>
                      <w:color w:val="0000FF"/>
                      <w:sz w:val="22"/>
                      <w:szCs w:val="22"/>
                    </w:rPr>
                    <w:t>40.3</w:t>
                  </w:r>
                </w:p>
              </w:tc>
              <w:tc>
                <w:tcPr>
                  <w:tcW w:w="992" w:type="dxa"/>
                  <w:vAlign w:val="center"/>
                </w:tcPr>
                <w:p w14:paraId="39FE77E9">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709" w:type="dxa"/>
                  <w:vAlign w:val="center"/>
                </w:tcPr>
                <w:p w14:paraId="724AE974">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bl>
          <w:p w14:paraId="55FC156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本项目运营期厂界执行《工业企业厂界环境噪声排放标准》（GB 12348-2008）3类标准，环境现状噪声监测结果见表4-18。</w:t>
            </w:r>
          </w:p>
          <w:p w14:paraId="42CCFD69">
            <w:pPr>
              <w:pStyle w:val="65"/>
              <w:ind w:firstLine="480"/>
              <w:rPr>
                <w:rFonts w:eastAsiaTheme="minorEastAsia"/>
                <w:color w:val="000000" w:themeColor="text1"/>
                <w14:textFill>
                  <w14:solidFill>
                    <w14:schemeClr w14:val="tx1"/>
                  </w14:solidFill>
                </w14:textFill>
              </w:rPr>
            </w:pPr>
          </w:p>
          <w:p w14:paraId="4D227072">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表4-18厂界噪声监测表</w:t>
            </w:r>
          </w:p>
          <w:tbl>
            <w:tblPr>
              <w:tblStyle w:val="35"/>
              <w:tblW w:w="8185"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482"/>
              <w:gridCol w:w="1023"/>
              <w:gridCol w:w="1023"/>
              <w:gridCol w:w="1023"/>
              <w:gridCol w:w="1023"/>
              <w:gridCol w:w="1023"/>
              <w:gridCol w:w="1024"/>
            </w:tblGrid>
            <w:tr w14:paraId="51B1B12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restart"/>
                  <w:tcBorders>
                    <w:top w:val="double" w:color="auto" w:sz="2" w:space="0"/>
                    <w:left w:val="nil"/>
                    <w:bottom w:val="single" w:color="auto" w:sz="4" w:space="0"/>
                    <w:right w:val="single" w:color="auto" w:sz="4" w:space="0"/>
                  </w:tcBorders>
                  <w:vAlign w:val="center"/>
                </w:tcPr>
                <w:p w14:paraId="3D40B44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序号</w:t>
                  </w:r>
                </w:p>
              </w:tc>
              <w:tc>
                <w:tcPr>
                  <w:tcW w:w="1482" w:type="dxa"/>
                  <w:vMerge w:val="restart"/>
                  <w:tcBorders>
                    <w:top w:val="double" w:color="auto" w:sz="2" w:space="0"/>
                    <w:left w:val="single" w:color="auto" w:sz="4" w:space="0"/>
                    <w:bottom w:val="single" w:color="auto" w:sz="4" w:space="0"/>
                    <w:right w:val="single" w:color="auto" w:sz="4" w:space="0"/>
                  </w:tcBorders>
                  <w:vAlign w:val="center"/>
                </w:tcPr>
                <w:p w14:paraId="76520DF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点位</w:t>
                  </w:r>
                </w:p>
              </w:tc>
              <w:tc>
                <w:tcPr>
                  <w:tcW w:w="2046" w:type="dxa"/>
                  <w:gridSpan w:val="2"/>
                  <w:tcBorders>
                    <w:top w:val="double" w:color="auto" w:sz="2" w:space="0"/>
                    <w:left w:val="single" w:color="auto" w:sz="4" w:space="0"/>
                    <w:bottom w:val="single" w:color="auto" w:sz="4" w:space="0"/>
                    <w:right w:val="single" w:color="auto" w:sz="4" w:space="0"/>
                  </w:tcBorders>
                  <w:vAlign w:val="center"/>
                </w:tcPr>
                <w:p w14:paraId="44EDCF2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昼间</w:t>
                  </w:r>
                </w:p>
              </w:tc>
              <w:tc>
                <w:tcPr>
                  <w:tcW w:w="1023" w:type="dxa"/>
                  <w:vMerge w:val="restart"/>
                  <w:tcBorders>
                    <w:top w:val="double" w:color="auto" w:sz="2" w:space="0"/>
                    <w:left w:val="single" w:color="auto" w:sz="4" w:space="0"/>
                    <w:bottom w:val="single" w:color="auto" w:sz="4" w:space="0"/>
                    <w:right w:val="single" w:color="auto" w:sz="4" w:space="0"/>
                  </w:tcBorders>
                  <w:vAlign w:val="center"/>
                </w:tcPr>
                <w:p w14:paraId="723228F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达标情况</w:t>
                  </w:r>
                </w:p>
              </w:tc>
              <w:tc>
                <w:tcPr>
                  <w:tcW w:w="2046" w:type="dxa"/>
                  <w:gridSpan w:val="2"/>
                  <w:tcBorders>
                    <w:top w:val="double" w:color="auto" w:sz="2" w:space="0"/>
                    <w:left w:val="single" w:color="auto" w:sz="4" w:space="0"/>
                    <w:bottom w:val="nil"/>
                    <w:right w:val="single" w:color="auto" w:sz="4" w:space="0"/>
                  </w:tcBorders>
                  <w:vAlign w:val="center"/>
                </w:tcPr>
                <w:p w14:paraId="095BA032">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夜间</w:t>
                  </w:r>
                </w:p>
              </w:tc>
              <w:tc>
                <w:tcPr>
                  <w:tcW w:w="1024" w:type="dxa"/>
                  <w:vMerge w:val="restart"/>
                  <w:tcBorders>
                    <w:top w:val="double" w:color="auto" w:sz="2" w:space="0"/>
                    <w:left w:val="single" w:color="auto" w:sz="4" w:space="0"/>
                    <w:bottom w:val="single" w:color="auto" w:sz="4" w:space="0"/>
                    <w:right w:val="nil"/>
                  </w:tcBorders>
                  <w:vAlign w:val="center"/>
                </w:tcPr>
                <w:p w14:paraId="1B1D64D3">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达标情况</w:t>
                  </w:r>
                </w:p>
              </w:tc>
            </w:tr>
            <w:tr w14:paraId="38E174A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vMerge w:val="continue"/>
                  <w:tcBorders>
                    <w:top w:val="double" w:color="auto" w:sz="2" w:space="0"/>
                    <w:left w:val="nil"/>
                    <w:bottom w:val="single" w:color="auto" w:sz="4" w:space="0"/>
                    <w:right w:val="single" w:color="auto" w:sz="4" w:space="0"/>
                  </w:tcBorders>
                  <w:vAlign w:val="center"/>
                </w:tcPr>
                <w:p w14:paraId="28E59EA7">
                  <w:pPr>
                    <w:widowControl/>
                    <w:rPr>
                      <w:rFonts w:eastAsiaTheme="minorEastAsia"/>
                      <w:bCs/>
                      <w:color w:val="000000" w:themeColor="text1"/>
                      <w:spacing w:val="-10"/>
                      <w:szCs w:val="21"/>
                      <w14:textFill>
                        <w14:solidFill>
                          <w14:schemeClr w14:val="tx1"/>
                        </w14:solidFill>
                      </w14:textFill>
                    </w:rPr>
                  </w:pPr>
                </w:p>
              </w:tc>
              <w:tc>
                <w:tcPr>
                  <w:tcW w:w="1482" w:type="dxa"/>
                  <w:vMerge w:val="continue"/>
                  <w:tcBorders>
                    <w:top w:val="double" w:color="auto" w:sz="2" w:space="0"/>
                    <w:left w:val="single" w:color="auto" w:sz="4" w:space="0"/>
                    <w:bottom w:val="single" w:color="auto" w:sz="4" w:space="0"/>
                    <w:right w:val="single" w:color="auto" w:sz="4" w:space="0"/>
                  </w:tcBorders>
                  <w:vAlign w:val="center"/>
                </w:tcPr>
                <w:p w14:paraId="0C0427B7">
                  <w:pPr>
                    <w:widowControl/>
                    <w:rPr>
                      <w:rFonts w:eastAsiaTheme="minorEastAsia"/>
                      <w:bCs/>
                      <w:color w:val="000000" w:themeColor="text1"/>
                      <w:spacing w:val="-10"/>
                      <w:szCs w:val="21"/>
                      <w14:textFill>
                        <w14:solidFill>
                          <w14:schemeClr w14:val="tx1"/>
                        </w14:solidFill>
                      </w14:textFill>
                    </w:rPr>
                  </w:pPr>
                </w:p>
              </w:tc>
              <w:tc>
                <w:tcPr>
                  <w:tcW w:w="1023" w:type="dxa"/>
                  <w:tcBorders>
                    <w:top w:val="single" w:color="auto" w:sz="4" w:space="0"/>
                    <w:left w:val="single" w:color="auto" w:sz="4" w:space="0"/>
                    <w:bottom w:val="single" w:color="auto" w:sz="4" w:space="0"/>
                    <w:right w:val="single" w:color="auto" w:sz="4" w:space="0"/>
                  </w:tcBorders>
                  <w:vAlign w:val="center"/>
                </w:tcPr>
                <w:p w14:paraId="1674500E">
                  <w:pPr>
                    <w:widowControl/>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监测值/dB（A）</w:t>
                  </w:r>
                </w:p>
              </w:tc>
              <w:tc>
                <w:tcPr>
                  <w:tcW w:w="1023" w:type="dxa"/>
                  <w:tcBorders>
                    <w:top w:val="single" w:color="auto" w:sz="4" w:space="0"/>
                    <w:left w:val="single" w:color="auto" w:sz="4" w:space="0"/>
                    <w:bottom w:val="single" w:color="auto" w:sz="4" w:space="0"/>
                    <w:right w:val="single" w:color="auto" w:sz="4" w:space="0"/>
                  </w:tcBorders>
                  <w:vAlign w:val="center"/>
                </w:tcPr>
                <w:p w14:paraId="072FE1E3">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标准值/dB（A）</w:t>
                  </w:r>
                </w:p>
              </w:tc>
              <w:tc>
                <w:tcPr>
                  <w:tcW w:w="1023" w:type="dxa"/>
                  <w:vMerge w:val="continue"/>
                  <w:tcBorders>
                    <w:top w:val="double" w:color="auto" w:sz="2" w:space="0"/>
                    <w:left w:val="single" w:color="auto" w:sz="4" w:space="0"/>
                    <w:bottom w:val="single" w:color="auto" w:sz="4" w:space="0"/>
                    <w:right w:val="single" w:color="auto" w:sz="4" w:space="0"/>
                  </w:tcBorders>
                  <w:vAlign w:val="center"/>
                </w:tcPr>
                <w:p w14:paraId="52F968CD">
                  <w:pPr>
                    <w:widowControl/>
                    <w:rPr>
                      <w:rFonts w:eastAsiaTheme="minorEastAsia"/>
                      <w:bCs/>
                      <w:color w:val="000000" w:themeColor="text1"/>
                      <w:spacing w:val="-10"/>
                      <w:szCs w:val="21"/>
                      <w14:textFill>
                        <w14:solidFill>
                          <w14:schemeClr w14:val="tx1"/>
                        </w14:solidFill>
                      </w14:textFill>
                    </w:rPr>
                  </w:pPr>
                </w:p>
              </w:tc>
              <w:tc>
                <w:tcPr>
                  <w:tcW w:w="1023" w:type="dxa"/>
                  <w:tcBorders>
                    <w:top w:val="single" w:color="auto" w:sz="4" w:space="0"/>
                    <w:left w:val="single" w:color="auto" w:sz="4" w:space="0"/>
                    <w:bottom w:val="single" w:color="auto" w:sz="4" w:space="0"/>
                    <w:right w:val="single" w:color="auto" w:sz="4" w:space="0"/>
                  </w:tcBorders>
                  <w:vAlign w:val="center"/>
                </w:tcPr>
                <w:p w14:paraId="4536682C">
                  <w:pPr>
                    <w:widowControl/>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监测值/dB（A）</w:t>
                  </w:r>
                </w:p>
              </w:tc>
              <w:tc>
                <w:tcPr>
                  <w:tcW w:w="1023" w:type="dxa"/>
                  <w:tcBorders>
                    <w:top w:val="single" w:color="auto" w:sz="4" w:space="0"/>
                    <w:left w:val="single" w:color="auto" w:sz="4" w:space="0"/>
                    <w:bottom w:val="single" w:color="auto" w:sz="4" w:space="0"/>
                    <w:right w:val="single" w:color="auto" w:sz="4" w:space="0"/>
                  </w:tcBorders>
                  <w:vAlign w:val="center"/>
                </w:tcPr>
                <w:p w14:paraId="534748C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标准值/dB（A）</w:t>
                  </w:r>
                </w:p>
              </w:tc>
              <w:tc>
                <w:tcPr>
                  <w:tcW w:w="1024" w:type="dxa"/>
                  <w:vMerge w:val="continue"/>
                  <w:tcBorders>
                    <w:top w:val="double" w:color="auto" w:sz="2" w:space="0"/>
                    <w:left w:val="single" w:color="auto" w:sz="4" w:space="0"/>
                    <w:bottom w:val="single" w:color="auto" w:sz="4" w:space="0"/>
                    <w:right w:val="nil"/>
                  </w:tcBorders>
                  <w:vAlign w:val="center"/>
                </w:tcPr>
                <w:p w14:paraId="70C10B75">
                  <w:pPr>
                    <w:widowControl/>
                    <w:rPr>
                      <w:rFonts w:eastAsiaTheme="minorEastAsia"/>
                      <w:bCs/>
                      <w:color w:val="000000" w:themeColor="text1"/>
                      <w:spacing w:val="-10"/>
                      <w:szCs w:val="21"/>
                      <w14:textFill>
                        <w14:solidFill>
                          <w14:schemeClr w14:val="tx1"/>
                        </w14:solidFill>
                      </w14:textFill>
                    </w:rPr>
                  </w:pPr>
                </w:p>
              </w:tc>
            </w:tr>
            <w:tr w14:paraId="4AA0153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tcBorders>
                    <w:top w:val="single" w:color="auto" w:sz="4" w:space="0"/>
                    <w:left w:val="nil"/>
                    <w:bottom w:val="single" w:color="auto" w:sz="4" w:space="0"/>
                    <w:right w:val="single" w:color="auto" w:sz="4" w:space="0"/>
                  </w:tcBorders>
                  <w:vAlign w:val="center"/>
                </w:tcPr>
                <w:p w14:paraId="3C45DD5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1</w:t>
                  </w:r>
                </w:p>
              </w:tc>
              <w:tc>
                <w:tcPr>
                  <w:tcW w:w="1482" w:type="dxa"/>
                  <w:tcBorders>
                    <w:top w:val="single" w:color="auto" w:sz="4" w:space="0"/>
                    <w:left w:val="single" w:color="auto" w:sz="4" w:space="0"/>
                    <w:bottom w:val="single" w:color="auto" w:sz="4" w:space="0"/>
                    <w:right w:val="single" w:color="auto" w:sz="4" w:space="0"/>
                  </w:tcBorders>
                  <w:vAlign w:val="center"/>
                </w:tcPr>
                <w:p w14:paraId="5F498AA1">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东厂界</w:t>
                  </w:r>
                </w:p>
              </w:tc>
              <w:tc>
                <w:tcPr>
                  <w:tcW w:w="1023" w:type="dxa"/>
                  <w:tcBorders>
                    <w:top w:val="single" w:color="auto" w:sz="4" w:space="0"/>
                    <w:left w:val="single" w:color="auto" w:sz="4" w:space="0"/>
                    <w:bottom w:val="single" w:color="auto" w:sz="4" w:space="0"/>
                    <w:right w:val="single" w:color="auto" w:sz="4" w:space="0"/>
                  </w:tcBorders>
                  <w:vAlign w:val="center"/>
                </w:tcPr>
                <w:p w14:paraId="23582086">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53</w:t>
                  </w:r>
                </w:p>
              </w:tc>
              <w:tc>
                <w:tcPr>
                  <w:tcW w:w="1023" w:type="dxa"/>
                  <w:tcBorders>
                    <w:top w:val="single" w:color="auto" w:sz="4" w:space="0"/>
                    <w:left w:val="single" w:color="auto" w:sz="4" w:space="0"/>
                    <w:bottom w:val="single" w:color="auto" w:sz="4" w:space="0"/>
                    <w:right w:val="single" w:color="auto" w:sz="4" w:space="0"/>
                  </w:tcBorders>
                  <w:vAlign w:val="center"/>
                </w:tcPr>
                <w:p w14:paraId="06E48CF3">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1023" w:type="dxa"/>
                  <w:tcBorders>
                    <w:top w:val="single" w:color="auto" w:sz="4" w:space="0"/>
                    <w:left w:val="single" w:color="auto" w:sz="4" w:space="0"/>
                    <w:bottom w:val="single" w:color="auto" w:sz="4" w:space="0"/>
                    <w:right w:val="single" w:color="auto" w:sz="4" w:space="0"/>
                  </w:tcBorders>
                  <w:vAlign w:val="center"/>
                </w:tcPr>
                <w:p w14:paraId="08FFF8B5">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023" w:type="dxa"/>
                  <w:tcBorders>
                    <w:top w:val="single" w:color="auto" w:sz="4" w:space="0"/>
                    <w:left w:val="single" w:color="auto" w:sz="4" w:space="0"/>
                    <w:bottom w:val="single" w:color="auto" w:sz="4" w:space="0"/>
                    <w:right w:val="single" w:color="auto" w:sz="4" w:space="0"/>
                  </w:tcBorders>
                  <w:vAlign w:val="center"/>
                </w:tcPr>
                <w:p w14:paraId="5EF4F498">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44</w:t>
                  </w:r>
                </w:p>
              </w:tc>
              <w:tc>
                <w:tcPr>
                  <w:tcW w:w="1023" w:type="dxa"/>
                  <w:tcBorders>
                    <w:top w:val="single" w:color="auto" w:sz="4" w:space="0"/>
                    <w:left w:val="single" w:color="auto" w:sz="4" w:space="0"/>
                    <w:bottom w:val="single" w:color="auto" w:sz="4" w:space="0"/>
                    <w:right w:val="single" w:color="auto" w:sz="4" w:space="0"/>
                  </w:tcBorders>
                  <w:vAlign w:val="center"/>
                </w:tcPr>
                <w:p w14:paraId="765857F0">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1024" w:type="dxa"/>
                  <w:tcBorders>
                    <w:top w:val="single" w:color="auto" w:sz="4" w:space="0"/>
                    <w:left w:val="single" w:color="auto" w:sz="4" w:space="0"/>
                    <w:bottom w:val="single" w:color="auto" w:sz="4" w:space="0"/>
                    <w:right w:val="nil"/>
                  </w:tcBorders>
                  <w:vAlign w:val="center"/>
                </w:tcPr>
                <w:p w14:paraId="36328188">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51ADB0C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tcBorders>
                    <w:top w:val="single" w:color="auto" w:sz="4" w:space="0"/>
                    <w:left w:val="nil"/>
                    <w:bottom w:val="single" w:color="auto" w:sz="4" w:space="0"/>
                    <w:right w:val="single" w:color="auto" w:sz="4" w:space="0"/>
                  </w:tcBorders>
                  <w:vAlign w:val="center"/>
                </w:tcPr>
                <w:p w14:paraId="7A5BFFB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2</w:t>
                  </w:r>
                </w:p>
              </w:tc>
              <w:tc>
                <w:tcPr>
                  <w:tcW w:w="1482" w:type="dxa"/>
                  <w:tcBorders>
                    <w:top w:val="single" w:color="auto" w:sz="4" w:space="0"/>
                    <w:left w:val="single" w:color="auto" w:sz="4" w:space="0"/>
                    <w:bottom w:val="single" w:color="auto" w:sz="4" w:space="0"/>
                    <w:right w:val="single" w:color="auto" w:sz="4" w:space="0"/>
                  </w:tcBorders>
                  <w:vAlign w:val="center"/>
                </w:tcPr>
                <w:p w14:paraId="366E8DB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南厂界</w:t>
                  </w:r>
                </w:p>
              </w:tc>
              <w:tc>
                <w:tcPr>
                  <w:tcW w:w="1023" w:type="dxa"/>
                  <w:tcBorders>
                    <w:top w:val="single" w:color="auto" w:sz="4" w:space="0"/>
                    <w:left w:val="single" w:color="auto" w:sz="4" w:space="0"/>
                    <w:bottom w:val="single" w:color="auto" w:sz="4" w:space="0"/>
                    <w:right w:val="single" w:color="auto" w:sz="4" w:space="0"/>
                  </w:tcBorders>
                </w:tcPr>
                <w:p w14:paraId="4A3F64CB">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53</w:t>
                  </w:r>
                </w:p>
              </w:tc>
              <w:tc>
                <w:tcPr>
                  <w:tcW w:w="1023" w:type="dxa"/>
                  <w:tcBorders>
                    <w:top w:val="single" w:color="auto" w:sz="4" w:space="0"/>
                    <w:left w:val="single" w:color="auto" w:sz="4" w:space="0"/>
                    <w:bottom w:val="single" w:color="auto" w:sz="4" w:space="0"/>
                    <w:right w:val="single" w:color="auto" w:sz="4" w:space="0"/>
                  </w:tcBorders>
                  <w:vAlign w:val="center"/>
                </w:tcPr>
                <w:p w14:paraId="7D0AAC3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1023" w:type="dxa"/>
                  <w:tcBorders>
                    <w:top w:val="single" w:color="auto" w:sz="4" w:space="0"/>
                    <w:left w:val="single" w:color="auto" w:sz="4" w:space="0"/>
                    <w:bottom w:val="single" w:color="auto" w:sz="4" w:space="0"/>
                    <w:right w:val="single" w:color="auto" w:sz="4" w:space="0"/>
                  </w:tcBorders>
                  <w:vAlign w:val="center"/>
                </w:tcPr>
                <w:p w14:paraId="1D7EA0F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023" w:type="dxa"/>
                  <w:tcBorders>
                    <w:top w:val="single" w:color="auto" w:sz="4" w:space="0"/>
                    <w:left w:val="single" w:color="auto" w:sz="4" w:space="0"/>
                    <w:bottom w:val="single" w:color="auto" w:sz="4" w:space="0"/>
                    <w:right w:val="single" w:color="auto" w:sz="4" w:space="0"/>
                  </w:tcBorders>
                  <w:vAlign w:val="center"/>
                </w:tcPr>
                <w:p w14:paraId="1DF1E080">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43</w:t>
                  </w:r>
                </w:p>
              </w:tc>
              <w:tc>
                <w:tcPr>
                  <w:tcW w:w="1023" w:type="dxa"/>
                  <w:tcBorders>
                    <w:top w:val="single" w:color="auto" w:sz="4" w:space="0"/>
                    <w:left w:val="single" w:color="auto" w:sz="4" w:space="0"/>
                    <w:bottom w:val="single" w:color="auto" w:sz="4" w:space="0"/>
                    <w:right w:val="single" w:color="auto" w:sz="4" w:space="0"/>
                  </w:tcBorders>
                  <w:vAlign w:val="center"/>
                </w:tcPr>
                <w:p w14:paraId="633E4DE3">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1024" w:type="dxa"/>
                  <w:tcBorders>
                    <w:top w:val="single" w:color="auto" w:sz="4" w:space="0"/>
                    <w:left w:val="single" w:color="auto" w:sz="4" w:space="0"/>
                    <w:bottom w:val="single" w:color="auto" w:sz="4" w:space="0"/>
                    <w:right w:val="nil"/>
                  </w:tcBorders>
                  <w:vAlign w:val="center"/>
                </w:tcPr>
                <w:p w14:paraId="683EF0E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0417CED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tcBorders>
                    <w:top w:val="single" w:color="auto" w:sz="4" w:space="0"/>
                    <w:left w:val="nil"/>
                    <w:bottom w:val="single" w:color="auto" w:sz="4" w:space="0"/>
                    <w:right w:val="single" w:color="auto" w:sz="4" w:space="0"/>
                  </w:tcBorders>
                  <w:vAlign w:val="center"/>
                </w:tcPr>
                <w:p w14:paraId="0F63A5B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3</w:t>
                  </w:r>
                </w:p>
              </w:tc>
              <w:tc>
                <w:tcPr>
                  <w:tcW w:w="1482" w:type="dxa"/>
                  <w:tcBorders>
                    <w:top w:val="single" w:color="auto" w:sz="4" w:space="0"/>
                    <w:left w:val="single" w:color="auto" w:sz="4" w:space="0"/>
                    <w:bottom w:val="single" w:color="auto" w:sz="4" w:space="0"/>
                    <w:right w:val="single" w:color="auto" w:sz="4" w:space="0"/>
                  </w:tcBorders>
                  <w:vAlign w:val="center"/>
                </w:tcPr>
                <w:p w14:paraId="7CD9857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西厂界</w:t>
                  </w:r>
                </w:p>
              </w:tc>
              <w:tc>
                <w:tcPr>
                  <w:tcW w:w="1023" w:type="dxa"/>
                  <w:tcBorders>
                    <w:top w:val="single" w:color="auto" w:sz="4" w:space="0"/>
                    <w:left w:val="single" w:color="auto" w:sz="4" w:space="0"/>
                    <w:bottom w:val="single" w:color="auto" w:sz="4" w:space="0"/>
                    <w:right w:val="single" w:color="auto" w:sz="4" w:space="0"/>
                  </w:tcBorders>
                </w:tcPr>
                <w:p w14:paraId="3FE22F93">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53</w:t>
                  </w:r>
                </w:p>
              </w:tc>
              <w:tc>
                <w:tcPr>
                  <w:tcW w:w="1023" w:type="dxa"/>
                  <w:tcBorders>
                    <w:top w:val="single" w:color="auto" w:sz="4" w:space="0"/>
                    <w:left w:val="single" w:color="auto" w:sz="4" w:space="0"/>
                    <w:bottom w:val="single" w:color="auto" w:sz="4" w:space="0"/>
                    <w:right w:val="single" w:color="auto" w:sz="4" w:space="0"/>
                  </w:tcBorders>
                  <w:vAlign w:val="center"/>
                </w:tcPr>
                <w:p w14:paraId="6347F24B">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1023" w:type="dxa"/>
                  <w:tcBorders>
                    <w:top w:val="single" w:color="auto" w:sz="4" w:space="0"/>
                    <w:left w:val="single" w:color="auto" w:sz="4" w:space="0"/>
                    <w:bottom w:val="single" w:color="auto" w:sz="4" w:space="0"/>
                    <w:right w:val="single" w:color="auto" w:sz="4" w:space="0"/>
                  </w:tcBorders>
                  <w:vAlign w:val="center"/>
                </w:tcPr>
                <w:p w14:paraId="5A27038E">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023" w:type="dxa"/>
                  <w:tcBorders>
                    <w:top w:val="single" w:color="auto" w:sz="4" w:space="0"/>
                    <w:left w:val="single" w:color="auto" w:sz="4" w:space="0"/>
                    <w:bottom w:val="single" w:color="auto" w:sz="4" w:space="0"/>
                    <w:right w:val="single" w:color="auto" w:sz="4" w:space="0"/>
                  </w:tcBorders>
                  <w:vAlign w:val="center"/>
                </w:tcPr>
                <w:p w14:paraId="25C05666">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44</w:t>
                  </w:r>
                </w:p>
              </w:tc>
              <w:tc>
                <w:tcPr>
                  <w:tcW w:w="1023" w:type="dxa"/>
                  <w:tcBorders>
                    <w:top w:val="single" w:color="auto" w:sz="4" w:space="0"/>
                    <w:left w:val="single" w:color="auto" w:sz="4" w:space="0"/>
                    <w:bottom w:val="single" w:color="auto" w:sz="4" w:space="0"/>
                    <w:right w:val="single" w:color="auto" w:sz="4" w:space="0"/>
                  </w:tcBorders>
                  <w:vAlign w:val="center"/>
                </w:tcPr>
                <w:p w14:paraId="5EBF4B8A">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1024" w:type="dxa"/>
                  <w:tcBorders>
                    <w:top w:val="single" w:color="auto" w:sz="4" w:space="0"/>
                    <w:left w:val="single" w:color="auto" w:sz="4" w:space="0"/>
                    <w:bottom w:val="single" w:color="auto" w:sz="4" w:space="0"/>
                    <w:right w:val="nil"/>
                  </w:tcBorders>
                  <w:vAlign w:val="center"/>
                </w:tcPr>
                <w:p w14:paraId="6BC1C7B8">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r w14:paraId="29D5BC0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4" w:type="dxa"/>
                  <w:tcBorders>
                    <w:top w:val="single" w:color="auto" w:sz="4" w:space="0"/>
                    <w:left w:val="nil"/>
                    <w:bottom w:val="single" w:color="auto" w:sz="4" w:space="0"/>
                    <w:right w:val="single" w:color="auto" w:sz="4" w:space="0"/>
                  </w:tcBorders>
                  <w:vAlign w:val="center"/>
                </w:tcPr>
                <w:p w14:paraId="2066BE49">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4</w:t>
                  </w:r>
                </w:p>
              </w:tc>
              <w:tc>
                <w:tcPr>
                  <w:tcW w:w="1482" w:type="dxa"/>
                  <w:tcBorders>
                    <w:top w:val="single" w:color="auto" w:sz="4" w:space="0"/>
                    <w:left w:val="single" w:color="auto" w:sz="4" w:space="0"/>
                    <w:bottom w:val="single" w:color="auto" w:sz="4" w:space="0"/>
                    <w:right w:val="single" w:color="auto" w:sz="4" w:space="0"/>
                  </w:tcBorders>
                  <w:vAlign w:val="center"/>
                </w:tcPr>
                <w:p w14:paraId="209EC87E">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北厂界</w:t>
                  </w:r>
                </w:p>
              </w:tc>
              <w:tc>
                <w:tcPr>
                  <w:tcW w:w="1023" w:type="dxa"/>
                  <w:tcBorders>
                    <w:top w:val="single" w:color="auto" w:sz="4" w:space="0"/>
                    <w:left w:val="single" w:color="auto" w:sz="4" w:space="0"/>
                    <w:bottom w:val="single" w:color="auto" w:sz="4" w:space="0"/>
                    <w:right w:val="single" w:color="auto" w:sz="4" w:space="0"/>
                  </w:tcBorders>
                </w:tcPr>
                <w:p w14:paraId="067E58AD">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53</w:t>
                  </w:r>
                </w:p>
              </w:tc>
              <w:tc>
                <w:tcPr>
                  <w:tcW w:w="1023" w:type="dxa"/>
                  <w:tcBorders>
                    <w:top w:val="single" w:color="auto" w:sz="4" w:space="0"/>
                    <w:left w:val="single" w:color="auto" w:sz="4" w:space="0"/>
                    <w:bottom w:val="single" w:color="auto" w:sz="4" w:space="0"/>
                    <w:right w:val="single" w:color="auto" w:sz="4" w:space="0"/>
                  </w:tcBorders>
                  <w:vAlign w:val="center"/>
                </w:tcPr>
                <w:p w14:paraId="381CA297">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65</w:t>
                  </w:r>
                </w:p>
              </w:tc>
              <w:tc>
                <w:tcPr>
                  <w:tcW w:w="1023" w:type="dxa"/>
                  <w:tcBorders>
                    <w:top w:val="single" w:color="auto" w:sz="4" w:space="0"/>
                    <w:left w:val="single" w:color="auto" w:sz="4" w:space="0"/>
                    <w:bottom w:val="single" w:color="auto" w:sz="4" w:space="0"/>
                    <w:right w:val="single" w:color="auto" w:sz="4" w:space="0"/>
                  </w:tcBorders>
                  <w:vAlign w:val="center"/>
                </w:tcPr>
                <w:p w14:paraId="3D96481B">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c>
                <w:tcPr>
                  <w:tcW w:w="1023" w:type="dxa"/>
                  <w:tcBorders>
                    <w:top w:val="single" w:color="auto" w:sz="4" w:space="0"/>
                    <w:left w:val="single" w:color="auto" w:sz="4" w:space="0"/>
                    <w:bottom w:val="single" w:color="auto" w:sz="4" w:space="0"/>
                    <w:right w:val="single" w:color="auto" w:sz="4" w:space="0"/>
                  </w:tcBorders>
                  <w:vAlign w:val="center"/>
                </w:tcPr>
                <w:p w14:paraId="49591810">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szCs w:val="21"/>
                      <w14:textFill>
                        <w14:solidFill>
                          <w14:schemeClr w14:val="tx1"/>
                        </w14:solidFill>
                      </w14:textFill>
                    </w:rPr>
                    <w:t>43</w:t>
                  </w:r>
                </w:p>
              </w:tc>
              <w:tc>
                <w:tcPr>
                  <w:tcW w:w="1023" w:type="dxa"/>
                  <w:tcBorders>
                    <w:top w:val="single" w:color="auto" w:sz="4" w:space="0"/>
                    <w:left w:val="single" w:color="auto" w:sz="4" w:space="0"/>
                    <w:bottom w:val="single" w:color="auto" w:sz="4" w:space="0"/>
                    <w:right w:val="single" w:color="auto" w:sz="4" w:space="0"/>
                  </w:tcBorders>
                  <w:vAlign w:val="center"/>
                </w:tcPr>
                <w:p w14:paraId="79FCF8FF">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55</w:t>
                  </w:r>
                </w:p>
              </w:tc>
              <w:tc>
                <w:tcPr>
                  <w:tcW w:w="1024" w:type="dxa"/>
                  <w:tcBorders>
                    <w:top w:val="single" w:color="auto" w:sz="4" w:space="0"/>
                    <w:left w:val="single" w:color="auto" w:sz="4" w:space="0"/>
                    <w:bottom w:val="single" w:color="auto" w:sz="4" w:space="0"/>
                    <w:right w:val="nil"/>
                  </w:tcBorders>
                  <w:vAlign w:val="center"/>
                </w:tcPr>
                <w:p w14:paraId="78E95102">
                  <w:pPr>
                    <w:adjustRightInd w:val="0"/>
                    <w:snapToGrid w:val="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spacing w:val="-10"/>
                      <w:szCs w:val="21"/>
                      <w14:textFill>
                        <w14:solidFill>
                          <w14:schemeClr w14:val="tx1"/>
                        </w14:solidFill>
                      </w14:textFill>
                    </w:rPr>
                    <w:t>达标</w:t>
                  </w:r>
                </w:p>
              </w:tc>
            </w:tr>
          </w:tbl>
          <w:p w14:paraId="079B2D9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本次工程厂界噪声叠加结果见表4-19。</w:t>
            </w:r>
          </w:p>
          <w:p w14:paraId="6730B38C">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表4-19叠加后的综合噪声分析表</w:t>
            </w:r>
          </w:p>
          <w:tbl>
            <w:tblPr>
              <w:tblStyle w:val="35"/>
              <w:tblW w:w="8185" w:type="dxa"/>
              <w:jc w:val="center"/>
              <w:tblBorders>
                <w:top w:val="double" w:color="auto" w:sz="2"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3"/>
              <w:gridCol w:w="1559"/>
              <w:gridCol w:w="1087"/>
              <w:gridCol w:w="1023"/>
              <w:gridCol w:w="1023"/>
              <w:gridCol w:w="1023"/>
              <w:gridCol w:w="1023"/>
              <w:gridCol w:w="1024"/>
            </w:tblGrid>
            <w:tr w14:paraId="7400B0FF">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Merge w:val="restart"/>
                  <w:vAlign w:val="center"/>
                </w:tcPr>
                <w:p w14:paraId="5264FCD1">
                  <w:pPr>
                    <w:pStyle w:val="48"/>
                  </w:pPr>
                  <w:r>
                    <w:t>序号</w:t>
                  </w:r>
                </w:p>
              </w:tc>
              <w:tc>
                <w:tcPr>
                  <w:tcW w:w="1559" w:type="dxa"/>
                  <w:vMerge w:val="restart"/>
                  <w:vAlign w:val="center"/>
                </w:tcPr>
                <w:p w14:paraId="0743BA8A">
                  <w:pPr>
                    <w:pStyle w:val="48"/>
                  </w:pPr>
                  <w:r>
                    <w:t>预测点位</w:t>
                  </w:r>
                </w:p>
              </w:tc>
              <w:tc>
                <w:tcPr>
                  <w:tcW w:w="2110" w:type="dxa"/>
                  <w:gridSpan w:val="2"/>
                  <w:vAlign w:val="center"/>
                </w:tcPr>
                <w:p w14:paraId="4C580717">
                  <w:pPr>
                    <w:pStyle w:val="48"/>
                  </w:pPr>
                  <w:r>
                    <w:t>昼间</w:t>
                  </w:r>
                </w:p>
              </w:tc>
              <w:tc>
                <w:tcPr>
                  <w:tcW w:w="1023" w:type="dxa"/>
                  <w:vMerge w:val="restart"/>
                  <w:vAlign w:val="center"/>
                </w:tcPr>
                <w:p w14:paraId="6814D7B8">
                  <w:pPr>
                    <w:pStyle w:val="48"/>
                  </w:pPr>
                  <w:r>
                    <w:t>达标情况</w:t>
                  </w:r>
                </w:p>
              </w:tc>
              <w:tc>
                <w:tcPr>
                  <w:tcW w:w="2046" w:type="dxa"/>
                  <w:gridSpan w:val="2"/>
                  <w:vAlign w:val="center"/>
                </w:tcPr>
                <w:p w14:paraId="02A489EF">
                  <w:pPr>
                    <w:pStyle w:val="48"/>
                  </w:pPr>
                  <w:r>
                    <w:t>夜间</w:t>
                  </w:r>
                </w:p>
              </w:tc>
              <w:tc>
                <w:tcPr>
                  <w:tcW w:w="1024" w:type="dxa"/>
                  <w:vMerge w:val="restart"/>
                  <w:vAlign w:val="center"/>
                </w:tcPr>
                <w:p w14:paraId="7D4C525D">
                  <w:pPr>
                    <w:pStyle w:val="48"/>
                  </w:pPr>
                  <w:r>
                    <w:t>达标情况</w:t>
                  </w:r>
                </w:p>
              </w:tc>
            </w:tr>
            <w:tr w14:paraId="333F0EC8">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Merge w:val="continue"/>
                  <w:vAlign w:val="center"/>
                </w:tcPr>
                <w:p w14:paraId="5993171A">
                  <w:pPr>
                    <w:pStyle w:val="48"/>
                  </w:pPr>
                </w:p>
              </w:tc>
              <w:tc>
                <w:tcPr>
                  <w:tcW w:w="1559" w:type="dxa"/>
                  <w:vMerge w:val="continue"/>
                  <w:vAlign w:val="center"/>
                </w:tcPr>
                <w:p w14:paraId="7AEA3302">
                  <w:pPr>
                    <w:pStyle w:val="48"/>
                  </w:pPr>
                </w:p>
              </w:tc>
              <w:tc>
                <w:tcPr>
                  <w:tcW w:w="1087" w:type="dxa"/>
                  <w:vAlign w:val="center"/>
                </w:tcPr>
                <w:p w14:paraId="05B3C985">
                  <w:pPr>
                    <w:pStyle w:val="48"/>
                  </w:pPr>
                  <w:r>
                    <w:rPr>
                      <w:kern w:val="0"/>
                    </w:rPr>
                    <w:t>叠加后贡献值/dB（A）</w:t>
                  </w:r>
                </w:p>
              </w:tc>
              <w:tc>
                <w:tcPr>
                  <w:tcW w:w="1023" w:type="dxa"/>
                  <w:vAlign w:val="center"/>
                </w:tcPr>
                <w:p w14:paraId="5D46951C">
                  <w:pPr>
                    <w:pStyle w:val="48"/>
                  </w:pPr>
                  <w:r>
                    <w:rPr>
                      <w:kern w:val="0"/>
                    </w:rPr>
                    <w:t>标准值/dB（A）</w:t>
                  </w:r>
                </w:p>
              </w:tc>
              <w:tc>
                <w:tcPr>
                  <w:tcW w:w="1023" w:type="dxa"/>
                  <w:vMerge w:val="continue"/>
                  <w:vAlign w:val="center"/>
                </w:tcPr>
                <w:p w14:paraId="77D329F0">
                  <w:pPr>
                    <w:pStyle w:val="48"/>
                  </w:pPr>
                </w:p>
              </w:tc>
              <w:tc>
                <w:tcPr>
                  <w:tcW w:w="1023" w:type="dxa"/>
                  <w:vAlign w:val="center"/>
                </w:tcPr>
                <w:p w14:paraId="7AFCC310">
                  <w:pPr>
                    <w:pStyle w:val="48"/>
                  </w:pPr>
                  <w:r>
                    <w:rPr>
                      <w:kern w:val="0"/>
                    </w:rPr>
                    <w:t>叠加后贡献值/dB（A）</w:t>
                  </w:r>
                </w:p>
              </w:tc>
              <w:tc>
                <w:tcPr>
                  <w:tcW w:w="1023" w:type="dxa"/>
                  <w:vAlign w:val="center"/>
                </w:tcPr>
                <w:p w14:paraId="4DD425C9">
                  <w:pPr>
                    <w:pStyle w:val="48"/>
                  </w:pPr>
                  <w:r>
                    <w:rPr>
                      <w:kern w:val="0"/>
                    </w:rPr>
                    <w:t>标准值/dB（A）</w:t>
                  </w:r>
                </w:p>
              </w:tc>
              <w:tc>
                <w:tcPr>
                  <w:tcW w:w="1024" w:type="dxa"/>
                  <w:vMerge w:val="continue"/>
                  <w:vAlign w:val="center"/>
                </w:tcPr>
                <w:p w14:paraId="5EBA7C4A">
                  <w:pPr>
                    <w:pStyle w:val="48"/>
                  </w:pPr>
                </w:p>
              </w:tc>
            </w:tr>
            <w:tr w14:paraId="501BC53C">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Align w:val="center"/>
                </w:tcPr>
                <w:p w14:paraId="1526D7B7">
                  <w:pPr>
                    <w:pStyle w:val="48"/>
                  </w:pPr>
                  <w:r>
                    <w:t>1</w:t>
                  </w:r>
                </w:p>
              </w:tc>
              <w:tc>
                <w:tcPr>
                  <w:tcW w:w="1559" w:type="dxa"/>
                  <w:vAlign w:val="center"/>
                </w:tcPr>
                <w:p w14:paraId="0E2E3EC8">
                  <w:pPr>
                    <w:pStyle w:val="48"/>
                  </w:pPr>
                  <w:r>
                    <w:t>东厂界</w:t>
                  </w:r>
                </w:p>
              </w:tc>
              <w:tc>
                <w:tcPr>
                  <w:tcW w:w="1087" w:type="dxa"/>
                  <w:vAlign w:val="center"/>
                </w:tcPr>
                <w:p w14:paraId="1F2B3415">
                  <w:pPr>
                    <w:pStyle w:val="48"/>
                  </w:pPr>
                  <w:r>
                    <w:t>53.1</w:t>
                  </w:r>
                </w:p>
              </w:tc>
              <w:tc>
                <w:tcPr>
                  <w:tcW w:w="1023" w:type="dxa"/>
                  <w:vAlign w:val="center"/>
                </w:tcPr>
                <w:p w14:paraId="5779D0A9">
                  <w:pPr>
                    <w:pStyle w:val="48"/>
                  </w:pPr>
                  <w:r>
                    <w:t>65</w:t>
                  </w:r>
                </w:p>
              </w:tc>
              <w:tc>
                <w:tcPr>
                  <w:tcW w:w="1023" w:type="dxa"/>
                  <w:vAlign w:val="center"/>
                </w:tcPr>
                <w:p w14:paraId="7746C4B9">
                  <w:pPr>
                    <w:pStyle w:val="48"/>
                  </w:pPr>
                  <w:r>
                    <w:t>达标</w:t>
                  </w:r>
                </w:p>
              </w:tc>
              <w:tc>
                <w:tcPr>
                  <w:tcW w:w="1023" w:type="dxa"/>
                  <w:vAlign w:val="center"/>
                </w:tcPr>
                <w:p w14:paraId="70F5EB89">
                  <w:pPr>
                    <w:pStyle w:val="48"/>
                    <w:rPr>
                      <w:color w:val="0000FF"/>
                    </w:rPr>
                  </w:pPr>
                  <w:r>
                    <w:rPr>
                      <w:color w:val="0000FF"/>
                      <w:sz w:val="22"/>
                      <w:szCs w:val="22"/>
                    </w:rPr>
                    <w:t>47.03</w:t>
                  </w:r>
                </w:p>
              </w:tc>
              <w:tc>
                <w:tcPr>
                  <w:tcW w:w="1023" w:type="dxa"/>
                  <w:vAlign w:val="center"/>
                </w:tcPr>
                <w:p w14:paraId="2559CA34">
                  <w:pPr>
                    <w:pStyle w:val="48"/>
                  </w:pPr>
                  <w:r>
                    <w:t>55</w:t>
                  </w:r>
                </w:p>
              </w:tc>
              <w:tc>
                <w:tcPr>
                  <w:tcW w:w="1024" w:type="dxa"/>
                  <w:vAlign w:val="center"/>
                </w:tcPr>
                <w:p w14:paraId="00AEE1DE">
                  <w:pPr>
                    <w:pStyle w:val="48"/>
                  </w:pPr>
                  <w:r>
                    <w:t>达标</w:t>
                  </w:r>
                </w:p>
              </w:tc>
            </w:tr>
            <w:tr w14:paraId="7987D8D2">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Align w:val="center"/>
                </w:tcPr>
                <w:p w14:paraId="546A627E">
                  <w:pPr>
                    <w:pStyle w:val="48"/>
                  </w:pPr>
                  <w:r>
                    <w:t>2</w:t>
                  </w:r>
                </w:p>
              </w:tc>
              <w:tc>
                <w:tcPr>
                  <w:tcW w:w="1559" w:type="dxa"/>
                  <w:vAlign w:val="center"/>
                </w:tcPr>
                <w:p w14:paraId="10515CF5">
                  <w:pPr>
                    <w:pStyle w:val="48"/>
                  </w:pPr>
                  <w:r>
                    <w:t>南厂界</w:t>
                  </w:r>
                </w:p>
              </w:tc>
              <w:tc>
                <w:tcPr>
                  <w:tcW w:w="1087" w:type="dxa"/>
                  <w:vAlign w:val="center"/>
                </w:tcPr>
                <w:p w14:paraId="1C67ED09">
                  <w:pPr>
                    <w:pStyle w:val="48"/>
                  </w:pPr>
                  <w:r>
                    <w:t>53.1</w:t>
                  </w:r>
                </w:p>
              </w:tc>
              <w:tc>
                <w:tcPr>
                  <w:tcW w:w="1023" w:type="dxa"/>
                </w:tcPr>
                <w:p w14:paraId="59FD376D">
                  <w:pPr>
                    <w:pStyle w:val="48"/>
                  </w:pPr>
                  <w:r>
                    <w:t>65</w:t>
                  </w:r>
                </w:p>
              </w:tc>
              <w:tc>
                <w:tcPr>
                  <w:tcW w:w="1023" w:type="dxa"/>
                  <w:vAlign w:val="center"/>
                </w:tcPr>
                <w:p w14:paraId="62444389">
                  <w:pPr>
                    <w:pStyle w:val="48"/>
                  </w:pPr>
                  <w:r>
                    <w:t>达标</w:t>
                  </w:r>
                </w:p>
              </w:tc>
              <w:tc>
                <w:tcPr>
                  <w:tcW w:w="1023" w:type="dxa"/>
                  <w:vAlign w:val="center"/>
                </w:tcPr>
                <w:p w14:paraId="6FDFD108">
                  <w:pPr>
                    <w:pStyle w:val="48"/>
                    <w:rPr>
                      <w:color w:val="0000FF"/>
                    </w:rPr>
                  </w:pPr>
                  <w:r>
                    <w:rPr>
                      <w:color w:val="0000FF"/>
                      <w:sz w:val="22"/>
                      <w:szCs w:val="22"/>
                    </w:rPr>
                    <w:t>44.18</w:t>
                  </w:r>
                </w:p>
              </w:tc>
              <w:tc>
                <w:tcPr>
                  <w:tcW w:w="1023" w:type="dxa"/>
                  <w:vAlign w:val="center"/>
                </w:tcPr>
                <w:p w14:paraId="7863202E">
                  <w:pPr>
                    <w:pStyle w:val="48"/>
                  </w:pPr>
                  <w:r>
                    <w:t>55</w:t>
                  </w:r>
                </w:p>
              </w:tc>
              <w:tc>
                <w:tcPr>
                  <w:tcW w:w="1024" w:type="dxa"/>
                  <w:vAlign w:val="center"/>
                </w:tcPr>
                <w:p w14:paraId="0DD683B8">
                  <w:pPr>
                    <w:pStyle w:val="48"/>
                  </w:pPr>
                  <w:r>
                    <w:t>达标</w:t>
                  </w:r>
                </w:p>
              </w:tc>
            </w:tr>
            <w:tr w14:paraId="64FA8618">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Align w:val="center"/>
                </w:tcPr>
                <w:p w14:paraId="6B95EC38">
                  <w:pPr>
                    <w:pStyle w:val="48"/>
                  </w:pPr>
                  <w:r>
                    <w:t>3</w:t>
                  </w:r>
                </w:p>
              </w:tc>
              <w:tc>
                <w:tcPr>
                  <w:tcW w:w="1559" w:type="dxa"/>
                  <w:vAlign w:val="center"/>
                </w:tcPr>
                <w:p w14:paraId="71940AF7">
                  <w:pPr>
                    <w:pStyle w:val="48"/>
                  </w:pPr>
                  <w:r>
                    <w:t>西厂界</w:t>
                  </w:r>
                </w:p>
              </w:tc>
              <w:tc>
                <w:tcPr>
                  <w:tcW w:w="1087" w:type="dxa"/>
                  <w:vAlign w:val="center"/>
                </w:tcPr>
                <w:p w14:paraId="577591DA">
                  <w:pPr>
                    <w:pStyle w:val="48"/>
                  </w:pPr>
                  <w:r>
                    <w:t>53.1</w:t>
                  </w:r>
                </w:p>
              </w:tc>
              <w:tc>
                <w:tcPr>
                  <w:tcW w:w="1023" w:type="dxa"/>
                </w:tcPr>
                <w:p w14:paraId="5469363B">
                  <w:pPr>
                    <w:pStyle w:val="48"/>
                  </w:pPr>
                  <w:r>
                    <w:t>65</w:t>
                  </w:r>
                </w:p>
              </w:tc>
              <w:tc>
                <w:tcPr>
                  <w:tcW w:w="1023" w:type="dxa"/>
                  <w:vAlign w:val="center"/>
                </w:tcPr>
                <w:p w14:paraId="63524DB3">
                  <w:pPr>
                    <w:pStyle w:val="48"/>
                  </w:pPr>
                  <w:r>
                    <w:t>达标</w:t>
                  </w:r>
                </w:p>
              </w:tc>
              <w:tc>
                <w:tcPr>
                  <w:tcW w:w="1023" w:type="dxa"/>
                  <w:vAlign w:val="center"/>
                </w:tcPr>
                <w:p w14:paraId="677BA4D1">
                  <w:pPr>
                    <w:pStyle w:val="48"/>
                    <w:rPr>
                      <w:color w:val="0000FF"/>
                    </w:rPr>
                  </w:pPr>
                  <w:r>
                    <w:rPr>
                      <w:color w:val="0000FF"/>
                      <w:sz w:val="22"/>
                      <w:szCs w:val="22"/>
                    </w:rPr>
                    <w:t>49.65</w:t>
                  </w:r>
                </w:p>
              </w:tc>
              <w:tc>
                <w:tcPr>
                  <w:tcW w:w="1023" w:type="dxa"/>
                  <w:vAlign w:val="center"/>
                </w:tcPr>
                <w:p w14:paraId="0D6EC922">
                  <w:pPr>
                    <w:pStyle w:val="48"/>
                  </w:pPr>
                  <w:r>
                    <w:t>55</w:t>
                  </w:r>
                </w:p>
              </w:tc>
              <w:tc>
                <w:tcPr>
                  <w:tcW w:w="1024" w:type="dxa"/>
                  <w:vAlign w:val="center"/>
                </w:tcPr>
                <w:p w14:paraId="6E26E3B5">
                  <w:pPr>
                    <w:pStyle w:val="48"/>
                  </w:pPr>
                  <w:r>
                    <w:t>达标</w:t>
                  </w:r>
                </w:p>
              </w:tc>
            </w:tr>
            <w:tr w14:paraId="13E599C4">
              <w:tblPrEx>
                <w:tblBorders>
                  <w:top w:val="double" w:color="auto" w:sz="2"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Align w:val="center"/>
                </w:tcPr>
                <w:p w14:paraId="79F743EC">
                  <w:pPr>
                    <w:pStyle w:val="48"/>
                  </w:pPr>
                  <w:r>
                    <w:t>4</w:t>
                  </w:r>
                </w:p>
              </w:tc>
              <w:tc>
                <w:tcPr>
                  <w:tcW w:w="1559" w:type="dxa"/>
                  <w:vAlign w:val="center"/>
                </w:tcPr>
                <w:p w14:paraId="1DF5A295">
                  <w:pPr>
                    <w:pStyle w:val="48"/>
                  </w:pPr>
                  <w:r>
                    <w:t>北厂界</w:t>
                  </w:r>
                </w:p>
              </w:tc>
              <w:tc>
                <w:tcPr>
                  <w:tcW w:w="1087" w:type="dxa"/>
                  <w:vAlign w:val="center"/>
                </w:tcPr>
                <w:p w14:paraId="736AECB1">
                  <w:pPr>
                    <w:pStyle w:val="48"/>
                  </w:pPr>
                  <w:r>
                    <w:rPr>
                      <w:sz w:val="22"/>
                      <w:szCs w:val="22"/>
                    </w:rPr>
                    <w:t>53.1</w:t>
                  </w:r>
                </w:p>
              </w:tc>
              <w:tc>
                <w:tcPr>
                  <w:tcW w:w="1023" w:type="dxa"/>
                </w:tcPr>
                <w:p w14:paraId="680735D7">
                  <w:pPr>
                    <w:pStyle w:val="48"/>
                  </w:pPr>
                  <w:r>
                    <w:t>65</w:t>
                  </w:r>
                </w:p>
              </w:tc>
              <w:tc>
                <w:tcPr>
                  <w:tcW w:w="1023" w:type="dxa"/>
                  <w:vAlign w:val="center"/>
                </w:tcPr>
                <w:p w14:paraId="77A9568A">
                  <w:pPr>
                    <w:pStyle w:val="48"/>
                  </w:pPr>
                  <w:r>
                    <w:t>达标</w:t>
                  </w:r>
                </w:p>
              </w:tc>
              <w:tc>
                <w:tcPr>
                  <w:tcW w:w="1023" w:type="dxa"/>
                  <w:vAlign w:val="center"/>
                </w:tcPr>
                <w:p w14:paraId="3669D961">
                  <w:pPr>
                    <w:pStyle w:val="48"/>
                    <w:rPr>
                      <w:color w:val="0000FF"/>
                    </w:rPr>
                  </w:pPr>
                  <w:r>
                    <w:rPr>
                      <w:color w:val="0000FF"/>
                      <w:sz w:val="22"/>
                      <w:szCs w:val="22"/>
                    </w:rPr>
                    <w:t>46.17</w:t>
                  </w:r>
                </w:p>
              </w:tc>
              <w:tc>
                <w:tcPr>
                  <w:tcW w:w="1023" w:type="dxa"/>
                  <w:vAlign w:val="center"/>
                </w:tcPr>
                <w:p w14:paraId="15C531C9">
                  <w:pPr>
                    <w:pStyle w:val="48"/>
                  </w:pPr>
                  <w:r>
                    <w:t>55</w:t>
                  </w:r>
                </w:p>
              </w:tc>
              <w:tc>
                <w:tcPr>
                  <w:tcW w:w="1024" w:type="dxa"/>
                  <w:vAlign w:val="center"/>
                </w:tcPr>
                <w:p w14:paraId="4913B3CD">
                  <w:pPr>
                    <w:pStyle w:val="48"/>
                  </w:pPr>
                  <w:r>
                    <w:t>达标</w:t>
                  </w:r>
                </w:p>
              </w:tc>
            </w:tr>
          </w:tbl>
          <w:p w14:paraId="6A48A2F5">
            <w:pPr>
              <w:pStyle w:val="65"/>
              <w:spacing w:before="156"/>
              <w:ind w:firstLine="480"/>
              <w:rPr>
                <w:rFonts w:eastAsiaTheme="minorEastAsia"/>
                <w:color w:val="0000FF"/>
              </w:rPr>
            </w:pPr>
            <w:r>
              <w:rPr>
                <w:rFonts w:eastAsiaTheme="minorEastAsia"/>
                <w:color w:val="000000" w:themeColor="text1"/>
                <w14:textFill>
                  <w14:solidFill>
                    <w14:schemeClr w14:val="tx1"/>
                  </w14:solidFill>
                </w14:textFill>
              </w:rPr>
              <w:t>由上表可知本项目运营期厂界噪声均满足《工业企业厂界环境噪声排放标准》（GB 12348-2008）3类标准，</w:t>
            </w:r>
            <w:r>
              <w:rPr>
                <w:rFonts w:eastAsiaTheme="minorEastAsia"/>
                <w:color w:val="0000FF"/>
              </w:rPr>
              <w:t>同时项目周边50m范围内无声环境敏感点，因此项目正常生产时的设备噪声对环境影响较小。</w:t>
            </w:r>
          </w:p>
          <w:p w14:paraId="7FA0780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3.噪声污染防治措施</w:t>
            </w:r>
          </w:p>
          <w:p w14:paraId="4A299B6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为减轻拟建项目噪声对周边环境的影响，提出以下防治措施：</w:t>
            </w:r>
          </w:p>
          <w:p w14:paraId="393AB56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项目购买低噪声、高效的生产设备，安装时采取减震垫等，从源头上降低设备运转过程中产生的噪声；</w:t>
            </w:r>
          </w:p>
          <w:p w14:paraId="1C4CF54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对于风机、泵类外部管道采用软连接，风管进出口处可用柔性接头，风机的基础安装采用橡胶减振垫或减振台座；</w:t>
            </w:r>
          </w:p>
          <w:p w14:paraId="4F6955C4">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加强对设备的保养与维护，加强对工作人员职业技能及环保意识的培训，以降低项目噪声的排放；</w:t>
            </w:r>
          </w:p>
          <w:p w14:paraId="170C1EEA">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生产设备安装于厂房内，通过厂房隔音减少噪声对周边环境的影响。</w:t>
            </w:r>
          </w:p>
          <w:p w14:paraId="470AC14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4.噪声监测</w:t>
            </w:r>
          </w:p>
          <w:p w14:paraId="02A5016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根据《排污单位自行监测技术指南总则》（HJ819-2017）、《排污许可证申请与核发技术规范 工业噪声》（HJ 1301—2023）等要求，结合本项目的自身特点，确定本项目运营期噪声监测计划，具体见表4-20。</w:t>
            </w:r>
          </w:p>
          <w:p w14:paraId="0F33B300">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表4-20噪声监测一览表</w:t>
            </w:r>
          </w:p>
          <w:tbl>
            <w:tblPr>
              <w:tblStyle w:val="35"/>
              <w:tblW w:w="8185"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73"/>
              <w:gridCol w:w="1710"/>
              <w:gridCol w:w="1155"/>
              <w:gridCol w:w="1065"/>
              <w:gridCol w:w="3282"/>
            </w:tblGrid>
            <w:tr w14:paraId="342E2F1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973" w:type="dxa"/>
                  <w:tcBorders>
                    <w:top w:val="double" w:color="auto" w:sz="2" w:space="0"/>
                    <w:left w:val="nil"/>
                    <w:bottom w:val="single" w:color="auto" w:sz="4" w:space="0"/>
                    <w:right w:val="single" w:color="auto" w:sz="4" w:space="0"/>
                  </w:tcBorders>
                  <w:vAlign w:val="center"/>
                </w:tcPr>
                <w:p w14:paraId="4D66ADAA">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环境要素</w:t>
                  </w:r>
                </w:p>
              </w:tc>
              <w:tc>
                <w:tcPr>
                  <w:tcW w:w="1710" w:type="dxa"/>
                  <w:tcBorders>
                    <w:top w:val="double" w:color="auto" w:sz="2" w:space="0"/>
                    <w:left w:val="single" w:color="auto" w:sz="4" w:space="0"/>
                    <w:bottom w:val="single" w:color="auto" w:sz="4" w:space="0"/>
                    <w:right w:val="single" w:color="auto" w:sz="4" w:space="0"/>
                  </w:tcBorders>
                  <w:vAlign w:val="center"/>
                </w:tcPr>
                <w:p w14:paraId="7721391B">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监测点</w:t>
                  </w:r>
                </w:p>
              </w:tc>
              <w:tc>
                <w:tcPr>
                  <w:tcW w:w="1155" w:type="dxa"/>
                  <w:tcBorders>
                    <w:top w:val="double" w:color="auto" w:sz="2" w:space="0"/>
                    <w:left w:val="single" w:color="auto" w:sz="4" w:space="0"/>
                    <w:bottom w:val="single" w:color="auto" w:sz="4" w:space="0"/>
                    <w:right w:val="single" w:color="auto" w:sz="4" w:space="0"/>
                  </w:tcBorders>
                  <w:vAlign w:val="center"/>
                </w:tcPr>
                <w:p w14:paraId="5098C5A8">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监测项目</w:t>
                  </w:r>
                </w:p>
              </w:tc>
              <w:tc>
                <w:tcPr>
                  <w:tcW w:w="1065" w:type="dxa"/>
                  <w:tcBorders>
                    <w:top w:val="double" w:color="auto" w:sz="2" w:space="0"/>
                    <w:left w:val="single" w:color="auto" w:sz="4" w:space="0"/>
                    <w:bottom w:val="single" w:color="auto" w:sz="4" w:space="0"/>
                    <w:right w:val="single" w:color="auto" w:sz="4" w:space="0"/>
                  </w:tcBorders>
                  <w:vAlign w:val="center"/>
                </w:tcPr>
                <w:p w14:paraId="0FE399D2">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监测频率</w:t>
                  </w:r>
                </w:p>
              </w:tc>
              <w:tc>
                <w:tcPr>
                  <w:tcW w:w="3282" w:type="dxa"/>
                  <w:tcBorders>
                    <w:top w:val="double" w:color="auto" w:sz="2" w:space="0"/>
                    <w:left w:val="single" w:color="auto" w:sz="4" w:space="0"/>
                    <w:bottom w:val="single" w:color="auto" w:sz="4" w:space="0"/>
                    <w:right w:val="nil"/>
                  </w:tcBorders>
                  <w:vAlign w:val="center"/>
                </w:tcPr>
                <w:p w14:paraId="2990D453">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执行标准</w:t>
                  </w:r>
                </w:p>
              </w:tc>
            </w:tr>
            <w:tr w14:paraId="3E94169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973" w:type="dxa"/>
                  <w:tcBorders>
                    <w:top w:val="single" w:color="auto" w:sz="4" w:space="0"/>
                    <w:left w:val="nil"/>
                    <w:bottom w:val="double" w:color="auto" w:sz="2" w:space="0"/>
                    <w:right w:val="single" w:color="auto" w:sz="4" w:space="0"/>
                  </w:tcBorders>
                  <w:vAlign w:val="center"/>
                </w:tcPr>
                <w:p w14:paraId="6AD2903A">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噪声</w:t>
                  </w:r>
                </w:p>
              </w:tc>
              <w:tc>
                <w:tcPr>
                  <w:tcW w:w="1710" w:type="dxa"/>
                  <w:tcBorders>
                    <w:top w:val="single" w:color="auto" w:sz="4" w:space="0"/>
                    <w:left w:val="single" w:color="auto" w:sz="4" w:space="0"/>
                    <w:bottom w:val="double" w:color="auto" w:sz="2" w:space="0"/>
                    <w:right w:val="single" w:color="auto" w:sz="4" w:space="0"/>
                  </w:tcBorders>
                  <w:vAlign w:val="center"/>
                </w:tcPr>
                <w:p w14:paraId="2AF3E45A">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厂界外四周1m处各设1个点位</w:t>
                  </w:r>
                </w:p>
              </w:tc>
              <w:tc>
                <w:tcPr>
                  <w:tcW w:w="1155" w:type="dxa"/>
                  <w:tcBorders>
                    <w:top w:val="single" w:color="auto" w:sz="4" w:space="0"/>
                    <w:left w:val="single" w:color="auto" w:sz="4" w:space="0"/>
                    <w:bottom w:val="double" w:color="auto" w:sz="2" w:space="0"/>
                    <w:right w:val="single" w:color="auto" w:sz="4" w:space="0"/>
                  </w:tcBorders>
                  <w:vAlign w:val="center"/>
                </w:tcPr>
                <w:p w14:paraId="698C1E18">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等效连续A声级</w:t>
                  </w:r>
                </w:p>
              </w:tc>
              <w:tc>
                <w:tcPr>
                  <w:tcW w:w="1065" w:type="dxa"/>
                  <w:tcBorders>
                    <w:top w:val="single" w:color="auto" w:sz="4" w:space="0"/>
                    <w:left w:val="single" w:color="auto" w:sz="4" w:space="0"/>
                    <w:bottom w:val="double" w:color="auto" w:sz="2" w:space="0"/>
                    <w:right w:val="single" w:color="auto" w:sz="4" w:space="0"/>
                  </w:tcBorders>
                  <w:vAlign w:val="center"/>
                </w:tcPr>
                <w:p w14:paraId="3F6B70E9">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1次/季度</w:t>
                  </w:r>
                </w:p>
              </w:tc>
              <w:tc>
                <w:tcPr>
                  <w:tcW w:w="3282" w:type="dxa"/>
                  <w:tcBorders>
                    <w:top w:val="single" w:color="auto" w:sz="4" w:space="0"/>
                    <w:left w:val="single" w:color="auto" w:sz="4" w:space="0"/>
                    <w:bottom w:val="double" w:color="auto" w:sz="2" w:space="0"/>
                    <w:right w:val="nil"/>
                  </w:tcBorders>
                  <w:vAlign w:val="center"/>
                </w:tcPr>
                <w:p w14:paraId="17D76D98">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《工业企业厂界环境噪声排放标准》（GB 12348-2008）3类</w:t>
                  </w:r>
                </w:p>
              </w:tc>
            </w:tr>
          </w:tbl>
          <w:p w14:paraId="5234804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四、固体废物</w:t>
            </w:r>
          </w:p>
          <w:p w14:paraId="432A8F5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1.固废产生与处置情况</w:t>
            </w:r>
          </w:p>
          <w:p w14:paraId="52CAE5FC">
            <w:pPr>
              <w:pStyle w:val="65"/>
              <w:ind w:firstLine="480"/>
              <w:rPr>
                <w:rFonts w:eastAsiaTheme="minorEastAsia"/>
                <w:color w:val="0000FF"/>
              </w:rPr>
            </w:pPr>
            <w:r>
              <w:rPr>
                <w:rFonts w:eastAsiaTheme="minorEastAsia"/>
                <w:color w:val="0000FF"/>
              </w:rPr>
              <w:t>（1）沉降灰、除尘灰</w:t>
            </w:r>
          </w:p>
          <w:p w14:paraId="4CE5D069">
            <w:pPr>
              <w:pStyle w:val="65"/>
              <w:ind w:firstLine="480"/>
              <w:rPr>
                <w:rFonts w:eastAsiaTheme="minorEastAsia"/>
                <w:color w:val="0000FF"/>
              </w:rPr>
            </w:pPr>
            <w:r>
              <w:rPr>
                <w:rFonts w:eastAsiaTheme="minorEastAsia"/>
                <w:color w:val="0000FF"/>
              </w:rPr>
              <w:t>本项目产生沉降灰、除尘灰成分基本与原料相同，作为原料混入锰矿石废料中一同进行投料（其中产品库中进行的卸料与储存装车产生的沉降灰沉降与产品表面，不易分离，作为产品出售），属于在生产过程直接回用，根据《固体废物鉴别标准 通则》（GB 34330-2025），不属于固体废物，仅对其产生量进行计算。</w:t>
            </w:r>
          </w:p>
          <w:p w14:paraId="27791A2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1）沉降灰</w:t>
            </w:r>
          </w:p>
          <w:p w14:paraId="6BECDAA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根据大气污染分析可知，项目部分无组织粉尘通过自然沉降在原料库、生产车间与产品库内。本项目各车间、库房产生沉降灰总量为</w:t>
            </w:r>
            <w:r>
              <w:rPr>
                <w:rFonts w:eastAsiaTheme="minorEastAsia"/>
                <w:color w:val="0000FF"/>
              </w:rPr>
              <w:t>180.8827 t/a。</w:t>
            </w:r>
          </w:p>
          <w:p w14:paraId="788D1101">
            <w:pPr>
              <w:pStyle w:val="65"/>
              <w:ind w:firstLine="480"/>
              <w:rPr>
                <w:rFonts w:eastAsiaTheme="minorEastAsia"/>
                <w:color w:val="0000FF"/>
              </w:rPr>
            </w:pPr>
            <w:r>
              <w:rPr>
                <w:rFonts w:eastAsiaTheme="minorEastAsia"/>
                <w:color w:val="0000FF"/>
              </w:rPr>
              <w:t>收集方式：原料库沉降灰大部分直接落入原料堆，混入原料使用；少量落至原料堆周边的沉降灰，通过人工清扫方式收集，直接混入原料中使用。生产车间、烘干车间沉降灰通过人工清扫方式收集，统一归集后作为原料投入投料环节使用。</w:t>
            </w:r>
          </w:p>
          <w:p w14:paraId="56D2598F">
            <w:pPr>
              <w:pStyle w:val="65"/>
              <w:ind w:firstLine="480"/>
              <w:rPr>
                <w:rFonts w:eastAsiaTheme="minorEastAsia"/>
                <w:color w:val="0000FF"/>
              </w:rPr>
            </w:pPr>
            <w:r>
              <w:rPr>
                <w:rFonts w:eastAsiaTheme="minorEastAsia"/>
                <w:color w:val="0000FF"/>
              </w:rPr>
              <w:t>厂内转运方式：沉降灰随原料一同转运，不单独设置运输环节，不产生二次搬运。</w:t>
            </w:r>
          </w:p>
          <w:p w14:paraId="5EC2A913">
            <w:pPr>
              <w:pStyle w:val="65"/>
              <w:ind w:firstLine="480"/>
              <w:rPr>
                <w:rFonts w:eastAsiaTheme="minorEastAsia"/>
                <w:color w:val="0000FF"/>
              </w:rPr>
            </w:pPr>
            <w:r>
              <w:rPr>
                <w:rFonts w:eastAsiaTheme="minorEastAsia"/>
                <w:color w:val="0000FF"/>
              </w:rPr>
              <w:t>储存方式：沉降灰采用即时收集、即时回用模式。</w:t>
            </w:r>
          </w:p>
          <w:p w14:paraId="6CDD2DD8">
            <w:pPr>
              <w:pStyle w:val="65"/>
              <w:ind w:firstLine="480"/>
              <w:rPr>
                <w:rFonts w:eastAsiaTheme="minorEastAsia"/>
                <w:color w:val="0000FF"/>
              </w:rPr>
            </w:pPr>
            <w:r>
              <w:rPr>
                <w:rFonts w:eastAsiaTheme="minorEastAsia"/>
                <w:color w:val="0000FF"/>
              </w:rPr>
              <w:t>环保要求：沉降灰产生于原料堆场及生产车间、烘干车间，清扫作业时应采取洒水降尘等抑尘措施，避免二次扬尘污染。原料库的沉降灰直接落入原料堆，不额外设置管理要求。生产车间、烘干车间沉降灰收集后直接进入投料环节，应在清扫后当日投用，避免积存。</w:t>
            </w:r>
          </w:p>
          <w:p w14:paraId="7C349F8A">
            <w:pPr>
              <w:pStyle w:val="65"/>
              <w:ind w:firstLine="480"/>
              <w:rPr>
                <w:rFonts w:eastAsiaTheme="minorEastAsia"/>
                <w:color w:val="000000" w:themeColor="text1"/>
                <w14:textFill>
                  <w14:solidFill>
                    <w14:schemeClr w14:val="tx1"/>
                  </w14:solidFill>
                </w14:textFill>
              </w:rPr>
            </w:pPr>
            <w:r>
              <w:rPr>
                <w:rFonts w:eastAsiaTheme="minorEastAsia"/>
                <w:color w:val="0000FF"/>
              </w:rPr>
              <w:t>各区域沉降灰产生及处置情况如下：</w:t>
            </w:r>
          </w:p>
          <w:p w14:paraId="09D97CE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原料库沉降灰</w:t>
            </w:r>
          </w:p>
          <w:p w14:paraId="77986E1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其中原料库中原料的储存、装卸和投料的沉降量为163.7493t/a，</w:t>
            </w:r>
            <w:r>
              <w:rPr>
                <w:rFonts w:eastAsiaTheme="minorEastAsia"/>
                <w:color w:val="0000FF"/>
              </w:rPr>
              <w:t>沉降灰定期清理后一并混入原料使用。</w:t>
            </w:r>
          </w:p>
          <w:p w14:paraId="2DC39A6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生产车间沉降灰</w:t>
            </w:r>
          </w:p>
          <w:p w14:paraId="44084B6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混料、造球的沉降灰产生于生产车间内，沉降量为4.7298t/a，</w:t>
            </w:r>
            <w:r>
              <w:rPr>
                <w:rFonts w:eastAsiaTheme="minorEastAsia"/>
                <w:color w:val="0000FF"/>
              </w:rPr>
              <w:t>沉降灰定期清理后一并混入原料使用。</w:t>
            </w:r>
          </w:p>
          <w:p w14:paraId="0D414EF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烘干车间沉降灰</w:t>
            </w:r>
          </w:p>
          <w:p w14:paraId="1D7E209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烘干沉降量为</w:t>
            </w:r>
            <w:r>
              <w:rPr>
                <w:rFonts w:eastAsiaTheme="minorEastAsia"/>
                <w:color w:val="0000FF"/>
              </w:rPr>
              <w:t>0.2747t/a</w:t>
            </w:r>
            <w:r>
              <w:rPr>
                <w:rFonts w:eastAsiaTheme="minorEastAsia"/>
                <w:color w:val="000000" w:themeColor="text1"/>
                <w14:textFill>
                  <w14:solidFill>
                    <w14:schemeClr w14:val="tx1"/>
                  </w14:solidFill>
                </w14:textFill>
              </w:rPr>
              <w:t>，</w:t>
            </w:r>
            <w:r>
              <w:rPr>
                <w:rFonts w:eastAsiaTheme="minorEastAsia"/>
                <w:color w:val="0000FF"/>
              </w:rPr>
              <w:t>沉降灰定期清理后一并混入原料使用。</w:t>
            </w:r>
          </w:p>
          <w:p w14:paraId="0AB4D457">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产品库沉降灰（烘干卸料出口位于产品库内）</w:t>
            </w:r>
          </w:p>
          <w:p w14:paraId="5642C9C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产品储存和装车的沉降灰产生于产品库内，沉降量为</w:t>
            </w:r>
            <w:r>
              <w:rPr>
                <w:rFonts w:eastAsiaTheme="minorEastAsia"/>
                <w:color w:val="0000FF"/>
              </w:rPr>
              <w:t>12.1289t/a</w:t>
            </w:r>
            <w:r>
              <w:rPr>
                <w:rFonts w:eastAsiaTheme="minorEastAsia"/>
                <w:color w:val="000000" w:themeColor="text1"/>
                <w14:textFill>
                  <w14:solidFill>
                    <w14:schemeClr w14:val="tx1"/>
                  </w14:solidFill>
                </w14:textFill>
              </w:rPr>
              <w:t>，均沉降至产品表面。其成分与产品基本一致且难分离，直接作为产品出售。</w:t>
            </w:r>
          </w:p>
          <w:p w14:paraId="5B43854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2）除尘灰</w:t>
            </w:r>
          </w:p>
          <w:p w14:paraId="485DA2AE">
            <w:pPr>
              <w:pStyle w:val="65"/>
              <w:ind w:firstLine="480"/>
              <w:rPr>
                <w:rFonts w:eastAsiaTheme="minorEastAsia"/>
                <w:color w:val="0000FF"/>
              </w:rPr>
            </w:pPr>
            <w:r>
              <w:rPr>
                <w:rFonts w:eastAsiaTheme="minorEastAsia"/>
                <w:color w:val="000000" w:themeColor="text1"/>
                <w14:textFill>
                  <w14:solidFill>
                    <w14:schemeClr w14:val="tx1"/>
                  </w14:solidFill>
                </w14:textFill>
              </w:rPr>
              <w:t>项目除尘设备产生除尘灰，根据大气污染分析可知，本项目除尘灰产生量为</w:t>
            </w:r>
            <w:r>
              <w:rPr>
                <w:rFonts w:eastAsiaTheme="minorEastAsia"/>
                <w:color w:val="0000FF"/>
              </w:rPr>
              <w:t>66.2329t/a</w:t>
            </w:r>
            <w:r>
              <w:rPr>
                <w:rFonts w:eastAsiaTheme="minorEastAsia"/>
                <w:color w:val="000000" w:themeColor="text1"/>
                <w14:textFill>
                  <w14:solidFill>
                    <w14:schemeClr w14:val="tx1"/>
                  </w14:solidFill>
                </w14:textFill>
              </w:rPr>
              <w:t>。</w:t>
            </w:r>
            <w:r>
              <w:rPr>
                <w:rFonts w:eastAsiaTheme="minorEastAsia"/>
                <w:color w:val="0000FF"/>
              </w:rPr>
              <w:t>主要成分为锰矿石废料及膨润土粉尘。除尘灰经卸灰阀排出后封闭收集，全部返回投料环节作为原料回用。</w:t>
            </w:r>
          </w:p>
          <w:p w14:paraId="4B36C088">
            <w:pPr>
              <w:pStyle w:val="65"/>
              <w:ind w:firstLine="480"/>
              <w:rPr>
                <w:rFonts w:eastAsiaTheme="minorEastAsia"/>
                <w:color w:val="0000FF"/>
              </w:rPr>
            </w:pPr>
            <w:r>
              <w:rPr>
                <w:rFonts w:eastAsiaTheme="minorEastAsia"/>
                <w:color w:val="0000FF"/>
              </w:rPr>
              <w:t>收集方式：布袋除尘器收集的粉尘由除尘器灰斗定期卸灰，通过封闭卸灰阀排入集灰容器（吨袋或密封桶），收集后作为原料回用于投料环节。</w:t>
            </w:r>
          </w:p>
          <w:p w14:paraId="0E84FAA6">
            <w:pPr>
              <w:pStyle w:val="65"/>
              <w:ind w:firstLine="480"/>
              <w:rPr>
                <w:rFonts w:eastAsiaTheme="minorEastAsia"/>
                <w:color w:val="0000FF"/>
              </w:rPr>
            </w:pPr>
            <w:r>
              <w:rPr>
                <w:rFonts w:eastAsiaTheme="minorEastAsia"/>
                <w:color w:val="0000FF"/>
              </w:rPr>
              <w:t>厂内转运方式：除尘灰采用吨袋包装后，使用叉车或手推车转运至投料口。转运过程中容器保持封闭，防止粉尘散落。</w:t>
            </w:r>
          </w:p>
          <w:p w14:paraId="1E907298">
            <w:pPr>
              <w:pStyle w:val="65"/>
              <w:ind w:firstLine="480"/>
              <w:rPr>
                <w:rFonts w:eastAsiaTheme="minorEastAsia"/>
                <w:color w:val="0000FF"/>
              </w:rPr>
            </w:pPr>
            <w:r>
              <w:rPr>
                <w:rFonts w:eastAsiaTheme="minorEastAsia"/>
                <w:color w:val="0000FF"/>
              </w:rPr>
              <w:t>储存方式：除尘灰采用即时收集、即时回用模式，收集后当日进入投料工序。</w:t>
            </w:r>
          </w:p>
          <w:p w14:paraId="26890537">
            <w:pPr>
              <w:pStyle w:val="65"/>
              <w:ind w:firstLine="480"/>
              <w:rPr>
                <w:rFonts w:eastAsiaTheme="minorEastAsia"/>
                <w:color w:val="0000FF"/>
              </w:rPr>
            </w:pPr>
            <w:r>
              <w:rPr>
                <w:rFonts w:eastAsiaTheme="minorEastAsia"/>
                <w:color w:val="0000FF"/>
              </w:rPr>
              <w:t>环保要求：除尘设备卸灰及包装作业应在封闭条件下进行，防止卸灰过程产生二次扬尘。集灰容器应具有良好的密闭性能，防止转运过程中粉尘逸散。运输车辆及容器应经常检查，确保密封完好。</w:t>
            </w:r>
          </w:p>
          <w:p w14:paraId="7199DA3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（2）一般工业固体废物</w:t>
            </w:r>
          </w:p>
          <w:p w14:paraId="36550B2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脱硫石膏</w:t>
            </w:r>
          </w:p>
          <w:p w14:paraId="779ABB2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本项目产生的一般固体废物为脱硫石膏。本项目采用石灰石/石膏法脱硫，脱硫废水循环使用，不外排。根据污染物核算中二氧化硫的产生量和脱硫效率计算脱硫石膏的产生量为</w:t>
            </w:r>
            <w:r>
              <w:rPr>
                <w:rFonts w:eastAsiaTheme="minorEastAsia"/>
                <w:color w:val="0000FF"/>
              </w:rPr>
              <w:t>8.29t，</w:t>
            </w:r>
            <w:r>
              <w:rPr>
                <w:rFonts w:eastAsiaTheme="minorEastAsia"/>
                <w:color w:val="000000" w:themeColor="text1"/>
                <w14:textFill>
                  <w14:solidFill>
                    <w14:schemeClr w14:val="tx1"/>
                  </w14:solidFill>
                </w14:textFill>
              </w:rPr>
              <w:t>属于一般工业固体废物。根据《一般固体废物分类与代码》，属于</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脱硫石膏</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，代码为900-099-S06，收集后存于一般固废间，定期出售。</w:t>
            </w:r>
          </w:p>
          <w:p w14:paraId="060AA009">
            <w:pPr>
              <w:pStyle w:val="65"/>
              <w:ind w:firstLine="480"/>
              <w:rPr>
                <w:rFonts w:eastAsiaTheme="minorEastAsia"/>
                <w:color w:val="0000FF"/>
              </w:rPr>
            </w:pPr>
            <w:r>
              <w:rPr>
                <w:rFonts w:eastAsiaTheme="minorEastAsia"/>
                <w:color w:val="0000FF"/>
              </w:rPr>
              <w:t>脱硫石膏去向：</w:t>
            </w:r>
          </w:p>
          <w:p w14:paraId="60AA3D3A">
            <w:pPr>
              <w:pStyle w:val="65"/>
              <w:ind w:firstLine="480"/>
              <w:rPr>
                <w:rFonts w:eastAsiaTheme="minorEastAsia"/>
                <w:color w:val="0000FF"/>
              </w:rPr>
            </w:pPr>
            <w:r>
              <w:rPr>
                <w:rFonts w:eastAsiaTheme="minorEastAsia"/>
                <w:color w:val="0000FF"/>
              </w:rPr>
              <w:t>a.水泥生产企业：作为水泥缓凝剂使用。脱硫石膏可完全替代天然石膏用于水泥生产，掺加后水泥的凝结时间正常，强度得到提高，对水泥性能无不良影响。</w:t>
            </w:r>
          </w:p>
          <w:p w14:paraId="7DFBD09A">
            <w:pPr>
              <w:pStyle w:val="65"/>
              <w:ind w:firstLine="480"/>
              <w:rPr>
                <w:rFonts w:eastAsiaTheme="minorEastAsia"/>
                <w:color w:val="0000FF"/>
              </w:rPr>
            </w:pPr>
            <w:r>
              <w:rPr>
                <w:rFonts w:eastAsiaTheme="minorEastAsia"/>
                <w:color w:val="0000FF"/>
              </w:rPr>
              <w:t>b.石膏建材生产企业：作为生产石膏板、石膏砌块、抹灰石膏等建材的原料。脱硫石膏经烘干、煅烧后可加工为建筑石膏粉，进而制成石膏板等建材产品。</w:t>
            </w:r>
          </w:p>
          <w:p w14:paraId="407EB1C9">
            <w:pPr>
              <w:pStyle w:val="65"/>
              <w:ind w:firstLine="480"/>
              <w:rPr>
                <w:rFonts w:eastAsiaTheme="minorEastAsia"/>
                <w:color w:val="0000FF"/>
              </w:rPr>
            </w:pPr>
            <w:r>
              <w:rPr>
                <w:rFonts w:eastAsiaTheme="minorEastAsia"/>
                <w:color w:val="0000FF"/>
              </w:rPr>
              <w:t>脱硫石膏去向可行性分析：</w:t>
            </w:r>
          </w:p>
          <w:p w14:paraId="57774003">
            <w:pPr>
              <w:pStyle w:val="65"/>
              <w:ind w:firstLine="480"/>
              <w:rPr>
                <w:rFonts w:eastAsiaTheme="minorEastAsia"/>
                <w:color w:val="0000FF"/>
              </w:rPr>
            </w:pPr>
            <w:r>
              <w:rPr>
                <w:rFonts w:eastAsiaTheme="minorEastAsia"/>
                <w:color w:val="0000FF"/>
              </w:rPr>
              <w:t>a.技术可行性。脱硫石膏的主要成分为CaSO₄</w:t>
            </w:r>
            <w:r>
              <w:rPr>
                <w:color w:val="0000FF"/>
              </w:rPr>
              <w:t>·</w:t>
            </w:r>
            <w:r>
              <w:rPr>
                <w:rFonts w:eastAsiaTheme="minorEastAsia"/>
                <w:color w:val="0000FF"/>
              </w:rPr>
              <w:t>2H₂O，与天然石膏成分相近，作为水泥缓凝剂和建材原料的技术已十分成熟。利用脱硫石膏生产水泥缓凝剂、建筑石膏、石膏板等产品工艺成熟，已实现工业化应用。</w:t>
            </w:r>
          </w:p>
          <w:p w14:paraId="14DFA4AF">
            <w:pPr>
              <w:pStyle w:val="65"/>
              <w:ind w:firstLine="480"/>
              <w:rPr>
                <w:rFonts w:eastAsiaTheme="minorEastAsia"/>
                <w:color w:val="0000FF"/>
              </w:rPr>
            </w:pPr>
            <w:r>
              <w:rPr>
                <w:rFonts w:eastAsiaTheme="minorEastAsia"/>
                <w:color w:val="0000FF"/>
              </w:rPr>
              <w:t>b.市场可行性。脱硫石膏是建材行业重要的原料来源，本项目脱硫石膏产生量仅8.29t/a，产生量较小，对消纳能力需求小。</w:t>
            </w:r>
          </w:p>
          <w:p w14:paraId="62BD8F22">
            <w:pPr>
              <w:pStyle w:val="65"/>
              <w:ind w:firstLine="480"/>
              <w:rPr>
                <w:rFonts w:eastAsiaTheme="minorEastAsia"/>
                <w:color w:val="0000FF"/>
              </w:rPr>
            </w:pPr>
            <w:r>
              <w:rPr>
                <w:rFonts w:eastAsiaTheme="minorEastAsia"/>
                <w:color w:val="0000FF"/>
              </w:rPr>
              <w:t>c.政策可行性。根据《固体废物分类与代码目录》，脱硫石膏属于SW06/900-099-S06类一般工业固体废物。国家鼓励工业副产石膏的综合利用，推动脱硫石膏在建材领域的资源化利用。本项目脱硫石膏外售综合利用符合国家固废资源化利用政策导向。</w:t>
            </w:r>
          </w:p>
          <w:p w14:paraId="1D290915">
            <w:pPr>
              <w:pStyle w:val="65"/>
              <w:ind w:firstLine="480"/>
              <w:rPr>
                <w:rFonts w:eastAsiaTheme="minorEastAsia"/>
                <w:color w:val="0000FF"/>
              </w:rPr>
            </w:pPr>
            <w:r>
              <w:rPr>
                <w:rFonts w:eastAsiaTheme="minorEastAsia"/>
                <w:color w:val="0000FF"/>
              </w:rPr>
              <w:t>d.管理可行性。建立脱硫石膏产生、贮存、外运和利用的全过程管理台账，确保固废去向可追溯、可核查。一般固废贮存间按照《一般工业固体废物贮存和填埋污染控制标准》（GB18599-2020）建设，满足暂存要求。</w:t>
            </w:r>
          </w:p>
          <w:p w14:paraId="4A4E3C86">
            <w:pPr>
              <w:pStyle w:val="65"/>
              <w:ind w:firstLine="480"/>
              <w:rPr>
                <w:rFonts w:eastAsiaTheme="minorEastAsia"/>
                <w:color w:val="0000FF"/>
              </w:rPr>
            </w:pPr>
            <w:r>
              <w:rPr>
                <w:rFonts w:eastAsiaTheme="minorEastAsia"/>
                <w:color w:val="0000FF"/>
              </w:rPr>
              <w:t>厂内转运方式：脱硫石膏清掏后，通过铲车或叉车运至厂内一般固废暂存间。</w:t>
            </w:r>
          </w:p>
          <w:p w14:paraId="3674CEFA">
            <w:pPr>
              <w:pStyle w:val="65"/>
              <w:ind w:firstLine="480"/>
              <w:rPr>
                <w:rFonts w:eastAsiaTheme="minorEastAsia"/>
                <w:color w:val="0000FF"/>
              </w:rPr>
            </w:pPr>
            <w:r>
              <w:rPr>
                <w:rFonts w:eastAsiaTheme="minorEastAsia"/>
                <w:color w:val="0000FF"/>
              </w:rPr>
              <w:t>储存方式：在厂区内设置一般固废暂存间，用于存放脱硫石膏等外售类一般工业固体废物。暂存间应采用库房式封闭结构，具有防雨淋、防扬散、防渗漏功能。脱硫石膏采用袋装存放，分类分区摆放，在显著位置张贴符合要求的环境保护图形标志，并注明固体废物类别。脱硫石膏定期出售，暂存间仅作为中转存放，不应长期大量积存。</w:t>
            </w:r>
          </w:p>
          <w:p w14:paraId="3A350EAF">
            <w:pPr>
              <w:pStyle w:val="65"/>
              <w:ind w:firstLine="480"/>
              <w:rPr>
                <w:rFonts w:eastAsiaTheme="minorEastAsia"/>
                <w:color w:val="0000FF"/>
              </w:rPr>
            </w:pPr>
            <w:r>
              <w:rPr>
                <w:rFonts w:eastAsiaTheme="minorEastAsia"/>
                <w:color w:val="0000FF"/>
              </w:rPr>
              <w:t>清掏周期：企业可根据实际运行情况及暂存设施容量自行确定。为保障脱硫系统稳定运行、防止沉淀物积累影响处理效果，建议将清掏频次设定为每月一次。清掏作业应避开生产高峰期，采用人工或机械方式将脱硫塔及沉淀池内的石膏及含钙沉淀物清理干净，装入防漏袋中暂存于一般固废间，并建立清掏台账，记录清掏时间、数量及去向，清掏的主要成分与脱硫石膏基本相同，作为脱硫石膏定期外售综合利用。</w:t>
            </w:r>
          </w:p>
          <w:p w14:paraId="20811C74">
            <w:pPr>
              <w:pStyle w:val="65"/>
              <w:ind w:firstLine="480"/>
              <w:rPr>
                <w:rFonts w:eastAsiaTheme="minorEastAsia"/>
                <w:color w:val="0000FF"/>
              </w:rPr>
            </w:pPr>
            <w:r>
              <w:rPr>
                <w:rFonts w:eastAsiaTheme="minorEastAsia"/>
                <w:color w:val="0000FF"/>
              </w:rPr>
              <w:t>脱硫石膏的综合利用去向主要包括：作为水泥缓凝剂替代天然石膏用于水泥生产；加工制成纸面石膏板、建筑石膏粉、轻质抹灰石膏等绿色建材产品；用于改良盐碱土壤的农业应用，实现固废资源化利用。</w:t>
            </w:r>
          </w:p>
          <w:p w14:paraId="142D4F8E">
            <w:pPr>
              <w:pStyle w:val="65"/>
              <w:ind w:firstLine="480"/>
              <w:rPr>
                <w:rFonts w:eastAsiaTheme="minorEastAsia"/>
                <w:color w:val="0000FF"/>
              </w:rPr>
            </w:pPr>
            <w:r>
              <w:rPr>
                <w:rFonts w:eastAsiaTheme="minorEastAsia"/>
                <w:color w:val="0000FF"/>
              </w:rPr>
              <w:t>环保要求：建立脱硫石膏管理台账，如实记录产生量、暂存量、外运量、去向（接收单位）、利用处置方式等信息，台账保存期限不少于5年。脱硫石膏定期外售时，应当核实受托方（接收单位）的经营范围、证照信息和技术能力，在依法签订的书面合同中明确运输责任、污染防治要求和利用处置方式。涉及跨省转移脱硫石膏的，应当依法履行审批或备案程序。若生产中因原辅材料来源等变更，应对可能产生危险废物的固体废物进行鉴别。禁止将脱硫石膏等一般工业固体废物投放到生活垃圾收集设施。</w:t>
            </w:r>
          </w:p>
          <w:p w14:paraId="2951C404">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沉淀池沉淀</w:t>
            </w:r>
          </w:p>
          <w:p w14:paraId="40D9A798">
            <w:pPr>
              <w:pStyle w:val="65"/>
              <w:ind w:firstLine="480"/>
              <w:rPr>
                <w:rFonts w:eastAsiaTheme="minorEastAsia"/>
                <w:color w:val="0000FF"/>
              </w:rPr>
            </w:pPr>
            <w:r>
              <w:rPr>
                <w:rFonts w:eastAsiaTheme="minorEastAsia"/>
                <w:color w:val="0000FF"/>
              </w:rPr>
              <w:t>本项目采用石灰-石膏湿法脱硫工艺，喷淋水循环使用过程中，烟气中的粉尘、脱硫反应生成的固体物质会逐渐在沉淀池中积聚，形成沉淀池沉淀。根据物料衡算原则，结合同类湿法脱硫项目运行经验数据，沉淀池沉淀产生量约为脱硫石膏产生量的5%~10%（以湿基计）。本项目脱硫石膏产生量为8.29t/a，沉淀池沉淀产生量按脱硫石膏产生量的8%估算，则产生量约为0.472 t/a（干重），含水约20%，即0.118t/a，因此作为固体废物处理的沉淀池沉淀总重0.59t/a（计算过程见水平衡计算章节）。</w:t>
            </w:r>
          </w:p>
          <w:p w14:paraId="78FF3966">
            <w:pPr>
              <w:pStyle w:val="65"/>
              <w:ind w:firstLine="480"/>
              <w:rPr>
                <w:rFonts w:eastAsiaTheme="minorEastAsia"/>
                <w:color w:val="0000FF"/>
              </w:rPr>
            </w:pPr>
            <w:r>
              <w:rPr>
                <w:rFonts w:eastAsiaTheme="minorEastAsia"/>
                <w:color w:val="0000FF"/>
              </w:rPr>
              <w:t>本项目烟气经前端布袋除尘器处理后颗粒物浓度已较低，实际进入脱硫系统的粉尘量较少，沉淀池沉淀主要以脱硫反应生成的亚硫酸钙和硫酸钙为主，辅以少量未反应的石灰石/石灰及烟气携带的微量粉尘。因含水率较高、杂质含量波动等因素，本次环评按照产生沉淀0.59t/a进行分析。根据《一般固体废物分类与代码》，沉淀池沉淀属于</w:t>
            </w:r>
            <w:r>
              <w:rPr>
                <w:rFonts w:hint="eastAsia" w:eastAsiaTheme="minorEastAsia"/>
                <w:color w:val="0000FF"/>
              </w:rPr>
              <w:t>“</w:t>
            </w:r>
            <w:r>
              <w:rPr>
                <w:rFonts w:eastAsiaTheme="minorEastAsia"/>
                <w:color w:val="0000FF"/>
              </w:rPr>
              <w:t>非特定行业其他污泥</w:t>
            </w:r>
            <w:r>
              <w:rPr>
                <w:rFonts w:hint="eastAsia" w:eastAsiaTheme="minorEastAsia"/>
                <w:color w:val="0000FF"/>
              </w:rPr>
              <w:t>”</w:t>
            </w:r>
            <w:r>
              <w:rPr>
                <w:rFonts w:eastAsiaTheme="minorEastAsia"/>
                <w:color w:val="0000FF"/>
              </w:rPr>
              <w:t>，代码为900-099-S07，属于一般工业固体废物。收集后存于一般固废间，定期委托处置。</w:t>
            </w:r>
          </w:p>
          <w:p w14:paraId="7249ED52">
            <w:pPr>
              <w:pStyle w:val="65"/>
              <w:ind w:firstLine="480"/>
              <w:rPr>
                <w:rFonts w:eastAsiaTheme="minorEastAsia"/>
                <w:color w:val="0000FF"/>
              </w:rPr>
            </w:pPr>
            <w:bookmarkStart w:id="8" w:name="OLE_LINK27"/>
            <w:r>
              <w:rPr>
                <w:rFonts w:eastAsiaTheme="minorEastAsia"/>
                <w:color w:val="0000FF"/>
              </w:rPr>
              <w:t>沉淀池沉淀去向：</w:t>
            </w:r>
          </w:p>
          <w:p w14:paraId="192258F4">
            <w:pPr>
              <w:pStyle w:val="65"/>
              <w:ind w:firstLine="480"/>
              <w:rPr>
                <w:rFonts w:eastAsiaTheme="minorEastAsia"/>
                <w:color w:val="0000FF"/>
              </w:rPr>
            </w:pPr>
            <w:r>
              <w:rPr>
                <w:rFonts w:eastAsiaTheme="minorEastAsia"/>
                <w:color w:val="0000FF"/>
              </w:rPr>
              <w:t>收集的沉淀池沉淀（污泥，SW07，代码900-099-S07）暂存于一般固废间，定期交由朝阳中昊生态环境治理有限公司处置，该公司的《辽宁中昊生态环境治理有限公司矿山恢复综合治理项目环境影响报告书》中明确可接收Ⅰ、Ⅱ类一般工业固体废物（含污泥）进行矿山回填处理。</w:t>
            </w:r>
          </w:p>
          <w:bookmarkEnd w:id="8"/>
          <w:p w14:paraId="55BB4D59">
            <w:pPr>
              <w:pStyle w:val="65"/>
              <w:ind w:firstLine="480"/>
              <w:rPr>
                <w:rFonts w:eastAsiaTheme="minorEastAsia"/>
                <w:color w:val="0000FF"/>
              </w:rPr>
            </w:pPr>
            <w:r>
              <w:rPr>
                <w:rFonts w:eastAsiaTheme="minorEastAsia"/>
                <w:color w:val="0000FF"/>
              </w:rPr>
              <w:t>厂内转运方式： 沉淀池沉淀定期清掏后，通过铲车或叉车运至厂内一般固废暂存间。清掏作业时应注意轻装轻运，防止撒漏。</w:t>
            </w:r>
          </w:p>
          <w:p w14:paraId="0D933ED4">
            <w:pPr>
              <w:pStyle w:val="65"/>
              <w:ind w:firstLine="480"/>
              <w:rPr>
                <w:rFonts w:eastAsiaTheme="minorEastAsia"/>
                <w:color w:val="0000FF"/>
              </w:rPr>
            </w:pPr>
            <w:r>
              <w:rPr>
                <w:rFonts w:eastAsiaTheme="minorEastAsia"/>
                <w:color w:val="0000FF"/>
              </w:rPr>
              <w:t>储存方式： 在厂区内设置一般固废暂存间，用于存放沉淀池沉淀等外运处置类一般工业固体废物。暂存间应采用库房式封闭结构，具有防雨淋、防扬散、防渗漏功能。沉淀池沉淀属于含水率较高的湿态固体废物，建议采用防漏袋盛装或专用容器存放，防止渗滤液泄漏。各类固废应分类分区摆放，并在显著位置张贴符合要求的环境保护图形标志，注明固体废物类别。沉淀池沉淀应定期外运处置，暂存间仅作为中转存放，不应长期大量积存。</w:t>
            </w:r>
          </w:p>
          <w:p w14:paraId="64DE0947">
            <w:pPr>
              <w:pStyle w:val="65"/>
              <w:ind w:firstLine="480"/>
              <w:rPr>
                <w:rFonts w:eastAsiaTheme="minorEastAsia"/>
                <w:color w:val="0000FF"/>
              </w:rPr>
            </w:pPr>
            <w:r>
              <w:rPr>
                <w:rFonts w:eastAsiaTheme="minorEastAsia"/>
                <w:color w:val="0000FF"/>
              </w:rPr>
              <w:t>清掏周期： 企业可根据实际运行情况、沉淀池容积及沉淀物积累速度自行确定清掏频次。为保障脱硫系统稳定运行、防止沉淀物积累过多影响循环水水质及脱硫效率，建议将清掏频次设定为每三个月一次。清掏作业应避开生产高峰期，采用人工或机械方式将沉淀池底部沉淀物清理干净，装入防漏袋中暂存于一般固废间，并建立清掏台账，记录清掏时间、数量（湿重估算）、含水率及去向，沉淀池沉淀暂存于一般固废间，定期交由朝阳中昊生态环境治理有限公司处置，该公司的《辽宁中昊生态环境治理有限公司矿山恢复综合治理项目环境影响报告书》中明确可接收Ⅰ、Ⅱ类一般工业固体废物（含污泥）进行矿山回填处理。</w:t>
            </w:r>
          </w:p>
          <w:p w14:paraId="3516E6D3">
            <w:pPr>
              <w:pStyle w:val="65"/>
              <w:ind w:firstLine="480"/>
              <w:rPr>
                <w:rFonts w:eastAsiaTheme="minorEastAsia"/>
                <w:color w:val="0000FF"/>
              </w:rPr>
            </w:pPr>
            <w:r>
              <w:rPr>
                <w:rFonts w:eastAsiaTheme="minorEastAsia"/>
                <w:color w:val="0000FF"/>
              </w:rPr>
              <w:t>环保要求： 建立沉淀池沉淀管理台账，如实记录产生量、暂存量、外运量、去向（接收单位）、利用处置方式等信息，台账保存期限不少于5年。沉淀池沉淀定期外运时，应当核实受托方（接收单位）的经营范围、证照信息和技术能力，在依法签订的书面合同中明确运输责任、污染防治要求和利用处置方式。涉及跨省转移的，应当依法履行审批或备案程序。若生产中因原辅材料来源等变更，应对可能产生危险废物的固体废物进行鉴别。禁止将沉淀池沉淀等一般工业固体废物投放到生活垃圾收集设施。建议企业在运营初期对沉淀池沉淀进行成分检测，确认其一般工业固体废物属性，并根据实际成分确定最适宜的资源化利用途径。</w:t>
            </w:r>
          </w:p>
          <w:p w14:paraId="4AA1F40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（3）危险废物</w:t>
            </w:r>
          </w:p>
          <w:p w14:paraId="421CC14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项目设备维护保养时，会产生废机油、废油桶，废机油产生量为0.5t/a，废油桶产生量为0.01t/a，均属于危险废物。对照《国家危险废物名录》（2025版），废机油属于HW08类危险废物，危险废物代码为</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900-214-08</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；废油桶属于HW08类危险废物，危险废物代码为</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900-249-08</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w:t>
            </w:r>
          </w:p>
          <w:p w14:paraId="642EEAB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废机油、废油桶收集后暂存于危废贮存点，定期委托有资质单位处置。</w:t>
            </w:r>
          </w:p>
          <w:p w14:paraId="76EEBA2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（4）生活垃圾</w:t>
            </w:r>
          </w:p>
          <w:p w14:paraId="3F6958C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项目员工7人，年工作180天，生活垃圾产生量按0.5kg/人•d计，故本项目营运期员工生活垃圾产生量为0.63t/a，生活垃圾箱暂存后送附近垃圾点。</w:t>
            </w:r>
          </w:p>
          <w:p w14:paraId="478034B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本项目固废产生情况见下表。</w:t>
            </w:r>
          </w:p>
          <w:p w14:paraId="1C74446D">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表4-21项目营运期固体废物分析结果汇总表</w:t>
            </w:r>
          </w:p>
          <w:tbl>
            <w:tblPr>
              <w:tblStyle w:val="35"/>
              <w:tblW w:w="4999"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376"/>
              <w:gridCol w:w="985"/>
              <w:gridCol w:w="848"/>
              <w:gridCol w:w="708"/>
              <w:gridCol w:w="708"/>
              <w:gridCol w:w="1066"/>
              <w:gridCol w:w="914"/>
              <w:gridCol w:w="1368"/>
              <w:gridCol w:w="736"/>
              <w:gridCol w:w="735"/>
            </w:tblGrid>
            <w:tr w14:paraId="6446ED98">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double" w:color="auto" w:sz="2" w:space="0"/>
                    <w:left w:val="nil"/>
                    <w:bottom w:val="single" w:color="auto" w:sz="6" w:space="0"/>
                    <w:right w:val="single" w:color="auto" w:sz="6" w:space="0"/>
                  </w:tcBorders>
                  <w:vAlign w:val="center"/>
                </w:tcPr>
                <w:p w14:paraId="3371D68D">
                  <w:pPr>
                    <w:pStyle w:val="48"/>
                  </w:pPr>
                  <w:bookmarkStart w:id="9" w:name="_Hlk131184208"/>
                  <w:r>
                    <w:t>序号</w:t>
                  </w:r>
                  <w:bookmarkEnd w:id="9"/>
                </w:p>
              </w:tc>
              <w:tc>
                <w:tcPr>
                  <w:tcW w:w="985" w:type="dxa"/>
                  <w:tcBorders>
                    <w:top w:val="double" w:color="auto" w:sz="2" w:space="0"/>
                    <w:left w:val="single" w:color="auto" w:sz="6" w:space="0"/>
                    <w:bottom w:val="single" w:color="auto" w:sz="6" w:space="0"/>
                    <w:right w:val="single" w:color="auto" w:sz="6" w:space="0"/>
                  </w:tcBorders>
                  <w:vAlign w:val="center"/>
                </w:tcPr>
                <w:p w14:paraId="3140A79B">
                  <w:pPr>
                    <w:pStyle w:val="48"/>
                  </w:pPr>
                  <w:r>
                    <w:t>名称</w:t>
                  </w:r>
                </w:p>
              </w:tc>
              <w:tc>
                <w:tcPr>
                  <w:tcW w:w="848" w:type="dxa"/>
                  <w:tcBorders>
                    <w:top w:val="double" w:color="auto" w:sz="2" w:space="0"/>
                    <w:left w:val="single" w:color="auto" w:sz="6" w:space="0"/>
                    <w:bottom w:val="single" w:color="auto" w:sz="6" w:space="0"/>
                    <w:right w:val="single" w:color="auto" w:sz="6" w:space="0"/>
                  </w:tcBorders>
                  <w:vAlign w:val="center"/>
                </w:tcPr>
                <w:p w14:paraId="186AAA9F">
                  <w:pPr>
                    <w:pStyle w:val="48"/>
                  </w:pPr>
                  <w:r>
                    <w:t>产污</w:t>
                  </w:r>
                </w:p>
                <w:p w14:paraId="4F2049E9">
                  <w:pPr>
                    <w:pStyle w:val="48"/>
                  </w:pPr>
                  <w:r>
                    <w:t>环节</w:t>
                  </w:r>
                </w:p>
              </w:tc>
              <w:tc>
                <w:tcPr>
                  <w:tcW w:w="708" w:type="dxa"/>
                  <w:tcBorders>
                    <w:top w:val="double" w:color="auto" w:sz="2" w:space="0"/>
                    <w:left w:val="single" w:color="auto" w:sz="6" w:space="0"/>
                    <w:bottom w:val="single" w:color="auto" w:sz="6" w:space="0"/>
                    <w:right w:val="single" w:color="auto" w:sz="6" w:space="0"/>
                  </w:tcBorders>
                  <w:vAlign w:val="center"/>
                </w:tcPr>
                <w:p w14:paraId="24C059AC">
                  <w:pPr>
                    <w:pStyle w:val="48"/>
                  </w:pPr>
                  <w:r>
                    <w:t>形态</w:t>
                  </w:r>
                </w:p>
              </w:tc>
              <w:tc>
                <w:tcPr>
                  <w:tcW w:w="708" w:type="dxa"/>
                  <w:tcBorders>
                    <w:top w:val="double" w:color="auto" w:sz="2" w:space="0"/>
                    <w:left w:val="single" w:color="auto" w:sz="6" w:space="0"/>
                    <w:bottom w:val="single" w:color="auto" w:sz="6" w:space="0"/>
                    <w:right w:val="single" w:color="auto" w:sz="6" w:space="0"/>
                  </w:tcBorders>
                  <w:vAlign w:val="center"/>
                </w:tcPr>
                <w:p w14:paraId="023CCFCA">
                  <w:pPr>
                    <w:pStyle w:val="48"/>
                  </w:pPr>
                  <w:r>
                    <w:t>属性</w:t>
                  </w:r>
                </w:p>
              </w:tc>
              <w:tc>
                <w:tcPr>
                  <w:tcW w:w="1066" w:type="dxa"/>
                  <w:tcBorders>
                    <w:top w:val="double" w:color="auto" w:sz="2" w:space="0"/>
                    <w:left w:val="single" w:color="auto" w:sz="6" w:space="0"/>
                    <w:bottom w:val="single" w:color="auto" w:sz="6" w:space="0"/>
                    <w:right w:val="single" w:color="auto" w:sz="6" w:space="0"/>
                  </w:tcBorders>
                  <w:vAlign w:val="center"/>
                </w:tcPr>
                <w:p w14:paraId="71FC239D">
                  <w:pPr>
                    <w:pStyle w:val="48"/>
                  </w:pPr>
                  <w:r>
                    <w:t>主要有毒有害物质</w:t>
                  </w:r>
                </w:p>
              </w:tc>
              <w:tc>
                <w:tcPr>
                  <w:tcW w:w="914" w:type="dxa"/>
                  <w:tcBorders>
                    <w:top w:val="double" w:color="auto" w:sz="2" w:space="0"/>
                    <w:left w:val="single" w:color="auto" w:sz="6" w:space="0"/>
                    <w:bottom w:val="single" w:color="auto" w:sz="6" w:space="0"/>
                    <w:right w:val="single" w:color="auto" w:sz="6" w:space="0"/>
                  </w:tcBorders>
                  <w:vAlign w:val="center"/>
                </w:tcPr>
                <w:p w14:paraId="70EF36D2">
                  <w:pPr>
                    <w:pStyle w:val="48"/>
                  </w:pPr>
                  <w:r>
                    <w:t>废物类别</w:t>
                  </w:r>
                </w:p>
              </w:tc>
              <w:tc>
                <w:tcPr>
                  <w:tcW w:w="1368" w:type="dxa"/>
                  <w:tcBorders>
                    <w:top w:val="double" w:color="auto" w:sz="2" w:space="0"/>
                    <w:left w:val="single" w:color="auto" w:sz="6" w:space="0"/>
                    <w:bottom w:val="single" w:color="auto" w:sz="6" w:space="0"/>
                    <w:right w:val="single" w:color="auto" w:sz="6" w:space="0"/>
                  </w:tcBorders>
                  <w:vAlign w:val="center"/>
                </w:tcPr>
                <w:p w14:paraId="2416FFB7">
                  <w:pPr>
                    <w:pStyle w:val="48"/>
                  </w:pPr>
                  <w:r>
                    <w:t>废物代码</w:t>
                  </w:r>
                </w:p>
              </w:tc>
              <w:tc>
                <w:tcPr>
                  <w:tcW w:w="736" w:type="dxa"/>
                  <w:tcBorders>
                    <w:top w:val="double" w:color="auto" w:sz="2" w:space="0"/>
                    <w:left w:val="single" w:color="auto" w:sz="6" w:space="0"/>
                    <w:bottom w:val="single" w:color="auto" w:sz="6" w:space="0"/>
                    <w:right w:val="single" w:color="auto" w:sz="6" w:space="0"/>
                  </w:tcBorders>
                  <w:vAlign w:val="center"/>
                </w:tcPr>
                <w:p w14:paraId="215CD8D6">
                  <w:pPr>
                    <w:pStyle w:val="48"/>
                  </w:pPr>
                  <w:r>
                    <w:t>危险</w:t>
                  </w:r>
                </w:p>
                <w:p w14:paraId="01F75CEB">
                  <w:pPr>
                    <w:pStyle w:val="48"/>
                  </w:pPr>
                  <w:r>
                    <w:t>特性</w:t>
                  </w:r>
                </w:p>
              </w:tc>
              <w:tc>
                <w:tcPr>
                  <w:tcW w:w="735" w:type="dxa"/>
                  <w:tcBorders>
                    <w:top w:val="double" w:color="auto" w:sz="2" w:space="0"/>
                    <w:left w:val="single" w:color="auto" w:sz="6" w:space="0"/>
                    <w:bottom w:val="single" w:color="auto" w:sz="6" w:space="0"/>
                    <w:right w:val="nil"/>
                  </w:tcBorders>
                  <w:vAlign w:val="center"/>
                </w:tcPr>
                <w:p w14:paraId="09B44850">
                  <w:pPr>
                    <w:pStyle w:val="48"/>
                  </w:pPr>
                  <w:r>
                    <w:t>产生量（t/a）</w:t>
                  </w:r>
                </w:p>
              </w:tc>
            </w:tr>
            <w:tr w14:paraId="11E83DE5">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single" w:color="auto" w:sz="6" w:space="0"/>
                    <w:left w:val="nil"/>
                    <w:bottom w:val="single" w:color="auto" w:sz="6" w:space="0"/>
                    <w:right w:val="single" w:color="auto" w:sz="6" w:space="0"/>
                  </w:tcBorders>
                  <w:vAlign w:val="center"/>
                </w:tcPr>
                <w:p w14:paraId="1015CA76">
                  <w:pPr>
                    <w:pStyle w:val="48"/>
                  </w:pPr>
                  <w:r>
                    <w:t>1</w:t>
                  </w:r>
                </w:p>
              </w:tc>
              <w:tc>
                <w:tcPr>
                  <w:tcW w:w="985" w:type="dxa"/>
                  <w:tcBorders>
                    <w:top w:val="single" w:color="auto" w:sz="6" w:space="0"/>
                    <w:left w:val="single" w:color="auto" w:sz="6" w:space="0"/>
                    <w:bottom w:val="single" w:color="auto" w:sz="6" w:space="0"/>
                    <w:right w:val="single" w:color="auto" w:sz="6" w:space="0"/>
                  </w:tcBorders>
                  <w:vAlign w:val="center"/>
                </w:tcPr>
                <w:p w14:paraId="2F04CACA">
                  <w:pPr>
                    <w:pStyle w:val="48"/>
                  </w:pPr>
                  <w:r>
                    <w:t>脱硫石膏</w:t>
                  </w:r>
                </w:p>
              </w:tc>
              <w:tc>
                <w:tcPr>
                  <w:tcW w:w="848" w:type="dxa"/>
                  <w:tcBorders>
                    <w:top w:val="single" w:color="auto" w:sz="6" w:space="0"/>
                    <w:left w:val="single" w:color="auto" w:sz="6" w:space="0"/>
                    <w:bottom w:val="single" w:color="auto" w:sz="6" w:space="0"/>
                    <w:right w:val="single" w:color="auto" w:sz="6" w:space="0"/>
                  </w:tcBorders>
                  <w:vAlign w:val="center"/>
                </w:tcPr>
                <w:p w14:paraId="65E46A84">
                  <w:pPr>
                    <w:pStyle w:val="48"/>
                  </w:pPr>
                  <w:r>
                    <w:t>废气</w:t>
                  </w:r>
                </w:p>
                <w:p w14:paraId="06D74092">
                  <w:pPr>
                    <w:pStyle w:val="48"/>
                  </w:pPr>
                  <w:r>
                    <w:t>处理</w:t>
                  </w:r>
                </w:p>
              </w:tc>
              <w:tc>
                <w:tcPr>
                  <w:tcW w:w="708" w:type="dxa"/>
                  <w:tcBorders>
                    <w:top w:val="single" w:color="auto" w:sz="6" w:space="0"/>
                    <w:left w:val="single" w:color="auto" w:sz="6" w:space="0"/>
                    <w:bottom w:val="single" w:color="auto" w:sz="6" w:space="0"/>
                    <w:right w:val="single" w:color="auto" w:sz="6" w:space="0"/>
                  </w:tcBorders>
                  <w:vAlign w:val="center"/>
                </w:tcPr>
                <w:p w14:paraId="0AD4C2C3">
                  <w:pPr>
                    <w:pStyle w:val="48"/>
                  </w:pPr>
                  <w:r>
                    <w:t>固</w:t>
                  </w:r>
                </w:p>
              </w:tc>
              <w:tc>
                <w:tcPr>
                  <w:tcW w:w="708" w:type="dxa"/>
                  <w:vMerge w:val="restart"/>
                  <w:tcBorders>
                    <w:left w:val="single" w:color="auto" w:sz="6" w:space="0"/>
                    <w:right w:val="single" w:color="auto" w:sz="6" w:space="0"/>
                  </w:tcBorders>
                  <w:vAlign w:val="center"/>
                </w:tcPr>
                <w:p w14:paraId="1F405C47">
                  <w:pPr>
                    <w:pStyle w:val="48"/>
                    <w:rPr>
                      <w:kern w:val="0"/>
                    </w:rPr>
                  </w:pPr>
                  <w:r>
                    <w:rPr>
                      <w:kern w:val="0"/>
                    </w:rPr>
                    <w:t>一般固体废物</w:t>
                  </w:r>
                </w:p>
              </w:tc>
              <w:tc>
                <w:tcPr>
                  <w:tcW w:w="1066" w:type="dxa"/>
                  <w:tcBorders>
                    <w:top w:val="single" w:color="auto" w:sz="6" w:space="0"/>
                    <w:left w:val="single" w:color="auto" w:sz="6" w:space="0"/>
                    <w:bottom w:val="single" w:color="auto" w:sz="6" w:space="0"/>
                    <w:right w:val="single" w:color="auto" w:sz="6" w:space="0"/>
                  </w:tcBorders>
                  <w:vAlign w:val="center"/>
                </w:tcPr>
                <w:p w14:paraId="0320D46E">
                  <w:pPr>
                    <w:pStyle w:val="48"/>
                  </w:pPr>
                  <w:r>
                    <w:t>/</w:t>
                  </w:r>
                </w:p>
              </w:tc>
              <w:tc>
                <w:tcPr>
                  <w:tcW w:w="914" w:type="dxa"/>
                  <w:tcBorders>
                    <w:top w:val="single" w:color="auto" w:sz="6" w:space="0"/>
                    <w:left w:val="single" w:color="auto" w:sz="6" w:space="0"/>
                    <w:bottom w:val="single" w:color="auto" w:sz="6" w:space="0"/>
                    <w:right w:val="single" w:color="auto" w:sz="6" w:space="0"/>
                  </w:tcBorders>
                  <w:vAlign w:val="center"/>
                </w:tcPr>
                <w:p w14:paraId="1D824220">
                  <w:pPr>
                    <w:pStyle w:val="48"/>
                  </w:pPr>
                  <w:r>
                    <w:t>900-099-S06</w:t>
                  </w:r>
                </w:p>
              </w:tc>
              <w:tc>
                <w:tcPr>
                  <w:tcW w:w="1368" w:type="dxa"/>
                  <w:tcBorders>
                    <w:top w:val="single" w:color="auto" w:sz="6" w:space="0"/>
                    <w:left w:val="single" w:color="auto" w:sz="6" w:space="0"/>
                    <w:bottom w:val="single" w:color="auto" w:sz="6" w:space="0"/>
                    <w:right w:val="single" w:color="auto" w:sz="6" w:space="0"/>
                  </w:tcBorders>
                  <w:vAlign w:val="center"/>
                </w:tcPr>
                <w:p w14:paraId="292F8804">
                  <w:pPr>
                    <w:pStyle w:val="48"/>
                    <w:rPr>
                      <w:color w:val="0000FF"/>
                    </w:rPr>
                  </w:pPr>
                  <w:r>
                    <w:rPr>
                      <w:color w:val="0000FF"/>
                    </w:rPr>
                    <w:t>900-099-S07</w:t>
                  </w:r>
                </w:p>
              </w:tc>
              <w:tc>
                <w:tcPr>
                  <w:tcW w:w="736" w:type="dxa"/>
                  <w:tcBorders>
                    <w:top w:val="single" w:color="auto" w:sz="6" w:space="0"/>
                    <w:left w:val="single" w:color="auto" w:sz="6" w:space="0"/>
                    <w:bottom w:val="single" w:color="auto" w:sz="6" w:space="0"/>
                    <w:right w:val="single" w:color="auto" w:sz="6" w:space="0"/>
                  </w:tcBorders>
                  <w:vAlign w:val="center"/>
                </w:tcPr>
                <w:p w14:paraId="1F81C963">
                  <w:pPr>
                    <w:pStyle w:val="48"/>
                  </w:pPr>
                  <w:r>
                    <w:t>/</w:t>
                  </w:r>
                </w:p>
              </w:tc>
              <w:tc>
                <w:tcPr>
                  <w:tcW w:w="735" w:type="dxa"/>
                  <w:tcBorders>
                    <w:top w:val="single" w:color="auto" w:sz="6" w:space="0"/>
                    <w:left w:val="single" w:color="auto" w:sz="6" w:space="0"/>
                    <w:bottom w:val="single" w:color="auto" w:sz="6" w:space="0"/>
                    <w:right w:val="nil"/>
                  </w:tcBorders>
                  <w:vAlign w:val="center"/>
                </w:tcPr>
                <w:p w14:paraId="51179CD3">
                  <w:pPr>
                    <w:pStyle w:val="48"/>
                  </w:pPr>
                  <w:r>
                    <w:rPr>
                      <w:color w:val="0000FF"/>
                      <w:sz w:val="22"/>
                      <w:szCs w:val="22"/>
                    </w:rPr>
                    <w:t>8.29</w:t>
                  </w:r>
                </w:p>
              </w:tc>
            </w:tr>
            <w:tr w14:paraId="64AFE8E0">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single" w:color="auto" w:sz="6" w:space="0"/>
                    <w:left w:val="nil"/>
                    <w:bottom w:val="single" w:color="auto" w:sz="6" w:space="0"/>
                    <w:right w:val="single" w:color="auto" w:sz="6" w:space="0"/>
                  </w:tcBorders>
                  <w:vAlign w:val="center"/>
                </w:tcPr>
                <w:p w14:paraId="159B3B9B">
                  <w:pPr>
                    <w:pStyle w:val="48"/>
                  </w:pPr>
                  <w:r>
                    <w:t>2</w:t>
                  </w:r>
                </w:p>
              </w:tc>
              <w:tc>
                <w:tcPr>
                  <w:tcW w:w="985" w:type="dxa"/>
                  <w:tcBorders>
                    <w:top w:val="single" w:color="auto" w:sz="6" w:space="0"/>
                    <w:left w:val="single" w:color="auto" w:sz="6" w:space="0"/>
                    <w:bottom w:val="single" w:color="auto" w:sz="6" w:space="0"/>
                    <w:right w:val="single" w:color="auto" w:sz="6" w:space="0"/>
                  </w:tcBorders>
                  <w:vAlign w:val="center"/>
                </w:tcPr>
                <w:p w14:paraId="7F4A72BC">
                  <w:pPr>
                    <w:pStyle w:val="48"/>
                  </w:pPr>
                  <w:r>
                    <w:t>沉淀池沉淀</w:t>
                  </w:r>
                </w:p>
              </w:tc>
              <w:tc>
                <w:tcPr>
                  <w:tcW w:w="848" w:type="dxa"/>
                  <w:tcBorders>
                    <w:top w:val="single" w:color="auto" w:sz="6" w:space="0"/>
                    <w:left w:val="single" w:color="auto" w:sz="6" w:space="0"/>
                    <w:bottom w:val="single" w:color="auto" w:sz="6" w:space="0"/>
                    <w:right w:val="single" w:color="auto" w:sz="6" w:space="0"/>
                  </w:tcBorders>
                  <w:vAlign w:val="center"/>
                </w:tcPr>
                <w:p w14:paraId="662096CC">
                  <w:pPr>
                    <w:pStyle w:val="48"/>
                  </w:pPr>
                  <w:r>
                    <w:t>废气</w:t>
                  </w:r>
                </w:p>
                <w:p w14:paraId="0B45FDBC">
                  <w:pPr>
                    <w:pStyle w:val="48"/>
                  </w:pPr>
                  <w:r>
                    <w:t>处理</w:t>
                  </w:r>
                </w:p>
              </w:tc>
              <w:tc>
                <w:tcPr>
                  <w:tcW w:w="708" w:type="dxa"/>
                  <w:tcBorders>
                    <w:top w:val="single" w:color="auto" w:sz="6" w:space="0"/>
                    <w:left w:val="single" w:color="auto" w:sz="6" w:space="0"/>
                    <w:bottom w:val="single" w:color="auto" w:sz="6" w:space="0"/>
                    <w:right w:val="single" w:color="auto" w:sz="6" w:space="0"/>
                  </w:tcBorders>
                  <w:vAlign w:val="center"/>
                </w:tcPr>
                <w:p w14:paraId="1723BECF">
                  <w:pPr>
                    <w:pStyle w:val="48"/>
                  </w:pPr>
                  <w:r>
                    <w:t>固</w:t>
                  </w:r>
                </w:p>
              </w:tc>
              <w:tc>
                <w:tcPr>
                  <w:tcW w:w="708" w:type="dxa"/>
                  <w:vMerge w:val="continue"/>
                  <w:tcBorders>
                    <w:left w:val="single" w:color="auto" w:sz="6" w:space="0"/>
                    <w:bottom w:val="single" w:color="auto" w:sz="6" w:space="0"/>
                    <w:right w:val="single" w:color="auto" w:sz="6" w:space="0"/>
                  </w:tcBorders>
                  <w:vAlign w:val="center"/>
                </w:tcPr>
                <w:p w14:paraId="515BD6CD">
                  <w:pPr>
                    <w:pStyle w:val="48"/>
                    <w:rPr>
                      <w:kern w:val="0"/>
                    </w:rPr>
                  </w:pPr>
                </w:p>
              </w:tc>
              <w:tc>
                <w:tcPr>
                  <w:tcW w:w="1066" w:type="dxa"/>
                  <w:tcBorders>
                    <w:top w:val="single" w:color="auto" w:sz="6" w:space="0"/>
                    <w:left w:val="single" w:color="auto" w:sz="6" w:space="0"/>
                    <w:bottom w:val="single" w:color="auto" w:sz="6" w:space="0"/>
                    <w:right w:val="single" w:color="auto" w:sz="6" w:space="0"/>
                  </w:tcBorders>
                  <w:vAlign w:val="center"/>
                </w:tcPr>
                <w:p w14:paraId="4B4C5AE0">
                  <w:pPr>
                    <w:pStyle w:val="48"/>
                  </w:pPr>
                  <w:r>
                    <w:t>/</w:t>
                  </w:r>
                </w:p>
              </w:tc>
              <w:tc>
                <w:tcPr>
                  <w:tcW w:w="914" w:type="dxa"/>
                  <w:tcBorders>
                    <w:top w:val="single" w:color="auto" w:sz="6" w:space="0"/>
                    <w:left w:val="single" w:color="auto" w:sz="6" w:space="0"/>
                    <w:bottom w:val="single" w:color="auto" w:sz="6" w:space="0"/>
                    <w:right w:val="single" w:color="auto" w:sz="6" w:space="0"/>
                  </w:tcBorders>
                  <w:vAlign w:val="center"/>
                </w:tcPr>
                <w:p w14:paraId="4B472C80">
                  <w:pPr>
                    <w:pStyle w:val="48"/>
                  </w:pPr>
                  <w:r>
                    <w:t>900-099-S07</w:t>
                  </w:r>
                </w:p>
              </w:tc>
              <w:tc>
                <w:tcPr>
                  <w:tcW w:w="1368" w:type="dxa"/>
                  <w:tcBorders>
                    <w:top w:val="single" w:color="auto" w:sz="6" w:space="0"/>
                    <w:left w:val="single" w:color="auto" w:sz="6" w:space="0"/>
                    <w:bottom w:val="single" w:color="auto" w:sz="6" w:space="0"/>
                    <w:right w:val="single" w:color="auto" w:sz="6" w:space="0"/>
                  </w:tcBorders>
                  <w:vAlign w:val="center"/>
                </w:tcPr>
                <w:p w14:paraId="0482FE46">
                  <w:pPr>
                    <w:pStyle w:val="48"/>
                    <w:rPr>
                      <w:color w:val="0000FF"/>
                      <w:sz w:val="22"/>
                      <w:szCs w:val="22"/>
                    </w:rPr>
                  </w:pPr>
                  <w:r>
                    <w:rPr>
                      <w:color w:val="0000FF"/>
                    </w:rPr>
                    <w:t>900-099-S06</w:t>
                  </w:r>
                </w:p>
              </w:tc>
              <w:tc>
                <w:tcPr>
                  <w:tcW w:w="736" w:type="dxa"/>
                  <w:tcBorders>
                    <w:top w:val="single" w:color="auto" w:sz="6" w:space="0"/>
                    <w:left w:val="single" w:color="auto" w:sz="6" w:space="0"/>
                    <w:bottom w:val="single" w:color="auto" w:sz="6" w:space="0"/>
                    <w:right w:val="single" w:color="auto" w:sz="6" w:space="0"/>
                  </w:tcBorders>
                  <w:vAlign w:val="center"/>
                </w:tcPr>
                <w:p w14:paraId="306179C1">
                  <w:pPr>
                    <w:pStyle w:val="48"/>
                  </w:pPr>
                  <w:r>
                    <w:t>/</w:t>
                  </w:r>
                </w:p>
              </w:tc>
              <w:tc>
                <w:tcPr>
                  <w:tcW w:w="735" w:type="dxa"/>
                  <w:tcBorders>
                    <w:top w:val="single" w:color="auto" w:sz="6" w:space="0"/>
                    <w:left w:val="single" w:color="auto" w:sz="6" w:space="0"/>
                    <w:bottom w:val="single" w:color="auto" w:sz="6" w:space="0"/>
                    <w:right w:val="nil"/>
                  </w:tcBorders>
                  <w:vAlign w:val="center"/>
                </w:tcPr>
                <w:p w14:paraId="2688AF0A">
                  <w:pPr>
                    <w:pStyle w:val="48"/>
                    <w:rPr>
                      <w:sz w:val="22"/>
                      <w:szCs w:val="22"/>
                    </w:rPr>
                  </w:pPr>
                  <w:r>
                    <w:rPr>
                      <w:color w:val="0000FF"/>
                      <w:sz w:val="22"/>
                      <w:szCs w:val="22"/>
                    </w:rPr>
                    <w:t>0.59</w:t>
                  </w:r>
                </w:p>
              </w:tc>
            </w:tr>
            <w:tr w14:paraId="4E1F5067">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single" w:color="auto" w:sz="6" w:space="0"/>
                    <w:left w:val="nil"/>
                    <w:bottom w:val="single" w:color="auto" w:sz="6" w:space="0"/>
                    <w:right w:val="single" w:color="auto" w:sz="6" w:space="0"/>
                  </w:tcBorders>
                  <w:vAlign w:val="center"/>
                </w:tcPr>
                <w:p w14:paraId="4B85B5D6">
                  <w:pPr>
                    <w:pStyle w:val="48"/>
                  </w:pPr>
                  <w:r>
                    <w:t>3</w:t>
                  </w:r>
                </w:p>
              </w:tc>
              <w:tc>
                <w:tcPr>
                  <w:tcW w:w="985" w:type="dxa"/>
                  <w:tcBorders>
                    <w:top w:val="single" w:color="auto" w:sz="6" w:space="0"/>
                    <w:left w:val="single" w:color="auto" w:sz="6" w:space="0"/>
                    <w:bottom w:val="single" w:color="auto" w:sz="6" w:space="0"/>
                    <w:right w:val="single" w:color="auto" w:sz="6" w:space="0"/>
                  </w:tcBorders>
                  <w:vAlign w:val="center"/>
                </w:tcPr>
                <w:p w14:paraId="639DB220">
                  <w:pPr>
                    <w:pStyle w:val="48"/>
                  </w:pPr>
                  <w:r>
                    <w:t>废机油</w:t>
                  </w:r>
                </w:p>
              </w:tc>
              <w:tc>
                <w:tcPr>
                  <w:tcW w:w="848" w:type="dxa"/>
                  <w:tcBorders>
                    <w:top w:val="single" w:color="auto" w:sz="6" w:space="0"/>
                    <w:left w:val="single" w:color="auto" w:sz="6" w:space="0"/>
                    <w:bottom w:val="single" w:color="auto" w:sz="6" w:space="0"/>
                    <w:right w:val="single" w:color="auto" w:sz="6" w:space="0"/>
                  </w:tcBorders>
                  <w:vAlign w:val="center"/>
                </w:tcPr>
                <w:p w14:paraId="33C7583B">
                  <w:pPr>
                    <w:pStyle w:val="48"/>
                  </w:pPr>
                  <w:r>
                    <w:t>设备</w:t>
                  </w:r>
                </w:p>
                <w:p w14:paraId="0190AAC6">
                  <w:pPr>
                    <w:pStyle w:val="48"/>
                  </w:pPr>
                  <w:r>
                    <w:t>维护</w:t>
                  </w:r>
                </w:p>
              </w:tc>
              <w:tc>
                <w:tcPr>
                  <w:tcW w:w="708" w:type="dxa"/>
                  <w:tcBorders>
                    <w:top w:val="single" w:color="auto" w:sz="6" w:space="0"/>
                    <w:left w:val="single" w:color="auto" w:sz="6" w:space="0"/>
                    <w:bottom w:val="single" w:color="auto" w:sz="6" w:space="0"/>
                    <w:right w:val="single" w:color="auto" w:sz="6" w:space="0"/>
                  </w:tcBorders>
                  <w:vAlign w:val="center"/>
                </w:tcPr>
                <w:p w14:paraId="25F43184">
                  <w:pPr>
                    <w:pStyle w:val="48"/>
                  </w:pPr>
                  <w:r>
                    <w:t>液</w:t>
                  </w:r>
                </w:p>
              </w:tc>
              <w:tc>
                <w:tcPr>
                  <w:tcW w:w="708" w:type="dxa"/>
                  <w:vMerge w:val="restart"/>
                  <w:tcBorders>
                    <w:top w:val="single" w:color="auto" w:sz="6" w:space="0"/>
                    <w:left w:val="single" w:color="auto" w:sz="6" w:space="0"/>
                    <w:bottom w:val="single" w:color="auto" w:sz="6" w:space="0"/>
                    <w:right w:val="single" w:color="auto" w:sz="6" w:space="0"/>
                  </w:tcBorders>
                  <w:vAlign w:val="center"/>
                </w:tcPr>
                <w:p w14:paraId="241C68A7">
                  <w:pPr>
                    <w:pStyle w:val="48"/>
                  </w:pPr>
                  <w:r>
                    <w:t>危险</w:t>
                  </w:r>
                </w:p>
                <w:p w14:paraId="70E78986">
                  <w:pPr>
                    <w:pStyle w:val="48"/>
                  </w:pPr>
                  <w:r>
                    <w:t>废物</w:t>
                  </w:r>
                </w:p>
              </w:tc>
              <w:tc>
                <w:tcPr>
                  <w:tcW w:w="1066" w:type="dxa"/>
                  <w:tcBorders>
                    <w:top w:val="single" w:color="auto" w:sz="6" w:space="0"/>
                    <w:left w:val="single" w:color="auto" w:sz="6" w:space="0"/>
                    <w:bottom w:val="single" w:color="auto" w:sz="6" w:space="0"/>
                    <w:right w:val="single" w:color="auto" w:sz="6" w:space="0"/>
                  </w:tcBorders>
                  <w:vAlign w:val="center"/>
                </w:tcPr>
                <w:p w14:paraId="7D93BA5F">
                  <w:pPr>
                    <w:pStyle w:val="48"/>
                  </w:pPr>
                  <w:r>
                    <w:t>油类物质</w:t>
                  </w:r>
                </w:p>
              </w:tc>
              <w:tc>
                <w:tcPr>
                  <w:tcW w:w="914" w:type="dxa"/>
                  <w:tcBorders>
                    <w:top w:val="single" w:color="auto" w:sz="6" w:space="0"/>
                    <w:left w:val="single" w:color="auto" w:sz="6" w:space="0"/>
                    <w:bottom w:val="single" w:color="auto" w:sz="6" w:space="0"/>
                    <w:right w:val="single" w:color="auto" w:sz="6" w:space="0"/>
                  </w:tcBorders>
                  <w:vAlign w:val="center"/>
                </w:tcPr>
                <w:p w14:paraId="2761CB45">
                  <w:pPr>
                    <w:pStyle w:val="48"/>
                  </w:pPr>
                  <w:r>
                    <w:t>HW08</w:t>
                  </w:r>
                </w:p>
              </w:tc>
              <w:tc>
                <w:tcPr>
                  <w:tcW w:w="1368" w:type="dxa"/>
                  <w:tcBorders>
                    <w:top w:val="single" w:color="auto" w:sz="6" w:space="0"/>
                    <w:left w:val="single" w:color="auto" w:sz="6" w:space="0"/>
                    <w:bottom w:val="single" w:color="auto" w:sz="6" w:space="0"/>
                    <w:right w:val="single" w:color="auto" w:sz="6" w:space="0"/>
                  </w:tcBorders>
                  <w:vAlign w:val="center"/>
                </w:tcPr>
                <w:p w14:paraId="6DBFDA2C">
                  <w:pPr>
                    <w:pStyle w:val="48"/>
                  </w:pPr>
                  <w:r>
                    <w:t>900-214-08</w:t>
                  </w:r>
                </w:p>
              </w:tc>
              <w:tc>
                <w:tcPr>
                  <w:tcW w:w="736" w:type="dxa"/>
                  <w:tcBorders>
                    <w:top w:val="single" w:color="auto" w:sz="6" w:space="0"/>
                    <w:left w:val="single" w:color="auto" w:sz="6" w:space="0"/>
                    <w:bottom w:val="single" w:color="auto" w:sz="6" w:space="0"/>
                    <w:right w:val="single" w:color="auto" w:sz="6" w:space="0"/>
                  </w:tcBorders>
                  <w:vAlign w:val="center"/>
                </w:tcPr>
                <w:p w14:paraId="7421CE74">
                  <w:pPr>
                    <w:pStyle w:val="48"/>
                  </w:pPr>
                  <w:r>
                    <w:t>T,I</w:t>
                  </w:r>
                </w:p>
              </w:tc>
              <w:tc>
                <w:tcPr>
                  <w:tcW w:w="735" w:type="dxa"/>
                  <w:tcBorders>
                    <w:top w:val="single" w:color="auto" w:sz="6" w:space="0"/>
                    <w:left w:val="single" w:color="auto" w:sz="6" w:space="0"/>
                    <w:bottom w:val="single" w:color="auto" w:sz="6" w:space="0"/>
                    <w:right w:val="nil"/>
                  </w:tcBorders>
                  <w:vAlign w:val="center"/>
                </w:tcPr>
                <w:p w14:paraId="4FFA3DBD">
                  <w:pPr>
                    <w:pStyle w:val="48"/>
                    <w:rPr>
                      <w:kern w:val="0"/>
                    </w:rPr>
                  </w:pPr>
                  <w:r>
                    <w:rPr>
                      <w:kern w:val="0"/>
                    </w:rPr>
                    <w:t>0.5</w:t>
                  </w:r>
                </w:p>
              </w:tc>
            </w:tr>
            <w:tr w14:paraId="1E7599EF">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single" w:color="auto" w:sz="6" w:space="0"/>
                    <w:left w:val="nil"/>
                    <w:bottom w:val="single" w:color="auto" w:sz="6" w:space="0"/>
                    <w:right w:val="single" w:color="auto" w:sz="6" w:space="0"/>
                  </w:tcBorders>
                  <w:vAlign w:val="center"/>
                </w:tcPr>
                <w:p w14:paraId="225C69F8">
                  <w:pPr>
                    <w:pStyle w:val="48"/>
                  </w:pPr>
                  <w:r>
                    <w:t>4</w:t>
                  </w:r>
                </w:p>
              </w:tc>
              <w:tc>
                <w:tcPr>
                  <w:tcW w:w="985" w:type="dxa"/>
                  <w:tcBorders>
                    <w:top w:val="single" w:color="auto" w:sz="6" w:space="0"/>
                    <w:left w:val="single" w:color="auto" w:sz="6" w:space="0"/>
                    <w:bottom w:val="single" w:color="auto" w:sz="6" w:space="0"/>
                    <w:right w:val="single" w:color="auto" w:sz="6" w:space="0"/>
                  </w:tcBorders>
                  <w:vAlign w:val="center"/>
                </w:tcPr>
                <w:p w14:paraId="4E5A0DCF">
                  <w:pPr>
                    <w:pStyle w:val="48"/>
                  </w:pPr>
                  <w:r>
                    <w:t>废油桶</w:t>
                  </w:r>
                </w:p>
              </w:tc>
              <w:tc>
                <w:tcPr>
                  <w:tcW w:w="848" w:type="dxa"/>
                  <w:tcBorders>
                    <w:top w:val="single" w:color="auto" w:sz="6" w:space="0"/>
                    <w:left w:val="single" w:color="auto" w:sz="6" w:space="0"/>
                    <w:bottom w:val="single" w:color="auto" w:sz="6" w:space="0"/>
                    <w:right w:val="single" w:color="auto" w:sz="6" w:space="0"/>
                  </w:tcBorders>
                  <w:vAlign w:val="center"/>
                </w:tcPr>
                <w:p w14:paraId="6FD0994F">
                  <w:pPr>
                    <w:pStyle w:val="48"/>
                  </w:pPr>
                  <w:r>
                    <w:t>设备</w:t>
                  </w:r>
                </w:p>
                <w:p w14:paraId="3096671B">
                  <w:pPr>
                    <w:pStyle w:val="48"/>
                  </w:pPr>
                  <w:r>
                    <w:t>维护</w:t>
                  </w:r>
                </w:p>
              </w:tc>
              <w:tc>
                <w:tcPr>
                  <w:tcW w:w="708" w:type="dxa"/>
                  <w:tcBorders>
                    <w:top w:val="single" w:color="auto" w:sz="6" w:space="0"/>
                    <w:left w:val="single" w:color="auto" w:sz="6" w:space="0"/>
                    <w:bottom w:val="single" w:color="auto" w:sz="6" w:space="0"/>
                    <w:right w:val="single" w:color="auto" w:sz="6" w:space="0"/>
                  </w:tcBorders>
                  <w:vAlign w:val="center"/>
                </w:tcPr>
                <w:p w14:paraId="14FE56F2">
                  <w:pPr>
                    <w:pStyle w:val="48"/>
                  </w:pPr>
                  <w:r>
                    <w:t>固</w:t>
                  </w:r>
                </w:p>
              </w:tc>
              <w:tc>
                <w:tcPr>
                  <w:tcW w:w="708" w:type="dxa"/>
                  <w:vMerge w:val="continue"/>
                  <w:tcBorders>
                    <w:top w:val="single" w:color="auto" w:sz="6" w:space="0"/>
                    <w:left w:val="single" w:color="auto" w:sz="6" w:space="0"/>
                    <w:bottom w:val="single" w:color="auto" w:sz="6" w:space="0"/>
                    <w:right w:val="single" w:color="auto" w:sz="6" w:space="0"/>
                  </w:tcBorders>
                  <w:vAlign w:val="center"/>
                </w:tcPr>
                <w:p w14:paraId="7C5A371C">
                  <w:pPr>
                    <w:pStyle w:val="48"/>
                    <w:rPr>
                      <w:kern w:val="0"/>
                    </w:rPr>
                  </w:pPr>
                </w:p>
              </w:tc>
              <w:tc>
                <w:tcPr>
                  <w:tcW w:w="1066" w:type="dxa"/>
                  <w:tcBorders>
                    <w:top w:val="single" w:color="auto" w:sz="6" w:space="0"/>
                    <w:left w:val="single" w:color="auto" w:sz="6" w:space="0"/>
                    <w:bottom w:val="single" w:color="auto" w:sz="6" w:space="0"/>
                    <w:right w:val="single" w:color="auto" w:sz="6" w:space="0"/>
                  </w:tcBorders>
                  <w:vAlign w:val="center"/>
                </w:tcPr>
                <w:p w14:paraId="2C012C07">
                  <w:pPr>
                    <w:pStyle w:val="48"/>
                  </w:pPr>
                  <w:r>
                    <w:t>油类物质</w:t>
                  </w:r>
                </w:p>
              </w:tc>
              <w:tc>
                <w:tcPr>
                  <w:tcW w:w="914" w:type="dxa"/>
                  <w:tcBorders>
                    <w:top w:val="single" w:color="auto" w:sz="6" w:space="0"/>
                    <w:left w:val="single" w:color="auto" w:sz="6" w:space="0"/>
                    <w:bottom w:val="single" w:color="auto" w:sz="6" w:space="0"/>
                    <w:right w:val="single" w:color="auto" w:sz="6" w:space="0"/>
                  </w:tcBorders>
                  <w:vAlign w:val="center"/>
                </w:tcPr>
                <w:p w14:paraId="4402CFF3">
                  <w:pPr>
                    <w:pStyle w:val="48"/>
                  </w:pPr>
                  <w:r>
                    <w:t>HW08</w:t>
                  </w:r>
                </w:p>
              </w:tc>
              <w:tc>
                <w:tcPr>
                  <w:tcW w:w="1368" w:type="dxa"/>
                  <w:tcBorders>
                    <w:top w:val="single" w:color="auto" w:sz="6" w:space="0"/>
                    <w:left w:val="single" w:color="auto" w:sz="6" w:space="0"/>
                    <w:bottom w:val="single" w:color="auto" w:sz="6" w:space="0"/>
                    <w:right w:val="single" w:color="auto" w:sz="6" w:space="0"/>
                  </w:tcBorders>
                  <w:vAlign w:val="center"/>
                </w:tcPr>
                <w:p w14:paraId="3AF07B17">
                  <w:pPr>
                    <w:pStyle w:val="48"/>
                  </w:pPr>
                  <w:r>
                    <w:t>900-249-08</w:t>
                  </w:r>
                </w:p>
              </w:tc>
              <w:tc>
                <w:tcPr>
                  <w:tcW w:w="736" w:type="dxa"/>
                  <w:tcBorders>
                    <w:top w:val="single" w:color="auto" w:sz="6" w:space="0"/>
                    <w:left w:val="single" w:color="auto" w:sz="6" w:space="0"/>
                    <w:bottom w:val="single" w:color="auto" w:sz="6" w:space="0"/>
                    <w:right w:val="single" w:color="auto" w:sz="6" w:space="0"/>
                  </w:tcBorders>
                  <w:vAlign w:val="center"/>
                </w:tcPr>
                <w:p w14:paraId="36AEE4B8">
                  <w:pPr>
                    <w:pStyle w:val="48"/>
                  </w:pPr>
                  <w:r>
                    <w:t>T,I</w:t>
                  </w:r>
                </w:p>
              </w:tc>
              <w:tc>
                <w:tcPr>
                  <w:tcW w:w="735" w:type="dxa"/>
                  <w:tcBorders>
                    <w:top w:val="single" w:color="auto" w:sz="6" w:space="0"/>
                    <w:left w:val="single" w:color="auto" w:sz="6" w:space="0"/>
                    <w:bottom w:val="single" w:color="auto" w:sz="6" w:space="0"/>
                    <w:right w:val="nil"/>
                  </w:tcBorders>
                  <w:vAlign w:val="center"/>
                </w:tcPr>
                <w:p w14:paraId="6E8925A2">
                  <w:pPr>
                    <w:pStyle w:val="48"/>
                    <w:rPr>
                      <w:kern w:val="0"/>
                    </w:rPr>
                  </w:pPr>
                  <w:r>
                    <w:rPr>
                      <w:kern w:val="0"/>
                    </w:rPr>
                    <w:t>0.01</w:t>
                  </w:r>
                </w:p>
              </w:tc>
            </w:tr>
            <w:tr w14:paraId="595CFEF9">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76" w:type="dxa"/>
                  <w:tcBorders>
                    <w:top w:val="single" w:color="auto" w:sz="6" w:space="0"/>
                    <w:left w:val="nil"/>
                    <w:bottom w:val="double" w:color="auto" w:sz="2" w:space="0"/>
                    <w:right w:val="single" w:color="auto" w:sz="6" w:space="0"/>
                  </w:tcBorders>
                  <w:vAlign w:val="center"/>
                </w:tcPr>
                <w:p w14:paraId="209F36D3">
                  <w:pPr>
                    <w:pStyle w:val="48"/>
                  </w:pPr>
                  <w:r>
                    <w:t>5</w:t>
                  </w:r>
                </w:p>
              </w:tc>
              <w:tc>
                <w:tcPr>
                  <w:tcW w:w="985" w:type="dxa"/>
                  <w:tcBorders>
                    <w:top w:val="single" w:color="auto" w:sz="6" w:space="0"/>
                    <w:left w:val="single" w:color="auto" w:sz="6" w:space="0"/>
                    <w:bottom w:val="double" w:color="auto" w:sz="2" w:space="0"/>
                    <w:right w:val="single" w:color="auto" w:sz="6" w:space="0"/>
                  </w:tcBorders>
                  <w:vAlign w:val="center"/>
                </w:tcPr>
                <w:p w14:paraId="1706FDB1">
                  <w:pPr>
                    <w:pStyle w:val="48"/>
                  </w:pPr>
                  <w:r>
                    <w:t>生活垃圾</w:t>
                  </w:r>
                </w:p>
              </w:tc>
              <w:tc>
                <w:tcPr>
                  <w:tcW w:w="848" w:type="dxa"/>
                  <w:tcBorders>
                    <w:top w:val="single" w:color="auto" w:sz="6" w:space="0"/>
                    <w:left w:val="single" w:color="auto" w:sz="6" w:space="0"/>
                    <w:bottom w:val="double" w:color="auto" w:sz="2" w:space="0"/>
                    <w:right w:val="single" w:color="auto" w:sz="6" w:space="0"/>
                  </w:tcBorders>
                  <w:vAlign w:val="center"/>
                </w:tcPr>
                <w:p w14:paraId="023F3C42">
                  <w:pPr>
                    <w:pStyle w:val="48"/>
                  </w:pPr>
                  <w:r>
                    <w:t>职工</w:t>
                  </w:r>
                </w:p>
                <w:p w14:paraId="4EF751FE">
                  <w:pPr>
                    <w:pStyle w:val="48"/>
                  </w:pPr>
                  <w:r>
                    <w:t>生活</w:t>
                  </w:r>
                </w:p>
              </w:tc>
              <w:tc>
                <w:tcPr>
                  <w:tcW w:w="708" w:type="dxa"/>
                  <w:tcBorders>
                    <w:top w:val="single" w:color="auto" w:sz="6" w:space="0"/>
                    <w:left w:val="single" w:color="auto" w:sz="6" w:space="0"/>
                    <w:bottom w:val="double" w:color="auto" w:sz="2" w:space="0"/>
                    <w:right w:val="single" w:color="auto" w:sz="6" w:space="0"/>
                  </w:tcBorders>
                  <w:vAlign w:val="center"/>
                </w:tcPr>
                <w:p w14:paraId="011168F4">
                  <w:pPr>
                    <w:pStyle w:val="48"/>
                  </w:pPr>
                  <w:r>
                    <w:t>固</w:t>
                  </w:r>
                </w:p>
              </w:tc>
              <w:tc>
                <w:tcPr>
                  <w:tcW w:w="708" w:type="dxa"/>
                  <w:tcBorders>
                    <w:top w:val="single" w:color="auto" w:sz="6" w:space="0"/>
                    <w:left w:val="single" w:color="auto" w:sz="6" w:space="0"/>
                    <w:bottom w:val="double" w:color="auto" w:sz="2" w:space="0"/>
                    <w:right w:val="single" w:color="auto" w:sz="6" w:space="0"/>
                  </w:tcBorders>
                  <w:vAlign w:val="center"/>
                </w:tcPr>
                <w:p w14:paraId="13F3FD6F">
                  <w:pPr>
                    <w:pStyle w:val="48"/>
                  </w:pPr>
                  <w:r>
                    <w:t>生活</w:t>
                  </w:r>
                </w:p>
                <w:p w14:paraId="124E45EC">
                  <w:pPr>
                    <w:pStyle w:val="48"/>
                  </w:pPr>
                  <w:r>
                    <w:t>垃圾</w:t>
                  </w:r>
                </w:p>
              </w:tc>
              <w:tc>
                <w:tcPr>
                  <w:tcW w:w="1066" w:type="dxa"/>
                  <w:tcBorders>
                    <w:top w:val="single" w:color="auto" w:sz="6" w:space="0"/>
                    <w:left w:val="single" w:color="auto" w:sz="6" w:space="0"/>
                    <w:bottom w:val="double" w:color="auto" w:sz="2" w:space="0"/>
                    <w:right w:val="single" w:color="auto" w:sz="6" w:space="0"/>
                  </w:tcBorders>
                  <w:vAlign w:val="center"/>
                </w:tcPr>
                <w:p w14:paraId="5FDD2F5C">
                  <w:pPr>
                    <w:pStyle w:val="48"/>
                  </w:pPr>
                  <w:r>
                    <w:t>/</w:t>
                  </w:r>
                </w:p>
              </w:tc>
              <w:tc>
                <w:tcPr>
                  <w:tcW w:w="914" w:type="dxa"/>
                  <w:tcBorders>
                    <w:top w:val="single" w:color="auto" w:sz="6" w:space="0"/>
                    <w:left w:val="single" w:color="auto" w:sz="6" w:space="0"/>
                    <w:bottom w:val="double" w:color="auto" w:sz="2" w:space="0"/>
                    <w:right w:val="single" w:color="auto" w:sz="6" w:space="0"/>
                  </w:tcBorders>
                  <w:vAlign w:val="center"/>
                </w:tcPr>
                <w:p w14:paraId="436EBC98">
                  <w:pPr>
                    <w:pStyle w:val="48"/>
                  </w:pPr>
                  <w:r>
                    <w:t>/</w:t>
                  </w:r>
                </w:p>
              </w:tc>
              <w:tc>
                <w:tcPr>
                  <w:tcW w:w="1368" w:type="dxa"/>
                  <w:tcBorders>
                    <w:top w:val="single" w:color="auto" w:sz="6" w:space="0"/>
                    <w:left w:val="single" w:color="auto" w:sz="6" w:space="0"/>
                    <w:bottom w:val="double" w:color="auto" w:sz="2" w:space="0"/>
                    <w:right w:val="single" w:color="auto" w:sz="6" w:space="0"/>
                  </w:tcBorders>
                  <w:vAlign w:val="center"/>
                </w:tcPr>
                <w:p w14:paraId="0A45DF0D">
                  <w:pPr>
                    <w:pStyle w:val="48"/>
                  </w:pPr>
                  <w:r>
                    <w:t>/</w:t>
                  </w:r>
                </w:p>
              </w:tc>
              <w:tc>
                <w:tcPr>
                  <w:tcW w:w="736" w:type="dxa"/>
                  <w:tcBorders>
                    <w:top w:val="single" w:color="auto" w:sz="6" w:space="0"/>
                    <w:left w:val="single" w:color="auto" w:sz="6" w:space="0"/>
                    <w:bottom w:val="double" w:color="auto" w:sz="2" w:space="0"/>
                    <w:right w:val="single" w:color="auto" w:sz="6" w:space="0"/>
                  </w:tcBorders>
                  <w:vAlign w:val="center"/>
                </w:tcPr>
                <w:p w14:paraId="358AA24E">
                  <w:pPr>
                    <w:pStyle w:val="48"/>
                  </w:pPr>
                  <w:r>
                    <w:t>/</w:t>
                  </w:r>
                </w:p>
              </w:tc>
              <w:tc>
                <w:tcPr>
                  <w:tcW w:w="735" w:type="dxa"/>
                  <w:tcBorders>
                    <w:top w:val="single" w:color="auto" w:sz="6" w:space="0"/>
                    <w:left w:val="single" w:color="auto" w:sz="6" w:space="0"/>
                    <w:bottom w:val="double" w:color="auto" w:sz="2" w:space="0"/>
                    <w:right w:val="nil"/>
                  </w:tcBorders>
                  <w:vAlign w:val="center"/>
                </w:tcPr>
                <w:p w14:paraId="22816719">
                  <w:pPr>
                    <w:pStyle w:val="48"/>
                  </w:pPr>
                  <w:r>
                    <w:rPr>
                      <w:kern w:val="0"/>
                    </w:rPr>
                    <w:t>0.63</w:t>
                  </w:r>
                </w:p>
              </w:tc>
            </w:tr>
          </w:tbl>
          <w:p w14:paraId="5FAE8E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本项目需要委托处理的危险废物量为0.51t/a，具体见表4-22所示。</w:t>
            </w:r>
          </w:p>
          <w:p w14:paraId="46AE9063">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表4-22项目营运期危险废物产生情况汇总表</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3"/>
              <w:gridCol w:w="732"/>
              <w:gridCol w:w="713"/>
              <w:gridCol w:w="1302"/>
              <w:gridCol w:w="743"/>
              <w:gridCol w:w="742"/>
              <w:gridCol w:w="514"/>
              <w:gridCol w:w="791"/>
              <w:gridCol w:w="655"/>
              <w:gridCol w:w="633"/>
              <w:gridCol w:w="542"/>
              <w:gridCol w:w="666"/>
            </w:tblGrid>
            <w:tr w14:paraId="1273D67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dxa"/>
                  <w:tcBorders>
                    <w:top w:val="double" w:color="auto" w:sz="2" w:space="0"/>
                    <w:left w:val="nil"/>
                    <w:bottom w:val="single" w:color="auto" w:sz="4" w:space="0"/>
                    <w:right w:val="single" w:color="auto" w:sz="4" w:space="0"/>
                  </w:tcBorders>
                  <w:vAlign w:val="center"/>
                </w:tcPr>
                <w:p w14:paraId="31E601D4">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序号</w:t>
                  </w:r>
                </w:p>
              </w:tc>
              <w:tc>
                <w:tcPr>
                  <w:tcW w:w="732" w:type="dxa"/>
                  <w:tcBorders>
                    <w:top w:val="double" w:color="auto" w:sz="2" w:space="0"/>
                    <w:left w:val="single" w:color="auto" w:sz="4" w:space="0"/>
                    <w:bottom w:val="single" w:color="auto" w:sz="4" w:space="0"/>
                    <w:right w:val="single" w:color="auto" w:sz="4" w:space="0"/>
                  </w:tcBorders>
                  <w:vAlign w:val="center"/>
                </w:tcPr>
                <w:p w14:paraId="5FE0F004">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危废名称</w:t>
                  </w:r>
                </w:p>
              </w:tc>
              <w:tc>
                <w:tcPr>
                  <w:tcW w:w="713" w:type="dxa"/>
                  <w:tcBorders>
                    <w:top w:val="double" w:color="auto" w:sz="2" w:space="0"/>
                    <w:left w:val="single" w:color="auto" w:sz="4" w:space="0"/>
                    <w:bottom w:val="single" w:color="auto" w:sz="4" w:space="0"/>
                    <w:right w:val="single" w:color="auto" w:sz="4" w:space="0"/>
                  </w:tcBorders>
                  <w:vAlign w:val="center"/>
                </w:tcPr>
                <w:p w14:paraId="5364A6AA">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危废</w:t>
                  </w:r>
                </w:p>
                <w:p w14:paraId="575AA019">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类别</w:t>
                  </w:r>
                </w:p>
              </w:tc>
              <w:tc>
                <w:tcPr>
                  <w:tcW w:w="1302" w:type="dxa"/>
                  <w:tcBorders>
                    <w:top w:val="double" w:color="auto" w:sz="2" w:space="0"/>
                    <w:left w:val="single" w:color="auto" w:sz="4" w:space="0"/>
                    <w:bottom w:val="single" w:color="auto" w:sz="4" w:space="0"/>
                    <w:right w:val="single" w:color="auto" w:sz="4" w:space="0"/>
                  </w:tcBorders>
                  <w:vAlign w:val="center"/>
                </w:tcPr>
                <w:p w14:paraId="4ABCBED7">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危废代码</w:t>
                  </w:r>
                </w:p>
              </w:tc>
              <w:tc>
                <w:tcPr>
                  <w:tcW w:w="743" w:type="dxa"/>
                  <w:tcBorders>
                    <w:top w:val="double" w:color="auto" w:sz="2" w:space="0"/>
                    <w:left w:val="single" w:color="auto" w:sz="4" w:space="0"/>
                    <w:bottom w:val="single" w:color="auto" w:sz="4" w:space="0"/>
                    <w:right w:val="single" w:color="auto" w:sz="4" w:space="0"/>
                  </w:tcBorders>
                  <w:vAlign w:val="center"/>
                </w:tcPr>
                <w:p w14:paraId="45F21D30">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产生量（t/a）</w:t>
                  </w:r>
                </w:p>
              </w:tc>
              <w:tc>
                <w:tcPr>
                  <w:tcW w:w="742" w:type="dxa"/>
                  <w:tcBorders>
                    <w:top w:val="double" w:color="auto" w:sz="2" w:space="0"/>
                    <w:left w:val="single" w:color="auto" w:sz="4" w:space="0"/>
                    <w:bottom w:val="single" w:color="auto" w:sz="4" w:space="0"/>
                    <w:right w:val="single" w:color="auto" w:sz="4" w:space="0"/>
                  </w:tcBorders>
                  <w:vAlign w:val="center"/>
                </w:tcPr>
                <w:p w14:paraId="7456A788">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产生工序</w:t>
                  </w:r>
                </w:p>
              </w:tc>
              <w:tc>
                <w:tcPr>
                  <w:tcW w:w="514" w:type="dxa"/>
                  <w:tcBorders>
                    <w:top w:val="double" w:color="auto" w:sz="2" w:space="0"/>
                    <w:left w:val="single" w:color="auto" w:sz="4" w:space="0"/>
                    <w:bottom w:val="single" w:color="auto" w:sz="4" w:space="0"/>
                    <w:right w:val="single" w:color="auto" w:sz="4" w:space="0"/>
                  </w:tcBorders>
                  <w:vAlign w:val="center"/>
                </w:tcPr>
                <w:p w14:paraId="3B65F83B">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形态</w:t>
                  </w:r>
                </w:p>
              </w:tc>
              <w:tc>
                <w:tcPr>
                  <w:tcW w:w="791" w:type="dxa"/>
                  <w:tcBorders>
                    <w:top w:val="double" w:color="auto" w:sz="2" w:space="0"/>
                    <w:left w:val="single" w:color="auto" w:sz="4" w:space="0"/>
                    <w:bottom w:val="single" w:color="auto" w:sz="4" w:space="0"/>
                    <w:right w:val="single" w:color="auto" w:sz="4" w:space="0"/>
                  </w:tcBorders>
                  <w:vAlign w:val="center"/>
                </w:tcPr>
                <w:p w14:paraId="51F0B198">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主要成分</w:t>
                  </w:r>
                </w:p>
              </w:tc>
              <w:tc>
                <w:tcPr>
                  <w:tcW w:w="655" w:type="dxa"/>
                  <w:tcBorders>
                    <w:top w:val="double" w:color="auto" w:sz="2" w:space="0"/>
                    <w:left w:val="single" w:color="auto" w:sz="4" w:space="0"/>
                    <w:bottom w:val="single" w:color="auto" w:sz="4" w:space="0"/>
                    <w:right w:val="single" w:color="auto" w:sz="4" w:space="0"/>
                  </w:tcBorders>
                  <w:vAlign w:val="center"/>
                </w:tcPr>
                <w:p w14:paraId="19D9FCF9">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有害</w:t>
                  </w:r>
                </w:p>
                <w:p w14:paraId="5ACA8D62">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成分</w:t>
                  </w:r>
                </w:p>
              </w:tc>
              <w:tc>
                <w:tcPr>
                  <w:tcW w:w="633" w:type="dxa"/>
                  <w:tcBorders>
                    <w:top w:val="double" w:color="auto" w:sz="2" w:space="0"/>
                    <w:left w:val="single" w:color="auto" w:sz="4" w:space="0"/>
                    <w:bottom w:val="single" w:color="auto" w:sz="4" w:space="0"/>
                    <w:right w:val="single" w:color="auto" w:sz="4" w:space="0"/>
                  </w:tcBorders>
                  <w:vAlign w:val="center"/>
                </w:tcPr>
                <w:p w14:paraId="279ED9E5">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产废周期</w:t>
                  </w:r>
                </w:p>
              </w:tc>
              <w:tc>
                <w:tcPr>
                  <w:tcW w:w="542" w:type="dxa"/>
                  <w:tcBorders>
                    <w:top w:val="double" w:color="auto" w:sz="2" w:space="0"/>
                    <w:left w:val="single" w:color="auto" w:sz="4" w:space="0"/>
                    <w:bottom w:val="single" w:color="auto" w:sz="4" w:space="0"/>
                    <w:right w:val="single" w:color="auto" w:sz="4" w:space="0"/>
                  </w:tcBorders>
                  <w:vAlign w:val="center"/>
                </w:tcPr>
                <w:p w14:paraId="1419F23F">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危险</w:t>
                  </w:r>
                </w:p>
                <w:p w14:paraId="426F1C60">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特性</w:t>
                  </w:r>
                </w:p>
              </w:tc>
              <w:tc>
                <w:tcPr>
                  <w:tcW w:w="666" w:type="dxa"/>
                  <w:tcBorders>
                    <w:top w:val="double" w:color="auto" w:sz="2" w:space="0"/>
                    <w:left w:val="single" w:color="auto" w:sz="4" w:space="0"/>
                    <w:bottom w:val="single" w:color="auto" w:sz="4" w:space="0"/>
                    <w:right w:val="nil"/>
                  </w:tcBorders>
                  <w:vAlign w:val="center"/>
                </w:tcPr>
                <w:p w14:paraId="3BA05F46">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污染防治措施</w:t>
                  </w:r>
                </w:p>
              </w:tc>
            </w:tr>
            <w:tr w14:paraId="717B87D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dxa"/>
                  <w:tcBorders>
                    <w:top w:val="single" w:color="auto" w:sz="4" w:space="0"/>
                    <w:left w:val="nil"/>
                    <w:bottom w:val="single" w:color="auto" w:sz="4" w:space="0"/>
                    <w:right w:val="single" w:color="auto" w:sz="4" w:space="0"/>
                  </w:tcBorders>
                  <w:vAlign w:val="center"/>
                </w:tcPr>
                <w:p w14:paraId="00F6C157">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1</w:t>
                  </w:r>
                </w:p>
              </w:tc>
              <w:tc>
                <w:tcPr>
                  <w:tcW w:w="732" w:type="dxa"/>
                  <w:tcBorders>
                    <w:top w:val="single" w:color="auto" w:sz="4" w:space="0"/>
                    <w:left w:val="single" w:color="auto" w:sz="4" w:space="0"/>
                    <w:bottom w:val="single" w:color="auto" w:sz="4" w:space="0"/>
                    <w:right w:val="single" w:color="auto" w:sz="4" w:space="0"/>
                  </w:tcBorders>
                  <w:vAlign w:val="center"/>
                </w:tcPr>
                <w:p w14:paraId="1563C5A1">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废机油</w:t>
                  </w:r>
                </w:p>
              </w:tc>
              <w:tc>
                <w:tcPr>
                  <w:tcW w:w="713" w:type="dxa"/>
                  <w:tcBorders>
                    <w:top w:val="single" w:color="auto" w:sz="4" w:space="0"/>
                    <w:left w:val="single" w:color="auto" w:sz="4" w:space="0"/>
                    <w:bottom w:val="single" w:color="auto" w:sz="4" w:space="0"/>
                    <w:right w:val="single" w:color="auto" w:sz="4" w:space="0"/>
                  </w:tcBorders>
                  <w:vAlign w:val="center"/>
                </w:tcPr>
                <w:p w14:paraId="2FA16C9C">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HW</w:t>
                  </w:r>
                </w:p>
                <w:p w14:paraId="5ED067B6">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08</w:t>
                  </w:r>
                </w:p>
              </w:tc>
              <w:tc>
                <w:tcPr>
                  <w:tcW w:w="1302" w:type="dxa"/>
                  <w:tcBorders>
                    <w:top w:val="single" w:color="auto" w:sz="4" w:space="0"/>
                    <w:left w:val="single" w:color="auto" w:sz="4" w:space="0"/>
                    <w:bottom w:val="single" w:color="auto" w:sz="4" w:space="0"/>
                    <w:right w:val="single" w:color="auto" w:sz="4" w:space="0"/>
                  </w:tcBorders>
                  <w:vAlign w:val="center"/>
                </w:tcPr>
                <w:p w14:paraId="7C279ACD">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900-214-08</w:t>
                  </w:r>
                </w:p>
              </w:tc>
              <w:tc>
                <w:tcPr>
                  <w:tcW w:w="743" w:type="dxa"/>
                  <w:tcBorders>
                    <w:top w:val="single" w:color="auto" w:sz="4" w:space="0"/>
                    <w:left w:val="single" w:color="auto" w:sz="4" w:space="0"/>
                    <w:bottom w:val="single" w:color="auto" w:sz="4" w:space="0"/>
                    <w:right w:val="single" w:color="auto" w:sz="4" w:space="0"/>
                  </w:tcBorders>
                  <w:vAlign w:val="center"/>
                </w:tcPr>
                <w:p w14:paraId="166A9F5D">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0.5</w:t>
                  </w:r>
                </w:p>
              </w:tc>
              <w:tc>
                <w:tcPr>
                  <w:tcW w:w="742" w:type="dxa"/>
                  <w:tcBorders>
                    <w:top w:val="single" w:color="auto" w:sz="4" w:space="0"/>
                    <w:left w:val="single" w:color="auto" w:sz="4" w:space="0"/>
                    <w:bottom w:val="single" w:color="auto" w:sz="4" w:space="0"/>
                    <w:right w:val="single" w:color="auto" w:sz="4" w:space="0"/>
                  </w:tcBorders>
                  <w:vAlign w:val="center"/>
                </w:tcPr>
                <w:p w14:paraId="1370740D">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设备维护</w:t>
                  </w:r>
                </w:p>
              </w:tc>
              <w:tc>
                <w:tcPr>
                  <w:tcW w:w="514" w:type="dxa"/>
                  <w:tcBorders>
                    <w:top w:val="single" w:color="auto" w:sz="4" w:space="0"/>
                    <w:left w:val="single" w:color="auto" w:sz="4" w:space="0"/>
                    <w:bottom w:val="single" w:color="auto" w:sz="4" w:space="0"/>
                    <w:right w:val="single" w:color="auto" w:sz="4" w:space="0"/>
                  </w:tcBorders>
                  <w:vAlign w:val="center"/>
                </w:tcPr>
                <w:p w14:paraId="5C20D237">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液</w:t>
                  </w:r>
                </w:p>
              </w:tc>
              <w:tc>
                <w:tcPr>
                  <w:tcW w:w="791" w:type="dxa"/>
                  <w:tcBorders>
                    <w:top w:val="single" w:color="auto" w:sz="4" w:space="0"/>
                    <w:left w:val="single" w:color="auto" w:sz="4" w:space="0"/>
                    <w:bottom w:val="single" w:color="auto" w:sz="4" w:space="0"/>
                    <w:right w:val="single" w:color="auto" w:sz="4" w:space="0"/>
                  </w:tcBorders>
                  <w:vAlign w:val="center"/>
                </w:tcPr>
                <w:p w14:paraId="722D6A5C">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油类物质</w:t>
                  </w:r>
                </w:p>
              </w:tc>
              <w:tc>
                <w:tcPr>
                  <w:tcW w:w="655" w:type="dxa"/>
                  <w:tcBorders>
                    <w:top w:val="single" w:color="auto" w:sz="4" w:space="0"/>
                    <w:left w:val="single" w:color="auto" w:sz="4" w:space="0"/>
                    <w:bottom w:val="single" w:color="auto" w:sz="4" w:space="0"/>
                    <w:right w:val="single" w:color="auto" w:sz="4" w:space="0"/>
                  </w:tcBorders>
                  <w:vAlign w:val="center"/>
                </w:tcPr>
                <w:p w14:paraId="53563838">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油类物质</w:t>
                  </w:r>
                </w:p>
              </w:tc>
              <w:tc>
                <w:tcPr>
                  <w:tcW w:w="633" w:type="dxa"/>
                  <w:tcBorders>
                    <w:top w:val="single" w:color="auto" w:sz="4" w:space="0"/>
                    <w:left w:val="single" w:color="auto" w:sz="4" w:space="0"/>
                    <w:bottom w:val="single" w:color="auto" w:sz="4" w:space="0"/>
                    <w:right w:val="single" w:color="auto" w:sz="4" w:space="0"/>
                  </w:tcBorders>
                  <w:vAlign w:val="center"/>
                </w:tcPr>
                <w:p w14:paraId="2DB78C4B">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3个月</w:t>
                  </w:r>
                </w:p>
              </w:tc>
              <w:tc>
                <w:tcPr>
                  <w:tcW w:w="542" w:type="dxa"/>
                  <w:tcBorders>
                    <w:top w:val="single" w:color="auto" w:sz="4" w:space="0"/>
                    <w:left w:val="single" w:color="auto" w:sz="4" w:space="0"/>
                    <w:bottom w:val="single" w:color="auto" w:sz="4" w:space="0"/>
                    <w:right w:val="single" w:color="auto" w:sz="4" w:space="0"/>
                  </w:tcBorders>
                  <w:vAlign w:val="center"/>
                </w:tcPr>
                <w:p w14:paraId="758DEBD0">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T,I</w:t>
                  </w:r>
                </w:p>
              </w:tc>
              <w:tc>
                <w:tcPr>
                  <w:tcW w:w="666" w:type="dxa"/>
                  <w:vMerge w:val="restart"/>
                  <w:tcBorders>
                    <w:top w:val="single" w:color="auto" w:sz="4" w:space="0"/>
                    <w:left w:val="single" w:color="auto" w:sz="4" w:space="0"/>
                    <w:bottom w:val="single" w:color="auto" w:sz="4" w:space="0"/>
                    <w:right w:val="nil"/>
                  </w:tcBorders>
                  <w:vAlign w:val="center"/>
                </w:tcPr>
                <w:p w14:paraId="609C9135">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委托有资质单位处理处置</w:t>
                  </w:r>
                </w:p>
              </w:tc>
            </w:tr>
            <w:tr w14:paraId="7FFC602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dxa"/>
                  <w:tcBorders>
                    <w:top w:val="single" w:color="auto" w:sz="4" w:space="0"/>
                    <w:left w:val="nil"/>
                    <w:bottom w:val="single" w:color="auto" w:sz="4" w:space="0"/>
                    <w:right w:val="single" w:color="auto" w:sz="4" w:space="0"/>
                  </w:tcBorders>
                  <w:vAlign w:val="center"/>
                </w:tcPr>
                <w:p w14:paraId="2B16A73C">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2</w:t>
                  </w:r>
                </w:p>
              </w:tc>
              <w:tc>
                <w:tcPr>
                  <w:tcW w:w="732" w:type="dxa"/>
                  <w:tcBorders>
                    <w:top w:val="single" w:color="auto" w:sz="4" w:space="0"/>
                    <w:left w:val="single" w:color="auto" w:sz="4" w:space="0"/>
                    <w:bottom w:val="single" w:color="auto" w:sz="4" w:space="0"/>
                    <w:right w:val="single" w:color="auto" w:sz="4" w:space="0"/>
                  </w:tcBorders>
                  <w:vAlign w:val="center"/>
                </w:tcPr>
                <w:p w14:paraId="1F1A6CC2">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废油桶</w:t>
                  </w:r>
                </w:p>
              </w:tc>
              <w:tc>
                <w:tcPr>
                  <w:tcW w:w="713" w:type="dxa"/>
                  <w:tcBorders>
                    <w:top w:val="single" w:color="auto" w:sz="4" w:space="0"/>
                    <w:left w:val="single" w:color="auto" w:sz="4" w:space="0"/>
                    <w:bottom w:val="single" w:color="auto" w:sz="4" w:space="0"/>
                    <w:right w:val="single" w:color="auto" w:sz="4" w:space="0"/>
                  </w:tcBorders>
                  <w:vAlign w:val="center"/>
                </w:tcPr>
                <w:p w14:paraId="53CB1EA6">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HW</w:t>
                  </w:r>
                </w:p>
                <w:p w14:paraId="3263ADC8">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08</w:t>
                  </w:r>
                </w:p>
              </w:tc>
              <w:tc>
                <w:tcPr>
                  <w:tcW w:w="1302" w:type="dxa"/>
                  <w:tcBorders>
                    <w:top w:val="single" w:color="auto" w:sz="4" w:space="0"/>
                    <w:left w:val="single" w:color="auto" w:sz="4" w:space="0"/>
                    <w:bottom w:val="single" w:color="auto" w:sz="4" w:space="0"/>
                    <w:right w:val="single" w:color="auto" w:sz="4" w:space="0"/>
                  </w:tcBorders>
                  <w:vAlign w:val="center"/>
                </w:tcPr>
                <w:p w14:paraId="350EA594">
                  <w:pPr>
                    <w:pStyle w:val="135"/>
                    <w:ind w:left="560" w:hanging="56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900-249-08</w:t>
                  </w:r>
                </w:p>
              </w:tc>
              <w:tc>
                <w:tcPr>
                  <w:tcW w:w="743" w:type="dxa"/>
                  <w:tcBorders>
                    <w:top w:val="single" w:color="auto" w:sz="4" w:space="0"/>
                    <w:left w:val="single" w:color="auto" w:sz="4" w:space="0"/>
                    <w:bottom w:val="single" w:color="auto" w:sz="4" w:space="0"/>
                    <w:right w:val="single" w:color="auto" w:sz="4" w:space="0"/>
                  </w:tcBorders>
                  <w:vAlign w:val="center"/>
                </w:tcPr>
                <w:p w14:paraId="0DF2E307">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0.01</w:t>
                  </w:r>
                </w:p>
              </w:tc>
              <w:tc>
                <w:tcPr>
                  <w:tcW w:w="742" w:type="dxa"/>
                  <w:tcBorders>
                    <w:top w:val="single" w:color="auto" w:sz="4" w:space="0"/>
                    <w:left w:val="single" w:color="auto" w:sz="4" w:space="0"/>
                    <w:bottom w:val="single" w:color="auto" w:sz="4" w:space="0"/>
                    <w:right w:val="single" w:color="auto" w:sz="4" w:space="0"/>
                  </w:tcBorders>
                  <w:vAlign w:val="center"/>
                </w:tcPr>
                <w:p w14:paraId="39FC493A">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设备维护</w:t>
                  </w:r>
                </w:p>
              </w:tc>
              <w:tc>
                <w:tcPr>
                  <w:tcW w:w="514" w:type="dxa"/>
                  <w:tcBorders>
                    <w:top w:val="single" w:color="auto" w:sz="4" w:space="0"/>
                    <w:left w:val="single" w:color="auto" w:sz="4" w:space="0"/>
                    <w:bottom w:val="single" w:color="auto" w:sz="4" w:space="0"/>
                    <w:right w:val="single" w:color="auto" w:sz="4" w:space="0"/>
                  </w:tcBorders>
                  <w:vAlign w:val="center"/>
                </w:tcPr>
                <w:p w14:paraId="1E920D10">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固</w:t>
                  </w:r>
                </w:p>
              </w:tc>
              <w:tc>
                <w:tcPr>
                  <w:tcW w:w="791" w:type="dxa"/>
                  <w:tcBorders>
                    <w:top w:val="single" w:color="auto" w:sz="4" w:space="0"/>
                    <w:left w:val="single" w:color="auto" w:sz="4" w:space="0"/>
                    <w:bottom w:val="single" w:color="auto" w:sz="4" w:space="0"/>
                    <w:right w:val="single" w:color="auto" w:sz="4" w:space="0"/>
                  </w:tcBorders>
                  <w:vAlign w:val="center"/>
                </w:tcPr>
                <w:p w14:paraId="640BF43B">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油类物质</w:t>
                  </w:r>
                </w:p>
              </w:tc>
              <w:tc>
                <w:tcPr>
                  <w:tcW w:w="655" w:type="dxa"/>
                  <w:tcBorders>
                    <w:top w:val="single" w:color="auto" w:sz="4" w:space="0"/>
                    <w:left w:val="single" w:color="auto" w:sz="4" w:space="0"/>
                    <w:bottom w:val="single" w:color="auto" w:sz="4" w:space="0"/>
                    <w:right w:val="single" w:color="auto" w:sz="4" w:space="0"/>
                  </w:tcBorders>
                  <w:vAlign w:val="center"/>
                </w:tcPr>
                <w:p w14:paraId="39A557F9">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油类物质</w:t>
                  </w:r>
                </w:p>
              </w:tc>
              <w:tc>
                <w:tcPr>
                  <w:tcW w:w="633" w:type="dxa"/>
                  <w:tcBorders>
                    <w:top w:val="single" w:color="auto" w:sz="4" w:space="0"/>
                    <w:left w:val="single" w:color="auto" w:sz="4" w:space="0"/>
                    <w:bottom w:val="single" w:color="auto" w:sz="4" w:space="0"/>
                    <w:right w:val="single" w:color="auto" w:sz="4" w:space="0"/>
                  </w:tcBorders>
                  <w:vAlign w:val="center"/>
                </w:tcPr>
                <w:p w14:paraId="172CAB73">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3个月</w:t>
                  </w:r>
                </w:p>
              </w:tc>
              <w:tc>
                <w:tcPr>
                  <w:tcW w:w="542" w:type="dxa"/>
                  <w:tcBorders>
                    <w:top w:val="single" w:color="auto" w:sz="4" w:space="0"/>
                    <w:left w:val="single" w:color="auto" w:sz="4" w:space="0"/>
                    <w:bottom w:val="single" w:color="auto" w:sz="4" w:space="0"/>
                    <w:right w:val="single" w:color="auto" w:sz="4" w:space="0"/>
                  </w:tcBorders>
                  <w:vAlign w:val="center"/>
                </w:tcPr>
                <w:p w14:paraId="27BA12E7">
                  <w:pPr>
                    <w:adjustRightInd w:val="0"/>
                    <w:snapToGrid w:val="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T,I</w:t>
                  </w:r>
                </w:p>
              </w:tc>
              <w:tc>
                <w:tcPr>
                  <w:tcW w:w="666" w:type="dxa"/>
                  <w:vMerge w:val="continue"/>
                  <w:tcBorders>
                    <w:top w:val="single" w:color="auto" w:sz="4" w:space="0"/>
                    <w:left w:val="single" w:color="auto" w:sz="4" w:space="0"/>
                    <w:bottom w:val="single" w:color="auto" w:sz="4" w:space="0"/>
                    <w:right w:val="nil"/>
                  </w:tcBorders>
                  <w:vAlign w:val="center"/>
                </w:tcPr>
                <w:p w14:paraId="2873DD45">
                  <w:pPr>
                    <w:widowControl/>
                    <w:rPr>
                      <w:rFonts w:eastAsiaTheme="minorEastAsia"/>
                      <w:color w:val="000000" w:themeColor="text1"/>
                      <w:kern w:val="0"/>
                      <w:szCs w:val="21"/>
                      <w14:textFill>
                        <w14:solidFill>
                          <w14:schemeClr w14:val="tx1"/>
                        </w14:solidFill>
                      </w14:textFill>
                    </w:rPr>
                  </w:pPr>
                </w:p>
              </w:tc>
            </w:tr>
          </w:tbl>
          <w:p w14:paraId="1000B772">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2.储存方式及处置情况</w:t>
            </w:r>
          </w:p>
          <w:p w14:paraId="068A41C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（1）一般固废暂存场所可行性分析</w:t>
            </w:r>
          </w:p>
          <w:p w14:paraId="010AD72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本项目设有30m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一般固废暂存间1个，脱硫石膏使用人工与机械（铲车等）结合的方式收集，转运至一般工业固体废物临时贮存。具体贮存情况见下表。</w:t>
            </w:r>
          </w:p>
          <w:p w14:paraId="17EB99F4">
            <w:pPr>
              <w:pStyle w:val="134"/>
              <w:ind w:firstLine="420"/>
              <w:rPr>
                <w:rFonts w:eastAsiaTheme="minorEastAsia"/>
                <w:color w:val="000000" w:themeColor="text1"/>
                <w:kern w:val="2"/>
                <w:sz w:val="21"/>
                <w:szCs w:val="21"/>
                <w14:textFill>
                  <w14:solidFill>
                    <w14:schemeClr w14:val="tx1"/>
                  </w14:solidFill>
                </w14:textFill>
              </w:rPr>
            </w:pPr>
            <w:r>
              <w:rPr>
                <w:rFonts w:eastAsiaTheme="minorEastAsia"/>
                <w:color w:val="000000" w:themeColor="text1"/>
                <w:kern w:val="2"/>
                <w:sz w:val="21"/>
                <w:szCs w:val="21"/>
                <w14:textFill>
                  <w14:solidFill>
                    <w14:schemeClr w14:val="tx1"/>
                  </w14:solidFill>
                </w14:textFill>
              </w:rPr>
              <w:t>表4-23一般废物贮存场所（设施）基本情况表</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06"/>
              <w:gridCol w:w="1123"/>
              <w:gridCol w:w="853"/>
              <w:gridCol w:w="736"/>
              <w:gridCol w:w="740"/>
              <w:gridCol w:w="814"/>
              <w:gridCol w:w="1686"/>
              <w:gridCol w:w="934"/>
              <w:gridCol w:w="654"/>
            </w:tblGrid>
            <w:tr w14:paraId="625F0FE5">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6" w:type="dxa"/>
                  <w:tcBorders>
                    <w:top w:val="double" w:color="auto" w:sz="2" w:space="0"/>
                    <w:left w:val="nil"/>
                    <w:bottom w:val="single" w:color="auto" w:sz="6" w:space="0"/>
                    <w:right w:val="single" w:color="auto" w:sz="6" w:space="0"/>
                  </w:tcBorders>
                  <w:vAlign w:val="center"/>
                </w:tcPr>
                <w:p w14:paraId="447DE961">
                  <w:pPr>
                    <w:pStyle w:val="48"/>
                  </w:pPr>
                  <w:r>
                    <w:t>贮存场所（设施）名称</w:t>
                  </w:r>
                </w:p>
              </w:tc>
              <w:tc>
                <w:tcPr>
                  <w:tcW w:w="1123" w:type="dxa"/>
                  <w:tcBorders>
                    <w:top w:val="double" w:color="auto" w:sz="2" w:space="0"/>
                    <w:left w:val="single" w:color="auto" w:sz="6" w:space="0"/>
                    <w:bottom w:val="single" w:color="auto" w:sz="6" w:space="0"/>
                    <w:right w:val="single" w:color="auto" w:sz="6" w:space="0"/>
                  </w:tcBorders>
                  <w:vAlign w:val="center"/>
                </w:tcPr>
                <w:p w14:paraId="2D6EF502">
                  <w:pPr>
                    <w:pStyle w:val="48"/>
                  </w:pPr>
                  <w:r>
                    <w:t>废物名称</w:t>
                  </w:r>
                </w:p>
              </w:tc>
              <w:tc>
                <w:tcPr>
                  <w:tcW w:w="853" w:type="dxa"/>
                  <w:tcBorders>
                    <w:top w:val="double" w:color="auto" w:sz="2" w:space="0"/>
                    <w:left w:val="single" w:color="auto" w:sz="6" w:space="0"/>
                    <w:bottom w:val="single" w:color="auto" w:sz="6" w:space="0"/>
                    <w:right w:val="single" w:color="auto" w:sz="6" w:space="0"/>
                  </w:tcBorders>
                  <w:vAlign w:val="center"/>
                </w:tcPr>
                <w:p w14:paraId="14BA29E4">
                  <w:pPr>
                    <w:pStyle w:val="48"/>
                  </w:pPr>
                  <w:r>
                    <w:t>位置</w:t>
                  </w:r>
                </w:p>
              </w:tc>
              <w:tc>
                <w:tcPr>
                  <w:tcW w:w="736" w:type="dxa"/>
                  <w:tcBorders>
                    <w:top w:val="double" w:color="auto" w:sz="2" w:space="0"/>
                    <w:left w:val="single" w:color="auto" w:sz="6" w:space="0"/>
                    <w:bottom w:val="single" w:color="auto" w:sz="6" w:space="0"/>
                    <w:right w:val="single" w:color="auto" w:sz="6" w:space="0"/>
                  </w:tcBorders>
                  <w:vAlign w:val="center"/>
                </w:tcPr>
                <w:p w14:paraId="44E5D357">
                  <w:pPr>
                    <w:pStyle w:val="48"/>
                  </w:pPr>
                  <w:r>
                    <w:t>占地</w:t>
                  </w:r>
                </w:p>
                <w:p w14:paraId="3FE97D55">
                  <w:pPr>
                    <w:pStyle w:val="48"/>
                  </w:pPr>
                  <w:r>
                    <w:t>面积m</w:t>
                  </w:r>
                  <w:r>
                    <w:rPr>
                      <w:vertAlign w:val="superscript"/>
                    </w:rPr>
                    <w:t>2</w:t>
                  </w:r>
                </w:p>
              </w:tc>
              <w:tc>
                <w:tcPr>
                  <w:tcW w:w="740" w:type="dxa"/>
                  <w:tcBorders>
                    <w:top w:val="double" w:color="auto" w:sz="2" w:space="0"/>
                    <w:left w:val="single" w:color="auto" w:sz="6" w:space="0"/>
                    <w:bottom w:val="single" w:color="auto" w:sz="6" w:space="0"/>
                    <w:right w:val="single" w:color="auto" w:sz="6" w:space="0"/>
                  </w:tcBorders>
                  <w:vAlign w:val="center"/>
                </w:tcPr>
                <w:p w14:paraId="7B79FFB7">
                  <w:pPr>
                    <w:pStyle w:val="48"/>
                  </w:pPr>
                  <w:r>
                    <w:t>贮存能力</w:t>
                  </w:r>
                </w:p>
                <w:p w14:paraId="12540785">
                  <w:pPr>
                    <w:pStyle w:val="48"/>
                  </w:pPr>
                  <w:r>
                    <w:t>t</w:t>
                  </w:r>
                </w:p>
              </w:tc>
              <w:tc>
                <w:tcPr>
                  <w:tcW w:w="814" w:type="dxa"/>
                  <w:tcBorders>
                    <w:top w:val="double" w:color="auto" w:sz="2" w:space="0"/>
                    <w:left w:val="single" w:color="auto" w:sz="6" w:space="0"/>
                    <w:bottom w:val="single" w:color="auto" w:sz="6" w:space="0"/>
                    <w:right w:val="single" w:color="auto" w:sz="6" w:space="0"/>
                  </w:tcBorders>
                  <w:vAlign w:val="center"/>
                </w:tcPr>
                <w:p w14:paraId="3CB12C7E">
                  <w:pPr>
                    <w:pStyle w:val="48"/>
                  </w:pPr>
                  <w:r>
                    <w:t>贮存周期</w:t>
                  </w:r>
                </w:p>
              </w:tc>
              <w:tc>
                <w:tcPr>
                  <w:tcW w:w="1686" w:type="dxa"/>
                  <w:tcBorders>
                    <w:top w:val="double" w:color="auto" w:sz="2" w:space="0"/>
                    <w:left w:val="single" w:color="auto" w:sz="6" w:space="0"/>
                    <w:bottom w:val="single" w:color="auto" w:sz="6" w:space="0"/>
                    <w:right w:val="single" w:color="auto" w:sz="6" w:space="0"/>
                  </w:tcBorders>
                  <w:vAlign w:val="center"/>
                </w:tcPr>
                <w:p w14:paraId="7404B9EF">
                  <w:pPr>
                    <w:pStyle w:val="48"/>
                  </w:pPr>
                  <w:r>
                    <w:t>贮存标准</w:t>
                  </w:r>
                </w:p>
              </w:tc>
              <w:tc>
                <w:tcPr>
                  <w:tcW w:w="934" w:type="dxa"/>
                  <w:tcBorders>
                    <w:top w:val="double" w:color="auto" w:sz="2" w:space="0"/>
                    <w:left w:val="single" w:color="auto" w:sz="6" w:space="0"/>
                    <w:bottom w:val="single" w:color="auto" w:sz="6" w:space="0"/>
                    <w:right w:val="single" w:color="auto" w:sz="6" w:space="0"/>
                  </w:tcBorders>
                </w:tcPr>
                <w:p w14:paraId="745DEFB2">
                  <w:pPr>
                    <w:pStyle w:val="48"/>
                  </w:pPr>
                  <w:r>
                    <w:t>所需贮存量（t）</w:t>
                  </w:r>
                </w:p>
              </w:tc>
              <w:tc>
                <w:tcPr>
                  <w:tcW w:w="654" w:type="dxa"/>
                  <w:tcBorders>
                    <w:top w:val="double" w:color="auto" w:sz="2" w:space="0"/>
                    <w:left w:val="single" w:color="auto" w:sz="6" w:space="0"/>
                    <w:bottom w:val="single" w:color="auto" w:sz="6" w:space="0"/>
                    <w:right w:val="nil"/>
                  </w:tcBorders>
                  <w:vAlign w:val="center"/>
                </w:tcPr>
                <w:p w14:paraId="52C172D4">
                  <w:pPr>
                    <w:pStyle w:val="48"/>
                  </w:pPr>
                  <w:r>
                    <w:t>是否满足要求</w:t>
                  </w:r>
                </w:p>
              </w:tc>
            </w:tr>
            <w:tr w14:paraId="69F82929">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06" w:type="dxa"/>
                  <w:vMerge w:val="restart"/>
                  <w:tcBorders>
                    <w:top w:val="single" w:color="auto" w:sz="6" w:space="0"/>
                    <w:left w:val="nil"/>
                    <w:right w:val="single" w:color="auto" w:sz="6" w:space="0"/>
                  </w:tcBorders>
                  <w:vAlign w:val="center"/>
                </w:tcPr>
                <w:p w14:paraId="73F1BF12">
                  <w:pPr>
                    <w:pStyle w:val="48"/>
                  </w:pPr>
                  <w:r>
                    <w:t>一般固废间</w:t>
                  </w:r>
                </w:p>
              </w:tc>
              <w:tc>
                <w:tcPr>
                  <w:tcW w:w="1123" w:type="dxa"/>
                  <w:tcBorders>
                    <w:top w:val="single" w:color="auto" w:sz="6" w:space="0"/>
                    <w:left w:val="single" w:color="auto" w:sz="6" w:space="0"/>
                    <w:bottom w:val="single" w:color="auto" w:sz="6" w:space="0"/>
                    <w:right w:val="single" w:color="auto" w:sz="6" w:space="0"/>
                  </w:tcBorders>
                  <w:vAlign w:val="center"/>
                </w:tcPr>
                <w:p w14:paraId="1C3C118C">
                  <w:pPr>
                    <w:pStyle w:val="48"/>
                  </w:pPr>
                  <w:r>
                    <w:t>脱硫石膏</w:t>
                  </w:r>
                </w:p>
              </w:tc>
              <w:tc>
                <w:tcPr>
                  <w:tcW w:w="853" w:type="dxa"/>
                  <w:vMerge w:val="restart"/>
                  <w:tcBorders>
                    <w:top w:val="single" w:color="auto" w:sz="6" w:space="0"/>
                    <w:left w:val="single" w:color="auto" w:sz="6" w:space="0"/>
                    <w:right w:val="single" w:color="auto" w:sz="6" w:space="0"/>
                  </w:tcBorders>
                  <w:vAlign w:val="center"/>
                </w:tcPr>
                <w:p w14:paraId="4779F303">
                  <w:pPr>
                    <w:pStyle w:val="48"/>
                  </w:pPr>
                  <w:r>
                    <w:t>生产车间内西北侧</w:t>
                  </w:r>
                </w:p>
              </w:tc>
              <w:tc>
                <w:tcPr>
                  <w:tcW w:w="736" w:type="dxa"/>
                  <w:vMerge w:val="restart"/>
                  <w:tcBorders>
                    <w:top w:val="single" w:color="auto" w:sz="6" w:space="0"/>
                    <w:left w:val="single" w:color="auto" w:sz="6" w:space="0"/>
                    <w:right w:val="single" w:color="auto" w:sz="6" w:space="0"/>
                  </w:tcBorders>
                  <w:vAlign w:val="center"/>
                </w:tcPr>
                <w:p w14:paraId="2C6C9B0C">
                  <w:pPr>
                    <w:pStyle w:val="48"/>
                  </w:pPr>
                  <w:r>
                    <w:t>30</w:t>
                  </w:r>
                </w:p>
              </w:tc>
              <w:tc>
                <w:tcPr>
                  <w:tcW w:w="740" w:type="dxa"/>
                  <w:vMerge w:val="restart"/>
                  <w:tcBorders>
                    <w:top w:val="single" w:color="auto" w:sz="6" w:space="0"/>
                    <w:left w:val="single" w:color="auto" w:sz="6" w:space="0"/>
                    <w:right w:val="single" w:color="auto" w:sz="6" w:space="0"/>
                  </w:tcBorders>
                  <w:vAlign w:val="center"/>
                </w:tcPr>
                <w:p w14:paraId="5D84F6D8">
                  <w:pPr>
                    <w:pStyle w:val="48"/>
                  </w:pPr>
                  <w:r>
                    <w:t>30</w:t>
                  </w:r>
                </w:p>
              </w:tc>
              <w:tc>
                <w:tcPr>
                  <w:tcW w:w="814" w:type="dxa"/>
                  <w:vMerge w:val="restart"/>
                  <w:tcBorders>
                    <w:top w:val="single" w:color="auto" w:sz="6" w:space="0"/>
                    <w:left w:val="single" w:color="auto" w:sz="6" w:space="0"/>
                    <w:right w:val="single" w:color="auto" w:sz="6" w:space="0"/>
                  </w:tcBorders>
                  <w:vAlign w:val="center"/>
                </w:tcPr>
                <w:p w14:paraId="50FEB45A">
                  <w:pPr>
                    <w:pStyle w:val="48"/>
                  </w:pPr>
                  <w:r>
                    <w:t>30天</w:t>
                  </w:r>
                </w:p>
              </w:tc>
              <w:tc>
                <w:tcPr>
                  <w:tcW w:w="1686" w:type="dxa"/>
                  <w:vMerge w:val="restart"/>
                  <w:tcBorders>
                    <w:top w:val="single" w:color="auto" w:sz="6" w:space="0"/>
                    <w:left w:val="single" w:color="auto" w:sz="6" w:space="0"/>
                    <w:right w:val="single" w:color="auto" w:sz="6" w:space="0"/>
                  </w:tcBorders>
                  <w:vAlign w:val="center"/>
                </w:tcPr>
                <w:p w14:paraId="5659D283">
                  <w:pPr>
                    <w:pStyle w:val="48"/>
                  </w:pPr>
                  <w:r>
                    <w:t>《一般工业固体废物贮存和填埋污染控制标准》（GB 18599-2020）</w:t>
                  </w:r>
                </w:p>
              </w:tc>
              <w:tc>
                <w:tcPr>
                  <w:tcW w:w="934" w:type="dxa"/>
                  <w:tcBorders>
                    <w:top w:val="single" w:color="auto" w:sz="6" w:space="0"/>
                    <w:left w:val="single" w:color="auto" w:sz="6" w:space="0"/>
                    <w:bottom w:val="single" w:color="auto" w:sz="6" w:space="0"/>
                    <w:right w:val="single" w:color="auto" w:sz="6" w:space="0"/>
                  </w:tcBorders>
                  <w:vAlign w:val="center"/>
                </w:tcPr>
                <w:p w14:paraId="4EEDC20E">
                  <w:pPr>
                    <w:pStyle w:val="48"/>
                    <w:rPr>
                      <w:color w:val="0000FF"/>
                    </w:rPr>
                  </w:pPr>
                  <w:r>
                    <w:rPr>
                      <w:color w:val="0000FF"/>
                    </w:rPr>
                    <w:t>0.49</w:t>
                  </w:r>
                </w:p>
              </w:tc>
              <w:tc>
                <w:tcPr>
                  <w:tcW w:w="654" w:type="dxa"/>
                  <w:tcBorders>
                    <w:top w:val="single" w:color="auto" w:sz="6" w:space="0"/>
                    <w:left w:val="single" w:color="auto" w:sz="6" w:space="0"/>
                    <w:bottom w:val="single" w:color="auto" w:sz="6" w:space="0"/>
                    <w:right w:val="nil"/>
                  </w:tcBorders>
                  <w:vAlign w:val="center"/>
                </w:tcPr>
                <w:p w14:paraId="123A8475">
                  <w:pPr>
                    <w:pStyle w:val="48"/>
                  </w:pPr>
                  <w:r>
                    <w:t>满足</w:t>
                  </w:r>
                </w:p>
              </w:tc>
            </w:tr>
            <w:tr w14:paraId="0AAD75F7">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06" w:type="dxa"/>
                  <w:vMerge w:val="continue"/>
                  <w:tcBorders>
                    <w:left w:val="nil"/>
                    <w:bottom w:val="single" w:color="auto" w:sz="6" w:space="0"/>
                    <w:right w:val="single" w:color="auto" w:sz="6" w:space="0"/>
                  </w:tcBorders>
                  <w:vAlign w:val="center"/>
                </w:tcPr>
                <w:p w14:paraId="704FED9F">
                  <w:pPr>
                    <w:pStyle w:val="48"/>
                  </w:pPr>
                </w:p>
              </w:tc>
              <w:tc>
                <w:tcPr>
                  <w:tcW w:w="1123" w:type="dxa"/>
                  <w:tcBorders>
                    <w:top w:val="single" w:color="auto" w:sz="6" w:space="0"/>
                    <w:left w:val="single" w:color="auto" w:sz="6" w:space="0"/>
                    <w:bottom w:val="single" w:color="auto" w:sz="6" w:space="0"/>
                    <w:right w:val="single" w:color="auto" w:sz="6" w:space="0"/>
                  </w:tcBorders>
                  <w:vAlign w:val="center"/>
                </w:tcPr>
                <w:p w14:paraId="455BE3E6">
                  <w:pPr>
                    <w:pStyle w:val="48"/>
                  </w:pPr>
                  <w:r>
                    <w:rPr>
                      <w:color w:val="0000FF"/>
                    </w:rPr>
                    <w:t>沉淀池沉淀</w:t>
                  </w:r>
                </w:p>
              </w:tc>
              <w:tc>
                <w:tcPr>
                  <w:tcW w:w="853" w:type="dxa"/>
                  <w:vMerge w:val="continue"/>
                  <w:tcBorders>
                    <w:left w:val="single" w:color="auto" w:sz="6" w:space="0"/>
                    <w:bottom w:val="single" w:color="auto" w:sz="6" w:space="0"/>
                    <w:right w:val="single" w:color="auto" w:sz="6" w:space="0"/>
                  </w:tcBorders>
                  <w:vAlign w:val="center"/>
                </w:tcPr>
                <w:p w14:paraId="7142C133">
                  <w:pPr>
                    <w:pStyle w:val="48"/>
                  </w:pPr>
                </w:p>
              </w:tc>
              <w:tc>
                <w:tcPr>
                  <w:tcW w:w="736" w:type="dxa"/>
                  <w:vMerge w:val="continue"/>
                  <w:tcBorders>
                    <w:left w:val="single" w:color="auto" w:sz="6" w:space="0"/>
                    <w:bottom w:val="single" w:color="auto" w:sz="6" w:space="0"/>
                    <w:right w:val="single" w:color="auto" w:sz="6" w:space="0"/>
                  </w:tcBorders>
                  <w:vAlign w:val="center"/>
                </w:tcPr>
                <w:p w14:paraId="28FAA8C8">
                  <w:pPr>
                    <w:pStyle w:val="48"/>
                  </w:pPr>
                </w:p>
              </w:tc>
              <w:tc>
                <w:tcPr>
                  <w:tcW w:w="740" w:type="dxa"/>
                  <w:vMerge w:val="continue"/>
                  <w:tcBorders>
                    <w:left w:val="single" w:color="auto" w:sz="6" w:space="0"/>
                    <w:bottom w:val="single" w:color="auto" w:sz="6" w:space="0"/>
                    <w:right w:val="single" w:color="auto" w:sz="6" w:space="0"/>
                  </w:tcBorders>
                  <w:vAlign w:val="center"/>
                </w:tcPr>
                <w:p w14:paraId="3329BFD2">
                  <w:pPr>
                    <w:pStyle w:val="48"/>
                  </w:pPr>
                </w:p>
              </w:tc>
              <w:tc>
                <w:tcPr>
                  <w:tcW w:w="814" w:type="dxa"/>
                  <w:vMerge w:val="continue"/>
                  <w:tcBorders>
                    <w:left w:val="single" w:color="auto" w:sz="6" w:space="0"/>
                    <w:bottom w:val="single" w:color="auto" w:sz="6" w:space="0"/>
                    <w:right w:val="single" w:color="auto" w:sz="6" w:space="0"/>
                  </w:tcBorders>
                  <w:vAlign w:val="center"/>
                </w:tcPr>
                <w:p w14:paraId="63B0B9D9">
                  <w:pPr>
                    <w:pStyle w:val="48"/>
                  </w:pPr>
                </w:p>
              </w:tc>
              <w:tc>
                <w:tcPr>
                  <w:tcW w:w="1686" w:type="dxa"/>
                  <w:vMerge w:val="continue"/>
                  <w:tcBorders>
                    <w:left w:val="single" w:color="auto" w:sz="6" w:space="0"/>
                    <w:bottom w:val="single" w:color="auto" w:sz="6" w:space="0"/>
                    <w:right w:val="single" w:color="auto" w:sz="6" w:space="0"/>
                  </w:tcBorders>
                  <w:vAlign w:val="center"/>
                </w:tcPr>
                <w:p w14:paraId="0DD69C84">
                  <w:pPr>
                    <w:pStyle w:val="48"/>
                  </w:pPr>
                </w:p>
              </w:tc>
              <w:tc>
                <w:tcPr>
                  <w:tcW w:w="934" w:type="dxa"/>
                  <w:tcBorders>
                    <w:top w:val="single" w:color="auto" w:sz="6" w:space="0"/>
                    <w:left w:val="single" w:color="auto" w:sz="6" w:space="0"/>
                    <w:bottom w:val="single" w:color="auto" w:sz="6" w:space="0"/>
                    <w:right w:val="single" w:color="auto" w:sz="6" w:space="0"/>
                  </w:tcBorders>
                  <w:vAlign w:val="center"/>
                </w:tcPr>
                <w:p w14:paraId="7D3F2FE4">
                  <w:pPr>
                    <w:pStyle w:val="48"/>
                    <w:rPr>
                      <w:color w:val="0000FF"/>
                    </w:rPr>
                  </w:pPr>
                  <w:r>
                    <w:rPr>
                      <w:color w:val="0000FF"/>
                    </w:rPr>
                    <w:t>0.1</w:t>
                  </w:r>
                </w:p>
              </w:tc>
              <w:tc>
                <w:tcPr>
                  <w:tcW w:w="654" w:type="dxa"/>
                  <w:tcBorders>
                    <w:top w:val="single" w:color="auto" w:sz="6" w:space="0"/>
                    <w:left w:val="single" w:color="auto" w:sz="6" w:space="0"/>
                    <w:bottom w:val="single" w:color="auto" w:sz="6" w:space="0"/>
                    <w:right w:val="nil"/>
                  </w:tcBorders>
                  <w:vAlign w:val="center"/>
                </w:tcPr>
                <w:p w14:paraId="7C1D4A04">
                  <w:pPr>
                    <w:pStyle w:val="48"/>
                  </w:pPr>
                  <w:r>
                    <w:t>满足</w:t>
                  </w:r>
                </w:p>
              </w:tc>
            </w:tr>
            <w:tr w14:paraId="39433B04">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6858" w:type="dxa"/>
                  <w:gridSpan w:val="7"/>
                  <w:tcBorders>
                    <w:top w:val="single" w:color="auto" w:sz="6" w:space="0"/>
                    <w:left w:val="nil"/>
                    <w:bottom w:val="double" w:color="auto" w:sz="2" w:space="0"/>
                    <w:right w:val="single" w:color="auto" w:sz="6" w:space="0"/>
                  </w:tcBorders>
                  <w:vAlign w:val="center"/>
                </w:tcPr>
                <w:p w14:paraId="3B93379B">
                  <w:pPr>
                    <w:pStyle w:val="48"/>
                  </w:pPr>
                  <w:r>
                    <w:t>合计</w:t>
                  </w:r>
                </w:p>
              </w:tc>
              <w:tc>
                <w:tcPr>
                  <w:tcW w:w="934" w:type="dxa"/>
                  <w:tcBorders>
                    <w:top w:val="single" w:color="auto" w:sz="6" w:space="0"/>
                    <w:left w:val="single" w:color="auto" w:sz="6" w:space="0"/>
                    <w:bottom w:val="double" w:color="auto" w:sz="2" w:space="0"/>
                    <w:right w:val="single" w:color="auto" w:sz="6" w:space="0"/>
                  </w:tcBorders>
                  <w:vAlign w:val="center"/>
                </w:tcPr>
                <w:p w14:paraId="19C91BF7">
                  <w:pPr>
                    <w:pStyle w:val="48"/>
                    <w:rPr>
                      <w:color w:val="0000FF"/>
                    </w:rPr>
                  </w:pPr>
                  <w:r>
                    <w:rPr>
                      <w:color w:val="0000FF"/>
                    </w:rPr>
                    <w:t>0.59</w:t>
                  </w:r>
                </w:p>
              </w:tc>
              <w:tc>
                <w:tcPr>
                  <w:tcW w:w="654" w:type="dxa"/>
                  <w:tcBorders>
                    <w:top w:val="single" w:color="auto" w:sz="6" w:space="0"/>
                    <w:left w:val="single" w:color="auto" w:sz="6" w:space="0"/>
                    <w:bottom w:val="double" w:color="auto" w:sz="2" w:space="0"/>
                    <w:right w:val="nil"/>
                  </w:tcBorders>
                  <w:vAlign w:val="center"/>
                </w:tcPr>
                <w:p w14:paraId="5342805C">
                  <w:pPr>
                    <w:pStyle w:val="48"/>
                  </w:pPr>
                  <w:r>
                    <w:t>满足</w:t>
                  </w:r>
                </w:p>
              </w:tc>
            </w:tr>
          </w:tbl>
          <w:p w14:paraId="633BCA0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本项目设置的一般固废间储存能力为30t，贮存周期内需要储存在一般固废间的固废量合计为</w:t>
            </w:r>
            <w:r>
              <w:rPr>
                <w:rFonts w:eastAsiaTheme="minorEastAsia"/>
                <w:color w:val="0000FF"/>
              </w:rPr>
              <w:t>0.59t</w:t>
            </w:r>
            <w:r>
              <w:rPr>
                <w:rFonts w:eastAsiaTheme="minorEastAsia"/>
                <w:color w:val="000000" w:themeColor="text1"/>
                <w14:textFill>
                  <w14:solidFill>
                    <w14:schemeClr w14:val="tx1"/>
                  </w14:solidFill>
                </w14:textFill>
              </w:rPr>
              <w:t>&lt;30t，故本项目设置的一般固废间均能够满足储存需求，一般固废贮存方式可行。</w:t>
            </w:r>
          </w:p>
          <w:p w14:paraId="07C1D2D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（2）危险废物贮存场所（设施）环境影响分析</w:t>
            </w:r>
          </w:p>
          <w:p w14:paraId="31C1943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本项目设有10m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危险废物贮存点1个，并按《危险废物贮存污染控制标准》（GB 18597-2023）的相关规定进行建设，建成后用于废机油、废油桶临时贮存。</w:t>
            </w:r>
          </w:p>
          <w:p w14:paraId="6A5EBD5E">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表4-24危险废物贮存场所（设施）基本情况表</w:t>
            </w:r>
          </w:p>
          <w:tbl>
            <w:tblPr>
              <w:tblStyle w:val="35"/>
              <w:tblW w:w="8446" w:type="dxa"/>
              <w:tblInd w:w="5"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927"/>
              <w:gridCol w:w="688"/>
              <w:gridCol w:w="992"/>
              <w:gridCol w:w="851"/>
              <w:gridCol w:w="708"/>
              <w:gridCol w:w="1576"/>
              <w:gridCol w:w="966"/>
              <w:gridCol w:w="674"/>
            </w:tblGrid>
            <w:tr w14:paraId="31935BA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4" w:type="dxa"/>
                  <w:tcBorders>
                    <w:top w:val="double" w:color="auto" w:sz="2" w:space="0"/>
                    <w:left w:val="nil"/>
                    <w:bottom w:val="single" w:color="auto" w:sz="4" w:space="0"/>
                    <w:right w:val="single" w:color="auto" w:sz="4" w:space="0"/>
                  </w:tcBorders>
                  <w:vAlign w:val="center"/>
                </w:tcPr>
                <w:p w14:paraId="4F93A760">
                  <w:pPr>
                    <w:pStyle w:val="48"/>
                  </w:pPr>
                  <w:r>
                    <w:t>贮存场所（设施）名称</w:t>
                  </w:r>
                </w:p>
              </w:tc>
              <w:tc>
                <w:tcPr>
                  <w:tcW w:w="927" w:type="dxa"/>
                  <w:tcBorders>
                    <w:top w:val="double" w:color="auto" w:sz="2" w:space="0"/>
                    <w:left w:val="single" w:color="auto" w:sz="4" w:space="0"/>
                    <w:bottom w:val="single" w:color="auto" w:sz="4" w:space="0"/>
                    <w:right w:val="single" w:color="auto" w:sz="4" w:space="0"/>
                  </w:tcBorders>
                  <w:vAlign w:val="center"/>
                </w:tcPr>
                <w:p w14:paraId="6E88DAC0">
                  <w:pPr>
                    <w:pStyle w:val="48"/>
                  </w:pPr>
                  <w:r>
                    <w:t>废物名称</w:t>
                  </w:r>
                </w:p>
              </w:tc>
              <w:tc>
                <w:tcPr>
                  <w:tcW w:w="688" w:type="dxa"/>
                  <w:tcBorders>
                    <w:top w:val="double" w:color="auto" w:sz="2" w:space="0"/>
                    <w:left w:val="single" w:color="auto" w:sz="4" w:space="0"/>
                    <w:bottom w:val="single" w:color="auto" w:sz="4" w:space="0"/>
                    <w:right w:val="single" w:color="auto" w:sz="4" w:space="0"/>
                  </w:tcBorders>
                  <w:vAlign w:val="center"/>
                </w:tcPr>
                <w:p w14:paraId="133CDF87">
                  <w:pPr>
                    <w:pStyle w:val="48"/>
                  </w:pPr>
                  <w:r>
                    <w:t>位置</w:t>
                  </w:r>
                </w:p>
              </w:tc>
              <w:tc>
                <w:tcPr>
                  <w:tcW w:w="992" w:type="dxa"/>
                  <w:tcBorders>
                    <w:top w:val="double" w:color="auto" w:sz="2" w:space="0"/>
                    <w:left w:val="single" w:color="auto" w:sz="4" w:space="0"/>
                    <w:bottom w:val="single" w:color="auto" w:sz="4" w:space="0"/>
                    <w:right w:val="single" w:color="auto" w:sz="4" w:space="0"/>
                  </w:tcBorders>
                  <w:vAlign w:val="center"/>
                </w:tcPr>
                <w:p w14:paraId="2158078D">
                  <w:pPr>
                    <w:pStyle w:val="48"/>
                  </w:pPr>
                  <w:r>
                    <w:t>占地面积（m</w:t>
                  </w:r>
                  <w:r>
                    <w:rPr>
                      <w:vertAlign w:val="superscript"/>
                    </w:rPr>
                    <w:t>2</w:t>
                  </w:r>
                  <w:r>
                    <w:t>）</w:t>
                  </w:r>
                </w:p>
              </w:tc>
              <w:tc>
                <w:tcPr>
                  <w:tcW w:w="851" w:type="dxa"/>
                  <w:tcBorders>
                    <w:top w:val="double" w:color="auto" w:sz="2" w:space="0"/>
                    <w:left w:val="single" w:color="auto" w:sz="4" w:space="0"/>
                    <w:bottom w:val="single" w:color="auto" w:sz="4" w:space="0"/>
                    <w:right w:val="single" w:color="auto" w:sz="4" w:space="0"/>
                  </w:tcBorders>
                  <w:vAlign w:val="center"/>
                </w:tcPr>
                <w:p w14:paraId="492666F7">
                  <w:pPr>
                    <w:pStyle w:val="48"/>
                  </w:pPr>
                  <w:r>
                    <w:t>贮存能力（t）</w:t>
                  </w:r>
                </w:p>
              </w:tc>
              <w:tc>
                <w:tcPr>
                  <w:tcW w:w="708" w:type="dxa"/>
                  <w:tcBorders>
                    <w:top w:val="double" w:color="auto" w:sz="2" w:space="0"/>
                    <w:left w:val="single" w:color="auto" w:sz="4" w:space="0"/>
                    <w:bottom w:val="single" w:color="auto" w:sz="4" w:space="0"/>
                    <w:right w:val="single" w:color="auto" w:sz="4" w:space="0"/>
                  </w:tcBorders>
                  <w:vAlign w:val="center"/>
                </w:tcPr>
                <w:p w14:paraId="6148FB27">
                  <w:pPr>
                    <w:pStyle w:val="48"/>
                  </w:pPr>
                  <w:r>
                    <w:t>贮存周期</w:t>
                  </w:r>
                </w:p>
              </w:tc>
              <w:tc>
                <w:tcPr>
                  <w:tcW w:w="1576" w:type="dxa"/>
                  <w:tcBorders>
                    <w:top w:val="double" w:color="auto" w:sz="2" w:space="0"/>
                    <w:left w:val="single" w:color="auto" w:sz="4" w:space="0"/>
                    <w:bottom w:val="single" w:color="auto" w:sz="4" w:space="0"/>
                    <w:right w:val="single" w:color="auto" w:sz="4" w:space="0"/>
                  </w:tcBorders>
                  <w:vAlign w:val="center"/>
                </w:tcPr>
                <w:p w14:paraId="47D7F6D0">
                  <w:pPr>
                    <w:pStyle w:val="48"/>
                  </w:pPr>
                  <w:r>
                    <w:t>贮存标准</w:t>
                  </w:r>
                </w:p>
              </w:tc>
              <w:tc>
                <w:tcPr>
                  <w:tcW w:w="966" w:type="dxa"/>
                  <w:tcBorders>
                    <w:top w:val="double" w:color="auto" w:sz="2" w:space="0"/>
                    <w:left w:val="single" w:color="auto" w:sz="4" w:space="0"/>
                    <w:bottom w:val="single" w:color="auto" w:sz="4" w:space="0"/>
                    <w:right w:val="single" w:color="auto" w:sz="4" w:space="0"/>
                  </w:tcBorders>
                  <w:vAlign w:val="center"/>
                </w:tcPr>
                <w:p w14:paraId="432455C4">
                  <w:pPr>
                    <w:pStyle w:val="48"/>
                  </w:pPr>
                  <w:r>
                    <w:t>所需贮存量（t）</w:t>
                  </w:r>
                </w:p>
              </w:tc>
              <w:tc>
                <w:tcPr>
                  <w:tcW w:w="674" w:type="dxa"/>
                  <w:tcBorders>
                    <w:top w:val="double" w:color="auto" w:sz="2" w:space="0"/>
                    <w:left w:val="single" w:color="auto" w:sz="4" w:space="0"/>
                    <w:bottom w:val="single" w:color="auto" w:sz="4" w:space="0"/>
                    <w:right w:val="nil"/>
                  </w:tcBorders>
                  <w:vAlign w:val="center"/>
                </w:tcPr>
                <w:p w14:paraId="63FB0FA0">
                  <w:pPr>
                    <w:pStyle w:val="48"/>
                  </w:pPr>
                  <w:r>
                    <w:t>是否满足要求</w:t>
                  </w:r>
                </w:p>
              </w:tc>
            </w:tr>
            <w:tr w14:paraId="34FFAC0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64" w:type="dxa"/>
                  <w:vMerge w:val="restart"/>
                  <w:tcBorders>
                    <w:top w:val="single" w:color="auto" w:sz="4" w:space="0"/>
                    <w:left w:val="nil"/>
                    <w:bottom w:val="single" w:color="auto" w:sz="4" w:space="0"/>
                    <w:right w:val="single" w:color="auto" w:sz="4" w:space="0"/>
                  </w:tcBorders>
                  <w:vAlign w:val="center"/>
                </w:tcPr>
                <w:p w14:paraId="7D2F9FB4">
                  <w:pPr>
                    <w:pStyle w:val="48"/>
                  </w:pPr>
                  <w:r>
                    <w:t>危废贮存点</w:t>
                  </w:r>
                </w:p>
              </w:tc>
              <w:tc>
                <w:tcPr>
                  <w:tcW w:w="927" w:type="dxa"/>
                  <w:tcBorders>
                    <w:top w:val="single" w:color="auto" w:sz="4" w:space="0"/>
                    <w:left w:val="single" w:color="auto" w:sz="4" w:space="0"/>
                    <w:bottom w:val="single" w:color="auto" w:sz="4" w:space="0"/>
                    <w:right w:val="single" w:color="auto" w:sz="4" w:space="0"/>
                  </w:tcBorders>
                  <w:vAlign w:val="center"/>
                </w:tcPr>
                <w:p w14:paraId="270EC9A2">
                  <w:pPr>
                    <w:pStyle w:val="48"/>
                  </w:pPr>
                  <w:r>
                    <w:t>废机油</w:t>
                  </w:r>
                </w:p>
              </w:tc>
              <w:tc>
                <w:tcPr>
                  <w:tcW w:w="688" w:type="dxa"/>
                  <w:vMerge w:val="restart"/>
                  <w:tcBorders>
                    <w:top w:val="single" w:color="auto" w:sz="4" w:space="0"/>
                    <w:left w:val="single" w:color="auto" w:sz="4" w:space="0"/>
                    <w:bottom w:val="single" w:color="auto" w:sz="4" w:space="0"/>
                    <w:right w:val="single" w:color="auto" w:sz="4" w:space="0"/>
                  </w:tcBorders>
                  <w:vAlign w:val="center"/>
                </w:tcPr>
                <w:p w14:paraId="7D5A0E76">
                  <w:pPr>
                    <w:pStyle w:val="48"/>
                  </w:pPr>
                  <w:r>
                    <w:t>租用场地中央附近</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02E9B111">
                  <w:pPr>
                    <w:pStyle w:val="48"/>
                  </w:pPr>
                  <w:r>
                    <w:t>10</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5A3A97BD">
                  <w:pPr>
                    <w:pStyle w:val="48"/>
                  </w:pPr>
                  <w:r>
                    <w:t>1</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14DC2134">
                  <w:pPr>
                    <w:pStyle w:val="48"/>
                  </w:pPr>
                  <w:r>
                    <w:t>3个月</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5BF295D1">
                  <w:pPr>
                    <w:pStyle w:val="48"/>
                  </w:pPr>
                  <w:r>
                    <w:t>《危险废物贮存污染控制标准》（GB 18597-2023）</w:t>
                  </w:r>
                </w:p>
              </w:tc>
              <w:tc>
                <w:tcPr>
                  <w:tcW w:w="966" w:type="dxa"/>
                  <w:tcBorders>
                    <w:top w:val="single" w:color="auto" w:sz="4" w:space="0"/>
                    <w:left w:val="single" w:color="auto" w:sz="4" w:space="0"/>
                    <w:bottom w:val="single" w:color="auto" w:sz="4" w:space="0"/>
                    <w:right w:val="single" w:color="auto" w:sz="4" w:space="0"/>
                  </w:tcBorders>
                  <w:vAlign w:val="center"/>
                </w:tcPr>
                <w:p w14:paraId="046A492C">
                  <w:pPr>
                    <w:pStyle w:val="48"/>
                    <w:rPr>
                      <w:kern w:val="0"/>
                    </w:rPr>
                  </w:pPr>
                  <w:r>
                    <w:rPr>
                      <w:kern w:val="0"/>
                    </w:rPr>
                    <w:t>0.2</w:t>
                  </w:r>
                </w:p>
              </w:tc>
              <w:tc>
                <w:tcPr>
                  <w:tcW w:w="674" w:type="dxa"/>
                  <w:tcBorders>
                    <w:top w:val="single" w:color="auto" w:sz="4" w:space="0"/>
                    <w:left w:val="single" w:color="auto" w:sz="4" w:space="0"/>
                    <w:bottom w:val="single" w:color="auto" w:sz="4" w:space="0"/>
                    <w:right w:val="nil"/>
                  </w:tcBorders>
                  <w:vAlign w:val="center"/>
                </w:tcPr>
                <w:p w14:paraId="7C85D314">
                  <w:pPr>
                    <w:pStyle w:val="48"/>
                  </w:pPr>
                  <w:r>
                    <w:t>满足</w:t>
                  </w:r>
                </w:p>
              </w:tc>
            </w:tr>
            <w:tr w14:paraId="6316D85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64" w:type="dxa"/>
                  <w:vMerge w:val="continue"/>
                  <w:tcBorders>
                    <w:top w:val="single" w:color="auto" w:sz="4" w:space="0"/>
                    <w:left w:val="nil"/>
                    <w:bottom w:val="single" w:color="auto" w:sz="4" w:space="0"/>
                    <w:right w:val="single" w:color="auto" w:sz="4" w:space="0"/>
                  </w:tcBorders>
                  <w:vAlign w:val="center"/>
                </w:tcPr>
                <w:p w14:paraId="4F76D1C5">
                  <w:pPr>
                    <w:pStyle w:val="48"/>
                    <w:rPr>
                      <w:kern w:val="0"/>
                    </w:rPr>
                  </w:pPr>
                </w:p>
              </w:tc>
              <w:tc>
                <w:tcPr>
                  <w:tcW w:w="927" w:type="dxa"/>
                  <w:tcBorders>
                    <w:top w:val="single" w:color="auto" w:sz="4" w:space="0"/>
                    <w:left w:val="single" w:color="auto" w:sz="4" w:space="0"/>
                    <w:bottom w:val="single" w:color="auto" w:sz="4" w:space="0"/>
                    <w:right w:val="single" w:color="auto" w:sz="4" w:space="0"/>
                  </w:tcBorders>
                  <w:vAlign w:val="center"/>
                </w:tcPr>
                <w:p w14:paraId="1C5A54E0">
                  <w:pPr>
                    <w:pStyle w:val="48"/>
                  </w:pPr>
                  <w:r>
                    <w:t>废油桶</w:t>
                  </w:r>
                </w:p>
              </w:tc>
              <w:tc>
                <w:tcPr>
                  <w:tcW w:w="688" w:type="dxa"/>
                  <w:vMerge w:val="continue"/>
                  <w:tcBorders>
                    <w:top w:val="single" w:color="auto" w:sz="4" w:space="0"/>
                    <w:left w:val="single" w:color="auto" w:sz="4" w:space="0"/>
                    <w:bottom w:val="single" w:color="auto" w:sz="4" w:space="0"/>
                    <w:right w:val="single" w:color="auto" w:sz="4" w:space="0"/>
                  </w:tcBorders>
                  <w:vAlign w:val="center"/>
                </w:tcPr>
                <w:p w14:paraId="5076D4D7">
                  <w:pPr>
                    <w:pStyle w:val="48"/>
                    <w:rPr>
                      <w:kern w:val="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9D0102C">
                  <w:pPr>
                    <w:pStyle w:val="48"/>
                    <w:rPr>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3E09608B">
                  <w:pPr>
                    <w:pStyle w:val="48"/>
                    <w:rPr>
                      <w:kern w:val="0"/>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C99861">
                  <w:pPr>
                    <w:pStyle w:val="48"/>
                    <w:rPr>
                      <w:kern w:val="0"/>
                    </w:rPr>
                  </w:pPr>
                </w:p>
              </w:tc>
              <w:tc>
                <w:tcPr>
                  <w:tcW w:w="1576" w:type="dxa"/>
                  <w:vMerge w:val="continue"/>
                  <w:tcBorders>
                    <w:top w:val="single" w:color="auto" w:sz="4" w:space="0"/>
                    <w:left w:val="single" w:color="auto" w:sz="4" w:space="0"/>
                    <w:bottom w:val="single" w:color="auto" w:sz="4" w:space="0"/>
                    <w:right w:val="single" w:color="auto" w:sz="4" w:space="0"/>
                  </w:tcBorders>
                  <w:vAlign w:val="center"/>
                </w:tcPr>
                <w:p w14:paraId="38E77996">
                  <w:pPr>
                    <w:pStyle w:val="48"/>
                    <w:rPr>
                      <w:kern w:val="0"/>
                    </w:rPr>
                  </w:pPr>
                </w:p>
              </w:tc>
              <w:tc>
                <w:tcPr>
                  <w:tcW w:w="966" w:type="dxa"/>
                  <w:tcBorders>
                    <w:top w:val="single" w:color="auto" w:sz="4" w:space="0"/>
                    <w:left w:val="single" w:color="auto" w:sz="4" w:space="0"/>
                    <w:bottom w:val="single" w:color="auto" w:sz="4" w:space="0"/>
                    <w:right w:val="single" w:color="auto" w:sz="4" w:space="0"/>
                  </w:tcBorders>
                  <w:vAlign w:val="center"/>
                </w:tcPr>
                <w:p w14:paraId="233039C0">
                  <w:pPr>
                    <w:pStyle w:val="48"/>
                  </w:pPr>
                  <w:r>
                    <w:t>0.01</w:t>
                  </w:r>
                </w:p>
              </w:tc>
              <w:tc>
                <w:tcPr>
                  <w:tcW w:w="674" w:type="dxa"/>
                  <w:tcBorders>
                    <w:top w:val="single" w:color="auto" w:sz="4" w:space="0"/>
                    <w:left w:val="single" w:color="auto" w:sz="4" w:space="0"/>
                    <w:bottom w:val="single" w:color="auto" w:sz="4" w:space="0"/>
                    <w:right w:val="nil"/>
                  </w:tcBorders>
                  <w:vAlign w:val="center"/>
                </w:tcPr>
                <w:p w14:paraId="0C242E74">
                  <w:pPr>
                    <w:pStyle w:val="48"/>
                  </w:pPr>
                  <w:r>
                    <w:t>满足</w:t>
                  </w:r>
                </w:p>
              </w:tc>
            </w:tr>
            <w:tr w14:paraId="2B6F014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6" w:type="dxa"/>
                  <w:gridSpan w:val="7"/>
                  <w:tcBorders>
                    <w:top w:val="single" w:color="auto" w:sz="4" w:space="0"/>
                    <w:left w:val="nil"/>
                    <w:bottom w:val="double" w:color="auto" w:sz="2" w:space="0"/>
                    <w:right w:val="single" w:color="auto" w:sz="4" w:space="0"/>
                  </w:tcBorders>
                  <w:vAlign w:val="center"/>
                </w:tcPr>
                <w:p w14:paraId="7E76E815">
                  <w:pPr>
                    <w:pStyle w:val="48"/>
                  </w:pPr>
                  <w:r>
                    <w:t>合计</w:t>
                  </w:r>
                </w:p>
              </w:tc>
              <w:tc>
                <w:tcPr>
                  <w:tcW w:w="966" w:type="dxa"/>
                  <w:tcBorders>
                    <w:top w:val="single" w:color="auto" w:sz="4" w:space="0"/>
                    <w:left w:val="single" w:color="auto" w:sz="4" w:space="0"/>
                    <w:bottom w:val="double" w:color="auto" w:sz="2" w:space="0"/>
                    <w:right w:val="single" w:color="auto" w:sz="4" w:space="0"/>
                  </w:tcBorders>
                  <w:vAlign w:val="center"/>
                </w:tcPr>
                <w:p w14:paraId="32B26358">
                  <w:pPr>
                    <w:pStyle w:val="48"/>
                  </w:pPr>
                  <w:r>
                    <w:t>0.21</w:t>
                  </w:r>
                </w:p>
              </w:tc>
              <w:tc>
                <w:tcPr>
                  <w:tcW w:w="674" w:type="dxa"/>
                  <w:tcBorders>
                    <w:top w:val="single" w:color="auto" w:sz="4" w:space="0"/>
                    <w:left w:val="single" w:color="auto" w:sz="4" w:space="0"/>
                    <w:bottom w:val="double" w:color="auto" w:sz="2" w:space="0"/>
                    <w:right w:val="nil"/>
                  </w:tcBorders>
                  <w:vAlign w:val="center"/>
                </w:tcPr>
                <w:p w14:paraId="0099E83C">
                  <w:pPr>
                    <w:pStyle w:val="48"/>
                  </w:pPr>
                  <w:r>
                    <w:t>满足</w:t>
                  </w:r>
                </w:p>
              </w:tc>
            </w:tr>
          </w:tbl>
          <w:p w14:paraId="5C91564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本项目设置的危险废物贮存点储存能力为1t，贮存周期内需要储存在危废贮存点内的危险废物为0.21t&lt;1t，故本项目设置的危险废物贮存点能够满足储存需求，危险废物贮存方式可行。</w:t>
            </w:r>
          </w:p>
          <w:p w14:paraId="4EA740A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（3）固废利用或处置环境影响分析</w:t>
            </w:r>
          </w:p>
          <w:p w14:paraId="01678BC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本项目固体废物产生及利用处置方式详见下表所示。</w:t>
            </w:r>
          </w:p>
          <w:p w14:paraId="7C6A0D9B">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表4-25项目固体废物产生及利用处置方式评价表</w:t>
            </w:r>
          </w:p>
          <w:tbl>
            <w:tblPr>
              <w:tblStyle w:val="35"/>
              <w:tblW w:w="8446" w:type="dxa"/>
              <w:tblInd w:w="5" w:type="dxa"/>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02"/>
              <w:gridCol w:w="901"/>
              <w:gridCol w:w="992"/>
              <w:gridCol w:w="1276"/>
              <w:gridCol w:w="709"/>
              <w:gridCol w:w="992"/>
              <w:gridCol w:w="3074"/>
            </w:tblGrid>
            <w:tr w14:paraId="682FCF79">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2" w:type="dxa"/>
                  <w:vAlign w:val="center"/>
                </w:tcPr>
                <w:p w14:paraId="0B98FBFC">
                  <w:pPr>
                    <w:pStyle w:val="48"/>
                  </w:pPr>
                  <w:r>
                    <w:t>序号</w:t>
                  </w:r>
                </w:p>
              </w:tc>
              <w:tc>
                <w:tcPr>
                  <w:tcW w:w="901" w:type="dxa"/>
                  <w:vAlign w:val="center"/>
                </w:tcPr>
                <w:p w14:paraId="07079731">
                  <w:pPr>
                    <w:pStyle w:val="48"/>
                  </w:pPr>
                  <w:r>
                    <w:t>固体废物名称</w:t>
                  </w:r>
                </w:p>
              </w:tc>
              <w:tc>
                <w:tcPr>
                  <w:tcW w:w="992" w:type="dxa"/>
                  <w:vAlign w:val="center"/>
                </w:tcPr>
                <w:p w14:paraId="493FDF75">
                  <w:pPr>
                    <w:pStyle w:val="48"/>
                  </w:pPr>
                  <w:r>
                    <w:t>产生量</w:t>
                  </w:r>
                </w:p>
                <w:p w14:paraId="326C6F3C">
                  <w:pPr>
                    <w:pStyle w:val="48"/>
                  </w:pPr>
                  <w:r>
                    <w:t>（t/a）</w:t>
                  </w:r>
                </w:p>
              </w:tc>
              <w:tc>
                <w:tcPr>
                  <w:tcW w:w="1276" w:type="dxa"/>
                  <w:vAlign w:val="center"/>
                </w:tcPr>
                <w:p w14:paraId="04F42193">
                  <w:pPr>
                    <w:pStyle w:val="48"/>
                  </w:pPr>
                  <w:r>
                    <w:t>利用或处</w:t>
                  </w:r>
                </w:p>
                <w:p w14:paraId="24B8B089">
                  <w:pPr>
                    <w:pStyle w:val="48"/>
                  </w:pPr>
                  <w:r>
                    <w:t>置量（t/a）</w:t>
                  </w:r>
                </w:p>
              </w:tc>
              <w:tc>
                <w:tcPr>
                  <w:tcW w:w="709" w:type="dxa"/>
                  <w:vAlign w:val="center"/>
                </w:tcPr>
                <w:p w14:paraId="5C595115">
                  <w:pPr>
                    <w:pStyle w:val="48"/>
                  </w:pPr>
                  <w:r>
                    <w:t>收集</w:t>
                  </w:r>
                </w:p>
                <w:p w14:paraId="6988803F">
                  <w:pPr>
                    <w:pStyle w:val="48"/>
                  </w:pPr>
                  <w:r>
                    <w:t>方式</w:t>
                  </w:r>
                </w:p>
              </w:tc>
              <w:tc>
                <w:tcPr>
                  <w:tcW w:w="992" w:type="dxa"/>
                  <w:vAlign w:val="center"/>
                </w:tcPr>
                <w:p w14:paraId="34ACE720">
                  <w:pPr>
                    <w:pStyle w:val="48"/>
                  </w:pPr>
                  <w:r>
                    <w:t>贮存位置</w:t>
                  </w:r>
                </w:p>
              </w:tc>
              <w:tc>
                <w:tcPr>
                  <w:tcW w:w="3074" w:type="dxa"/>
                  <w:vAlign w:val="center"/>
                </w:tcPr>
                <w:p w14:paraId="682B823A">
                  <w:pPr>
                    <w:pStyle w:val="48"/>
                  </w:pPr>
                  <w:r>
                    <w:t>利用处置方式和方向</w:t>
                  </w:r>
                </w:p>
              </w:tc>
            </w:tr>
            <w:tr w14:paraId="47AC2E7E">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2" w:type="dxa"/>
                  <w:vAlign w:val="center"/>
                </w:tcPr>
                <w:p w14:paraId="0D373E16">
                  <w:pPr>
                    <w:pStyle w:val="48"/>
                  </w:pPr>
                  <w:r>
                    <w:t>1</w:t>
                  </w:r>
                </w:p>
              </w:tc>
              <w:tc>
                <w:tcPr>
                  <w:tcW w:w="901" w:type="dxa"/>
                  <w:vAlign w:val="center"/>
                </w:tcPr>
                <w:p w14:paraId="1B557F67">
                  <w:pPr>
                    <w:pStyle w:val="48"/>
                  </w:pPr>
                  <w:r>
                    <w:rPr>
                      <w:sz w:val="22"/>
                      <w:szCs w:val="22"/>
                    </w:rPr>
                    <w:t>脱硫石膏</w:t>
                  </w:r>
                </w:p>
              </w:tc>
              <w:tc>
                <w:tcPr>
                  <w:tcW w:w="992" w:type="dxa"/>
                  <w:vAlign w:val="center"/>
                </w:tcPr>
                <w:p w14:paraId="3A0548BE">
                  <w:pPr>
                    <w:pStyle w:val="48"/>
                    <w:rPr>
                      <w:color w:val="0000FF"/>
                      <w:kern w:val="0"/>
                    </w:rPr>
                  </w:pPr>
                  <w:r>
                    <w:rPr>
                      <w:color w:val="0000FF"/>
                      <w:sz w:val="22"/>
                      <w:szCs w:val="22"/>
                    </w:rPr>
                    <w:t>8.29</w:t>
                  </w:r>
                </w:p>
              </w:tc>
              <w:tc>
                <w:tcPr>
                  <w:tcW w:w="1276" w:type="dxa"/>
                  <w:vAlign w:val="center"/>
                </w:tcPr>
                <w:p w14:paraId="77C46EF2">
                  <w:pPr>
                    <w:pStyle w:val="48"/>
                    <w:rPr>
                      <w:color w:val="0000FF"/>
                      <w:kern w:val="0"/>
                    </w:rPr>
                  </w:pPr>
                  <w:r>
                    <w:rPr>
                      <w:color w:val="0000FF"/>
                      <w:sz w:val="22"/>
                      <w:szCs w:val="22"/>
                    </w:rPr>
                    <w:t>8.29</w:t>
                  </w:r>
                </w:p>
              </w:tc>
              <w:tc>
                <w:tcPr>
                  <w:tcW w:w="709" w:type="dxa"/>
                  <w:vAlign w:val="center"/>
                </w:tcPr>
                <w:p w14:paraId="45E13685">
                  <w:pPr>
                    <w:pStyle w:val="48"/>
                  </w:pPr>
                  <w:r>
                    <w:t>桶装</w:t>
                  </w:r>
                </w:p>
              </w:tc>
              <w:tc>
                <w:tcPr>
                  <w:tcW w:w="992" w:type="dxa"/>
                  <w:vMerge w:val="restart"/>
                  <w:vAlign w:val="center"/>
                </w:tcPr>
                <w:p w14:paraId="6BF568DA">
                  <w:pPr>
                    <w:pStyle w:val="48"/>
                  </w:pPr>
                  <w:r>
                    <w:t>一般固废暂存间</w:t>
                  </w:r>
                </w:p>
              </w:tc>
              <w:tc>
                <w:tcPr>
                  <w:tcW w:w="3074" w:type="dxa"/>
                  <w:vAlign w:val="center"/>
                </w:tcPr>
                <w:p w14:paraId="40C4598C">
                  <w:pPr>
                    <w:pStyle w:val="48"/>
                  </w:pPr>
                  <w:r>
                    <w:t>暂存于一般固废间，定期外售（脱硫石膏资源化利用途径成熟，计划出售下游一般固废利用企业作为石膏板、石膏砌块、高强石膏粉的生产原料）</w:t>
                  </w:r>
                </w:p>
              </w:tc>
            </w:tr>
            <w:tr w14:paraId="07F47910">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2" w:type="dxa"/>
                  <w:vAlign w:val="center"/>
                </w:tcPr>
                <w:p w14:paraId="3380816C">
                  <w:pPr>
                    <w:pStyle w:val="48"/>
                  </w:pPr>
                  <w:r>
                    <w:t>2</w:t>
                  </w:r>
                </w:p>
              </w:tc>
              <w:tc>
                <w:tcPr>
                  <w:tcW w:w="901" w:type="dxa"/>
                  <w:vAlign w:val="center"/>
                </w:tcPr>
                <w:p w14:paraId="63F1EA6B">
                  <w:pPr>
                    <w:pStyle w:val="48"/>
                    <w:rPr>
                      <w:color w:val="0000FF"/>
                      <w:sz w:val="22"/>
                      <w:szCs w:val="22"/>
                    </w:rPr>
                  </w:pPr>
                  <w:r>
                    <w:rPr>
                      <w:color w:val="0000FF"/>
                    </w:rPr>
                    <w:t>沉淀池沉淀</w:t>
                  </w:r>
                </w:p>
              </w:tc>
              <w:tc>
                <w:tcPr>
                  <w:tcW w:w="992" w:type="dxa"/>
                  <w:vAlign w:val="center"/>
                </w:tcPr>
                <w:p w14:paraId="52BAF113">
                  <w:pPr>
                    <w:pStyle w:val="48"/>
                    <w:rPr>
                      <w:color w:val="0000FF"/>
                      <w:sz w:val="22"/>
                      <w:szCs w:val="22"/>
                    </w:rPr>
                  </w:pPr>
                  <w:r>
                    <w:rPr>
                      <w:color w:val="0000FF"/>
                      <w:sz w:val="22"/>
                      <w:szCs w:val="22"/>
                    </w:rPr>
                    <w:t>0.59</w:t>
                  </w:r>
                </w:p>
              </w:tc>
              <w:tc>
                <w:tcPr>
                  <w:tcW w:w="1276" w:type="dxa"/>
                  <w:vAlign w:val="center"/>
                </w:tcPr>
                <w:p w14:paraId="68BF3673">
                  <w:pPr>
                    <w:pStyle w:val="48"/>
                    <w:rPr>
                      <w:color w:val="0000FF"/>
                      <w:sz w:val="22"/>
                      <w:szCs w:val="22"/>
                    </w:rPr>
                  </w:pPr>
                  <w:r>
                    <w:rPr>
                      <w:color w:val="0000FF"/>
                      <w:sz w:val="22"/>
                      <w:szCs w:val="22"/>
                    </w:rPr>
                    <w:t>0.59</w:t>
                  </w:r>
                </w:p>
              </w:tc>
              <w:tc>
                <w:tcPr>
                  <w:tcW w:w="709" w:type="dxa"/>
                  <w:vAlign w:val="center"/>
                </w:tcPr>
                <w:p w14:paraId="0A98BDBC">
                  <w:pPr>
                    <w:pStyle w:val="48"/>
                    <w:rPr>
                      <w:color w:val="0000FF"/>
                    </w:rPr>
                  </w:pPr>
                  <w:r>
                    <w:rPr>
                      <w:color w:val="0000FF"/>
                    </w:rPr>
                    <w:t>桶装</w:t>
                  </w:r>
                </w:p>
              </w:tc>
              <w:tc>
                <w:tcPr>
                  <w:tcW w:w="992" w:type="dxa"/>
                  <w:vMerge w:val="continue"/>
                  <w:vAlign w:val="center"/>
                </w:tcPr>
                <w:p w14:paraId="20B3949D">
                  <w:pPr>
                    <w:pStyle w:val="48"/>
                  </w:pPr>
                </w:p>
              </w:tc>
              <w:tc>
                <w:tcPr>
                  <w:tcW w:w="3074" w:type="dxa"/>
                  <w:vAlign w:val="center"/>
                </w:tcPr>
                <w:p w14:paraId="2459112C">
                  <w:pPr>
                    <w:pStyle w:val="48"/>
                  </w:pPr>
                  <w:r>
                    <w:rPr>
                      <w:color w:val="0000FF"/>
                    </w:rPr>
                    <w:t>暂存于一般固废间，定期交由朝阳中昊生态环境治理有限公司处置，该公司的《辽宁中昊生态环境治理有限公司矿山恢复综合治理项目环境影响报告书》中明确可接收Ⅰ、Ⅱ类一般工业固体废物（含污泥）进行矿山回填处理。</w:t>
                  </w:r>
                </w:p>
              </w:tc>
            </w:tr>
            <w:tr w14:paraId="225B4505">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2" w:type="dxa"/>
                  <w:vAlign w:val="center"/>
                </w:tcPr>
                <w:p w14:paraId="48D51781">
                  <w:pPr>
                    <w:pStyle w:val="48"/>
                  </w:pPr>
                  <w:r>
                    <w:t>3</w:t>
                  </w:r>
                </w:p>
              </w:tc>
              <w:tc>
                <w:tcPr>
                  <w:tcW w:w="901" w:type="dxa"/>
                  <w:vAlign w:val="center"/>
                </w:tcPr>
                <w:p w14:paraId="31F38EA6">
                  <w:pPr>
                    <w:pStyle w:val="48"/>
                  </w:pPr>
                  <w:r>
                    <w:t>废机油</w:t>
                  </w:r>
                </w:p>
              </w:tc>
              <w:tc>
                <w:tcPr>
                  <w:tcW w:w="992" w:type="dxa"/>
                  <w:vAlign w:val="center"/>
                </w:tcPr>
                <w:p w14:paraId="67B44786">
                  <w:pPr>
                    <w:pStyle w:val="48"/>
                    <w:rPr>
                      <w:kern w:val="0"/>
                    </w:rPr>
                  </w:pPr>
                  <w:r>
                    <w:rPr>
                      <w:kern w:val="0"/>
                    </w:rPr>
                    <w:t>0.5</w:t>
                  </w:r>
                </w:p>
              </w:tc>
              <w:tc>
                <w:tcPr>
                  <w:tcW w:w="1276" w:type="dxa"/>
                  <w:vAlign w:val="center"/>
                </w:tcPr>
                <w:p w14:paraId="0A28DBFD">
                  <w:pPr>
                    <w:pStyle w:val="48"/>
                    <w:rPr>
                      <w:kern w:val="0"/>
                    </w:rPr>
                  </w:pPr>
                  <w:r>
                    <w:rPr>
                      <w:kern w:val="0"/>
                    </w:rPr>
                    <w:t>0.5</w:t>
                  </w:r>
                </w:p>
              </w:tc>
              <w:tc>
                <w:tcPr>
                  <w:tcW w:w="709" w:type="dxa"/>
                  <w:vAlign w:val="center"/>
                </w:tcPr>
                <w:p w14:paraId="5C8C397F">
                  <w:pPr>
                    <w:pStyle w:val="48"/>
                  </w:pPr>
                  <w:r>
                    <w:t>桶装</w:t>
                  </w:r>
                </w:p>
              </w:tc>
              <w:tc>
                <w:tcPr>
                  <w:tcW w:w="992" w:type="dxa"/>
                  <w:vMerge w:val="restart"/>
                  <w:vAlign w:val="center"/>
                </w:tcPr>
                <w:p w14:paraId="0A86AD02">
                  <w:pPr>
                    <w:pStyle w:val="48"/>
                    <w:rPr>
                      <w:kern w:val="0"/>
                    </w:rPr>
                  </w:pPr>
                  <w:r>
                    <w:t>危废贮存点</w:t>
                  </w:r>
                </w:p>
              </w:tc>
              <w:tc>
                <w:tcPr>
                  <w:tcW w:w="3074" w:type="dxa"/>
                  <w:vMerge w:val="restart"/>
                  <w:vAlign w:val="center"/>
                </w:tcPr>
                <w:p w14:paraId="6BA7E078">
                  <w:pPr>
                    <w:pStyle w:val="48"/>
                    <w:rPr>
                      <w:kern w:val="0"/>
                    </w:rPr>
                  </w:pPr>
                  <w:r>
                    <w:t>委托有资质单位处置</w:t>
                  </w:r>
                </w:p>
              </w:tc>
            </w:tr>
            <w:tr w14:paraId="199E759C">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2" w:type="dxa"/>
                  <w:vAlign w:val="center"/>
                </w:tcPr>
                <w:p w14:paraId="22739A2C">
                  <w:pPr>
                    <w:pStyle w:val="48"/>
                  </w:pPr>
                  <w:r>
                    <w:t>4</w:t>
                  </w:r>
                </w:p>
              </w:tc>
              <w:tc>
                <w:tcPr>
                  <w:tcW w:w="901" w:type="dxa"/>
                  <w:vAlign w:val="center"/>
                </w:tcPr>
                <w:p w14:paraId="47EE5D28">
                  <w:pPr>
                    <w:pStyle w:val="48"/>
                  </w:pPr>
                  <w:r>
                    <w:t>废油桶</w:t>
                  </w:r>
                </w:p>
              </w:tc>
              <w:tc>
                <w:tcPr>
                  <w:tcW w:w="992" w:type="dxa"/>
                  <w:vAlign w:val="center"/>
                </w:tcPr>
                <w:p w14:paraId="1E7892D6">
                  <w:pPr>
                    <w:pStyle w:val="48"/>
                    <w:rPr>
                      <w:kern w:val="0"/>
                    </w:rPr>
                  </w:pPr>
                  <w:r>
                    <w:rPr>
                      <w:kern w:val="0"/>
                    </w:rPr>
                    <w:t>0.01</w:t>
                  </w:r>
                </w:p>
              </w:tc>
              <w:tc>
                <w:tcPr>
                  <w:tcW w:w="1276" w:type="dxa"/>
                  <w:vAlign w:val="center"/>
                </w:tcPr>
                <w:p w14:paraId="12A5E447">
                  <w:pPr>
                    <w:pStyle w:val="48"/>
                    <w:rPr>
                      <w:kern w:val="0"/>
                    </w:rPr>
                  </w:pPr>
                  <w:r>
                    <w:rPr>
                      <w:kern w:val="0"/>
                    </w:rPr>
                    <w:t>0.01</w:t>
                  </w:r>
                </w:p>
              </w:tc>
              <w:tc>
                <w:tcPr>
                  <w:tcW w:w="709" w:type="dxa"/>
                </w:tcPr>
                <w:p w14:paraId="013324AE">
                  <w:pPr>
                    <w:pStyle w:val="48"/>
                  </w:pPr>
                  <w:r>
                    <w:t>托盘</w:t>
                  </w:r>
                </w:p>
              </w:tc>
              <w:tc>
                <w:tcPr>
                  <w:tcW w:w="992" w:type="dxa"/>
                  <w:vMerge w:val="continue"/>
                  <w:vAlign w:val="center"/>
                </w:tcPr>
                <w:p w14:paraId="2212D31F">
                  <w:pPr>
                    <w:pStyle w:val="48"/>
                    <w:rPr>
                      <w:kern w:val="0"/>
                    </w:rPr>
                  </w:pPr>
                </w:p>
              </w:tc>
              <w:tc>
                <w:tcPr>
                  <w:tcW w:w="3074" w:type="dxa"/>
                  <w:vMerge w:val="continue"/>
                  <w:vAlign w:val="center"/>
                </w:tcPr>
                <w:p w14:paraId="473A10AC">
                  <w:pPr>
                    <w:pStyle w:val="48"/>
                    <w:rPr>
                      <w:kern w:val="0"/>
                    </w:rPr>
                  </w:pPr>
                </w:p>
              </w:tc>
            </w:tr>
          </w:tbl>
          <w:p w14:paraId="6F1298A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上表可知，拟建项目产生的各类固废的利用处置方式可行，经妥善处理后，能够实现零排放。因此，只要加强管理，拟建项目对各类固体废物分类处理处置，利用处置方式符合有关法规、标准的要求，项目产生的各类固废不会造成二次污染，对周围环境也没有显著不良影响。</w:t>
            </w:r>
          </w:p>
          <w:p w14:paraId="3777BE6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3、环境管理要求</w:t>
            </w:r>
          </w:p>
          <w:p w14:paraId="07D026A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（1）生活垃圾</w:t>
            </w:r>
          </w:p>
          <w:p w14:paraId="57676EB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生活垃圾收集到垃圾箱内，由环卫部门统一处理。</w:t>
            </w:r>
          </w:p>
          <w:p w14:paraId="361050F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（2）一般固体废物</w:t>
            </w:r>
          </w:p>
          <w:p w14:paraId="2AFE89F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1）《辽宁省生态环境厅关于加强全省一般工业固体废物环境管理工作的通知》</w:t>
            </w:r>
          </w:p>
          <w:p w14:paraId="0200979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对于一般工业废物，根据《辽宁省生态环境厅关于加强全省一般工业固体废物环境管理工作的通知》（辽环函〔2022〕42号）中相关要求进行管理，提出如下环保措施：</w:t>
            </w:r>
          </w:p>
          <w:p w14:paraId="6BC425D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为加强监督管理，贮存、处置场应按GB 15562.2设置环境保护图形标志。</w:t>
            </w:r>
          </w:p>
          <w:p w14:paraId="5EEB91FA">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贮存、处置场使用单位，应建立检查维护制度。定期检查维护环保设施，发现有损坏可能或异常，应及时采取必要措施，以保障正常运行。</w:t>
            </w:r>
          </w:p>
          <w:p w14:paraId="0E4C068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贮存、处置场的使用单位，应建立档案制度。应将入场的一般工业固体废物的种类和数量以及下列资料。详细记录在案，长期保存，供随时查阅。</w:t>
            </w:r>
          </w:p>
          <w:p w14:paraId="15A23EC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2）收集管理</w:t>
            </w:r>
          </w:p>
          <w:p w14:paraId="0C504AAB">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分类收集和贮存。</w:t>
            </w:r>
          </w:p>
          <w:p w14:paraId="7F4D2FD3">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粉尘类固体废物经包装或利用容器转移至一般固体废物贮存间。</w:t>
            </w:r>
          </w:p>
          <w:p w14:paraId="4F30AA36">
            <w:pPr>
              <w:pStyle w:val="65"/>
              <w:ind w:firstLine="480"/>
              <w:rPr>
                <w:rFonts w:eastAsiaTheme="minorEastAsia"/>
                <w:color w:val="0000FF"/>
              </w:rPr>
            </w:pPr>
            <w:r>
              <w:rPr>
                <w:rFonts w:eastAsiaTheme="minorEastAsia"/>
                <w:color w:val="0000FF"/>
              </w:rPr>
              <w:t>2）管理台账制度</w:t>
            </w:r>
          </w:p>
          <w:p w14:paraId="18FEBD80">
            <w:pPr>
              <w:pStyle w:val="65"/>
              <w:ind w:firstLine="480"/>
              <w:rPr>
                <w:rFonts w:eastAsiaTheme="minorEastAsia"/>
                <w:color w:val="0000FF"/>
              </w:rPr>
            </w:pPr>
            <w:r>
              <w:rPr>
                <w:rFonts w:eastAsiaTheme="minorEastAsia"/>
                <w:color w:val="0000FF"/>
              </w:rPr>
              <w:t>项目运营后应按照《一般工业固体废物管理台账制定指南（试行）》（生态环境部公告2021年第82号）的要求，建立一般工业固体废物管理台账，全面、准确地记录固体废物相关信息。</w:t>
            </w:r>
          </w:p>
          <w:p w14:paraId="7FB88FD8">
            <w:pPr>
              <w:pStyle w:val="65"/>
              <w:ind w:firstLine="480"/>
              <w:rPr>
                <w:rFonts w:eastAsiaTheme="minorEastAsia"/>
                <w:color w:val="0000FF"/>
              </w:rPr>
            </w:pPr>
            <w:r>
              <w:rPr>
                <w:rFonts w:hint="eastAsia" w:ascii="宋体" w:hAnsi="宋体" w:cs="宋体"/>
                <w:color w:val="0000FF"/>
              </w:rPr>
              <w:t>①</w:t>
            </w:r>
            <w:r>
              <w:rPr>
                <w:rFonts w:eastAsiaTheme="minorEastAsia"/>
                <w:color w:val="0000FF"/>
              </w:rPr>
              <w:t>台账内容</w:t>
            </w:r>
          </w:p>
          <w:p w14:paraId="66734215">
            <w:pPr>
              <w:pStyle w:val="65"/>
              <w:ind w:firstLine="480"/>
              <w:rPr>
                <w:rFonts w:eastAsiaTheme="minorEastAsia"/>
                <w:color w:val="0000FF"/>
              </w:rPr>
            </w:pPr>
            <w:r>
              <w:rPr>
                <w:rFonts w:eastAsiaTheme="minorEastAsia"/>
                <w:color w:val="0000FF"/>
              </w:rPr>
              <w:t>台账应如实记录一般工业固体废物的产生、贮存、利用、处置等全过程信息，具体包括：</w:t>
            </w:r>
          </w:p>
          <w:p w14:paraId="6EBB2021">
            <w:pPr>
              <w:pStyle w:val="65"/>
              <w:ind w:firstLine="480"/>
              <w:rPr>
                <w:rFonts w:eastAsiaTheme="minorEastAsia"/>
                <w:color w:val="0000FF"/>
              </w:rPr>
            </w:pPr>
            <w:r>
              <w:rPr>
                <w:rFonts w:eastAsiaTheme="minorEastAsia"/>
                <w:color w:val="0000FF"/>
              </w:rPr>
              <w:t>产生信息：废物名称、种类、代码、产生工序、产生量、产生时间；</w:t>
            </w:r>
          </w:p>
          <w:p w14:paraId="1BCC7F89">
            <w:pPr>
              <w:pStyle w:val="65"/>
              <w:ind w:firstLine="480"/>
              <w:rPr>
                <w:rFonts w:eastAsiaTheme="minorEastAsia"/>
                <w:color w:val="0000FF"/>
              </w:rPr>
            </w:pPr>
            <w:r>
              <w:rPr>
                <w:rFonts w:eastAsiaTheme="minorEastAsia"/>
                <w:color w:val="0000FF"/>
              </w:rPr>
              <w:t>贮存信息：贮存场所、贮存量、入库时间、出库时间；</w:t>
            </w:r>
          </w:p>
          <w:p w14:paraId="0F4573D4">
            <w:pPr>
              <w:pStyle w:val="65"/>
              <w:ind w:firstLine="480"/>
              <w:rPr>
                <w:rFonts w:eastAsiaTheme="minorEastAsia"/>
                <w:color w:val="0000FF"/>
              </w:rPr>
            </w:pPr>
            <w:r>
              <w:rPr>
                <w:rFonts w:eastAsiaTheme="minorEastAsia"/>
                <w:color w:val="0000FF"/>
              </w:rPr>
              <w:t>利用信息：利用方式、利用量、利用时间、接收单位；</w:t>
            </w:r>
          </w:p>
          <w:p w14:paraId="7679434F">
            <w:pPr>
              <w:pStyle w:val="65"/>
              <w:ind w:firstLine="480"/>
              <w:rPr>
                <w:rFonts w:eastAsiaTheme="minorEastAsia"/>
                <w:color w:val="0000FF"/>
              </w:rPr>
            </w:pPr>
            <w:r>
              <w:rPr>
                <w:rFonts w:eastAsiaTheme="minorEastAsia"/>
                <w:color w:val="0000FF"/>
              </w:rPr>
              <w:t>处置信息：处置方式、处置量、处置时间、接收单位。</w:t>
            </w:r>
          </w:p>
          <w:p w14:paraId="25182FDA">
            <w:pPr>
              <w:pStyle w:val="65"/>
              <w:ind w:firstLine="480"/>
              <w:rPr>
                <w:rFonts w:eastAsiaTheme="minorEastAsia"/>
                <w:color w:val="0000FF"/>
              </w:rPr>
            </w:pPr>
            <w:r>
              <w:rPr>
                <w:rFonts w:hint="eastAsia" w:ascii="宋体" w:hAnsi="宋体" w:cs="宋体"/>
                <w:color w:val="0000FF"/>
              </w:rPr>
              <w:t>②</w:t>
            </w:r>
            <w:r>
              <w:rPr>
                <w:rFonts w:eastAsiaTheme="minorEastAsia"/>
                <w:color w:val="0000FF"/>
              </w:rPr>
              <w:t>台账记录要求</w:t>
            </w:r>
          </w:p>
          <w:p w14:paraId="2BF0854E">
            <w:pPr>
              <w:pStyle w:val="65"/>
              <w:ind w:firstLine="480"/>
              <w:rPr>
                <w:rFonts w:eastAsiaTheme="minorEastAsia"/>
                <w:color w:val="0000FF"/>
              </w:rPr>
            </w:pPr>
            <w:r>
              <w:rPr>
                <w:rFonts w:eastAsiaTheme="minorEastAsia"/>
                <w:color w:val="0000FF"/>
              </w:rPr>
              <w:t>固体废物产生环节、入库环节、出库环节均应在发生当日完成记录，不得事后补填。台账记录表应连续编号，记录人、审核人分别签字确认，确保信息可追溯。鼓励采用信息化手段建立电子台账，提高管理效率。</w:t>
            </w:r>
          </w:p>
          <w:p w14:paraId="4536C346">
            <w:pPr>
              <w:pStyle w:val="65"/>
              <w:ind w:firstLine="480"/>
              <w:rPr>
                <w:rFonts w:eastAsiaTheme="minorEastAsia"/>
                <w:color w:val="0000FF"/>
              </w:rPr>
            </w:pPr>
            <w:r>
              <w:rPr>
                <w:rFonts w:hint="eastAsia" w:ascii="宋体" w:hAnsi="宋体" w:cs="宋体"/>
                <w:color w:val="0000FF"/>
              </w:rPr>
              <w:t>③</w:t>
            </w:r>
            <w:r>
              <w:rPr>
                <w:rFonts w:eastAsiaTheme="minorEastAsia"/>
                <w:color w:val="0000FF"/>
              </w:rPr>
              <w:t>台账保存</w:t>
            </w:r>
          </w:p>
          <w:p w14:paraId="60EE2846">
            <w:pPr>
              <w:pStyle w:val="65"/>
              <w:ind w:firstLine="480"/>
              <w:rPr>
                <w:rFonts w:eastAsiaTheme="minorEastAsia"/>
                <w:color w:val="0000FF"/>
              </w:rPr>
            </w:pPr>
            <w:r>
              <w:rPr>
                <w:rFonts w:eastAsiaTheme="minorEastAsia"/>
                <w:color w:val="0000FF"/>
              </w:rPr>
              <w:t>管理台账应保存不少于5年，保存期间确保台账完整、清晰，不得涂改。如因记录错误确需更正，应采用划线更正方式，并由更正人签字确认，保留原始记录。</w:t>
            </w:r>
          </w:p>
          <w:p w14:paraId="2B8BE916">
            <w:pPr>
              <w:pStyle w:val="65"/>
              <w:ind w:firstLine="480"/>
              <w:rPr>
                <w:rFonts w:eastAsiaTheme="minorEastAsia"/>
                <w:color w:val="0000FF"/>
              </w:rPr>
            </w:pPr>
            <w:r>
              <w:rPr>
                <w:rFonts w:hint="eastAsia" w:ascii="宋体" w:hAnsi="宋体" w:cs="宋体"/>
                <w:color w:val="0000FF"/>
              </w:rPr>
              <w:t>④</w:t>
            </w:r>
            <w:r>
              <w:rPr>
                <w:rFonts w:eastAsiaTheme="minorEastAsia"/>
                <w:color w:val="0000FF"/>
              </w:rPr>
              <w:t>台账管理责任</w:t>
            </w:r>
          </w:p>
          <w:p w14:paraId="3179BACC">
            <w:pPr>
              <w:pStyle w:val="65"/>
              <w:ind w:firstLine="480"/>
              <w:rPr>
                <w:rFonts w:eastAsiaTheme="minorEastAsia"/>
                <w:color w:val="0000FF"/>
              </w:rPr>
            </w:pPr>
            <w:r>
              <w:rPr>
                <w:rFonts w:eastAsiaTheme="minorEastAsia"/>
                <w:color w:val="0000FF"/>
              </w:rPr>
              <w:t>建设单位应指定专人负责一般工业固体废物管理台账的日常记录、整理和保管，定期（每月至少一次）核对台账记录与实际产废、贮存量的一致性，发现不一致及时查明原因并备注说明。</w:t>
            </w:r>
          </w:p>
          <w:p w14:paraId="25FFFAB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3）贮存管理</w:t>
            </w:r>
          </w:p>
          <w:p w14:paraId="68428A8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执行《一般工业固体废物贮存和填埋污染控制标准》（GB 18599）等有关标准规范要求，建设一般工业固体废物贮存设施。</w:t>
            </w:r>
          </w:p>
          <w:p w14:paraId="5BC88E5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一般工业固体废物贮存间设有围墙，仓库内部地面干净平整无损，地面应当做硬化或其他防渗措施处理，满足防扬散、防流失、防渗漏、防雨淋等环境保护要求，不应露天堆放一般工业固体废物。</w:t>
            </w:r>
          </w:p>
          <w:p w14:paraId="380A90A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对照《固体废物分类与代码目录》，将一般工业固体废物分类分区贮存。一般工业固体废物不得混入生活垃圾和危险废物，不得向生活垃圾收集设施中投放工业固体废物。</w:t>
            </w:r>
          </w:p>
          <w:p w14:paraId="085B3A3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4）转移管理</w:t>
            </w:r>
          </w:p>
          <w:p w14:paraId="2ED545F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直接委托处置一般工业固体废物，应当在发生委托行为之前，对照核实受托方的主体资格和技术能力。</w:t>
            </w:r>
          </w:p>
          <w:p w14:paraId="46EAFE56">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经核实，受托方具备相应的主体资格和技术能力，产生单位应当直接与受托方缔结委托合同，</w:t>
            </w:r>
          </w:p>
          <w:p w14:paraId="402BF3A5">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受托方不具备利用处置技术能力需要转委托的，需在合同中明确转委托的具体要求。受托方代为找到第三方利用处置单位后，产生单位需要对第三方的主体资格和技术能力进行核实，在第三方利用处置活动结束后，受托方需向委托方报告第三方利用处置情况。</w:t>
            </w:r>
          </w:p>
          <w:p w14:paraId="712EE8F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5）管理计划要求</w:t>
            </w:r>
          </w:p>
          <w:p w14:paraId="2FAB43E3">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明确固体废物收集、转运目标，制定管理计划。</w:t>
            </w:r>
          </w:p>
          <w:p w14:paraId="5858295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根据固体废物实际情况制定管理措施。</w:t>
            </w:r>
          </w:p>
          <w:p w14:paraId="4935D7B3">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制定固体废物收集、转运的措施，防止二次污染。</w:t>
            </w:r>
          </w:p>
          <w:p w14:paraId="31A0CE9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定期</w:t>
            </w:r>
            <w:r>
              <w:rPr>
                <w:rFonts w:hint="eastAsia" w:eastAsiaTheme="minorEastAsia"/>
                <w:color w:val="000000" w:themeColor="text1"/>
                <w:lang w:val="en-US" w:eastAsia="zh-CN"/>
                <w14:textFill>
                  <w14:solidFill>
                    <w14:schemeClr w14:val="tx1"/>
                  </w14:solidFill>
                </w14:textFill>
              </w:rPr>
              <w:t>根据</w:t>
            </w:r>
            <w:r>
              <w:rPr>
                <w:rFonts w:eastAsiaTheme="minorEastAsia"/>
                <w:color w:val="000000" w:themeColor="text1"/>
                <w14:textFill>
                  <w14:solidFill>
                    <w14:schemeClr w14:val="tx1"/>
                  </w14:solidFill>
                </w14:textFill>
              </w:rPr>
              <w:t>情况修正计划。</w:t>
            </w:r>
          </w:p>
          <w:p w14:paraId="012315A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（3）危险废物</w:t>
            </w:r>
            <w:bookmarkStart w:id="13" w:name="_GoBack"/>
            <w:bookmarkEnd w:id="13"/>
          </w:p>
          <w:p w14:paraId="3A039A5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1）项目危险废物贮存点应按照《危险废物贮存污染控制标准》（GB 18597-2023）的相关要求，本项目应做到以下几点：</w:t>
            </w:r>
          </w:p>
          <w:p w14:paraId="3744C53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贮存点应具有固定的区域边界，并应采取与其他区域进行隔离的措施；</w:t>
            </w:r>
          </w:p>
          <w:p w14:paraId="644D8F9D">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贮存点应采取防风、防雨、防晒和防止危险废物流失、扬散等措施；</w:t>
            </w:r>
          </w:p>
          <w:p w14:paraId="0E8B5753">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贮存点贮存的危险废物应置于容器或包装物中，不应直接散堆；</w:t>
            </w:r>
          </w:p>
          <w:p w14:paraId="12A1C41A">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贮存点应根据危险废物的形态、物理化学性质、包装形式等，采取防渗、防漏等污染防治措施或采用具有相应功能的装置；</w:t>
            </w:r>
          </w:p>
          <w:p w14:paraId="62ECCEB8">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rFonts w:eastAsiaTheme="minorEastAsia"/>
                <w:color w:val="000000" w:themeColor="text1"/>
                <w14:textFill>
                  <w14:solidFill>
                    <w14:schemeClr w14:val="tx1"/>
                  </w14:solidFill>
                </w14:textFill>
              </w:rPr>
              <w:t>贮存点应及时清运贮存的危险废物，实时贮存量不应超过1吨。</w:t>
            </w:r>
          </w:p>
          <w:p w14:paraId="31C3484E">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rFonts w:eastAsiaTheme="minorEastAsia"/>
                <w:color w:val="000000" w:themeColor="text1"/>
                <w14:textFill>
                  <w14:solidFill>
                    <w14:schemeClr w14:val="tx1"/>
                  </w14:solidFill>
                </w14:textFill>
              </w:rPr>
              <w:t>危险废物暂存场所应设有符合《环境保护图形标志 固体废物贮存（处置）场》（GB 15562.2-1995）的专用标志。</w:t>
            </w:r>
          </w:p>
          <w:p w14:paraId="2BB99B8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rFonts w:eastAsiaTheme="minorEastAsia"/>
                <w:color w:val="000000" w:themeColor="text1"/>
                <w14:textFill>
                  <w14:solidFill>
                    <w14:schemeClr w14:val="tx1"/>
                  </w14:solidFill>
                </w14:textFill>
              </w:rPr>
              <w:t>贮存设施或贮存分区内地面、墙面裙脚、堵截泄漏的围堰、接触危险废物的隔板和墙体等应采</w:t>
            </w:r>
          </w:p>
          <w:p w14:paraId="0A912114">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⑧</w:t>
            </w:r>
            <w:r>
              <w:rPr>
                <w:rFonts w:eastAsiaTheme="minorEastAsia"/>
                <w:color w:val="000000" w:themeColor="text1"/>
                <w14:textFill>
                  <w14:solidFill>
                    <w14:schemeClr w14:val="tx1"/>
                  </w14:solidFill>
                </w14:textFill>
              </w:rPr>
              <w:t>用坚固的材料建造，表面无裂缝。</w:t>
            </w:r>
          </w:p>
          <w:p w14:paraId="7CAEC03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2）危险废物贮存容器管理要求</w:t>
            </w:r>
          </w:p>
          <w:p w14:paraId="5711413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a.应当使用符合标准的容器盛装危险废物；</w:t>
            </w:r>
          </w:p>
          <w:p w14:paraId="4C00CF2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b.装载危险废物的容器及材质要满足相应的强度要求；</w:t>
            </w:r>
          </w:p>
          <w:p w14:paraId="5617C6A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c.装载危险废物的容器必须完好无损；</w:t>
            </w:r>
          </w:p>
          <w:p w14:paraId="692D23C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d.盛装危险废物的容器材质和衬里要与危险废物相容；</w:t>
            </w:r>
          </w:p>
          <w:p w14:paraId="03C24FB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e.废机油盛装于可注入开孔直径不超过70mm并有放气孔的桶中。</w:t>
            </w:r>
          </w:p>
          <w:p w14:paraId="5079628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f.盛装危险废物的容器上必须粘贴符合《危险废物贮存污染控制标准》（GB 18597-2003）标准中附录A所示的危险标识标签。</w:t>
            </w:r>
          </w:p>
          <w:p w14:paraId="5BC55AE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3）为确保危险废物在转移、运输过程中的安全，采取如下措施：</w:t>
            </w:r>
          </w:p>
          <w:p w14:paraId="3D3C96C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危险废物从产生单位到利用处置单位的转移过程，严格执行《危险废物转移管理办法》，危险废物产生单位在转移危险废物前，须按照国家有关规定报批危险废物转移计划；经批准后，产生单位应当向移出地环境保护行政主管部门申请领取联单。产生单位应当在危险废物转移前三日内报告移出地环境保护行政主管部门，并同时将预期到达时间报告接受地环境保护行政主管部门。</w:t>
            </w:r>
          </w:p>
          <w:p w14:paraId="587006E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转移危险废物须严格执行转移联单制度，通过在运输全过程实施危险废物转移联单制度，明确各方责任，严格操作规范，危险废物转移运输污染可得到有效防控。</w:t>
            </w:r>
          </w:p>
          <w:p w14:paraId="5CC502B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4）危险废物台账管理要求</w:t>
            </w:r>
          </w:p>
          <w:p w14:paraId="0D05EE91">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频次要求：产生后盛放至容器和包装物的，应按每个容器和包装物进行记录；产生后采用管道等方式输送至贮存场所的，按日记录；其他特殊情形的，根据危险废物产生规律确定记录频次。危险废物环境管理台账记录频次应符合《危险废物产生单位管理计划制定指南》等标准及管理文件的相关要求。</w:t>
            </w:r>
          </w:p>
          <w:p w14:paraId="379DDA1D">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记录内容：危险废物产生环节，应记录产生批次编码、产生时间、危险废物名称、危险废物类别、危险废物代码、产生量、计量单位、容器/包装编码、容器/包装类型、容器/包装数量、产生危险废物设施编码、产生部门经办人、去向等。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危险废物委外利用/处置环节，应记录委外利用/处置批次编码、出厂时间、容器/包装编码、容器/包装类型、容器/包装数量、危险废物名称、危险废物类别、危险废物代码、委外利用/处置量、计量单位、利用/处置方式、接收单位类型、利用/处置单位名称、许可证编码/出口核准通知单编号、产生批次编码/出库批次编码等。</w:t>
            </w:r>
          </w:p>
          <w:p w14:paraId="3DC54F2C">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记录保存：保存时间原则上应存档5年以上。</w:t>
            </w:r>
          </w:p>
          <w:p w14:paraId="557B0D2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5）危险废物运输管理要求</w:t>
            </w:r>
          </w:p>
          <w:p w14:paraId="6CB42D3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厂内运输</w:t>
            </w:r>
          </w:p>
          <w:p w14:paraId="5736881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危险废物从产生工艺环节由工人运送到危废贮存点，运送过程中危险废物在专用包装桶内封存。</w:t>
            </w:r>
          </w:p>
          <w:p w14:paraId="620FCBB8">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厂外运输</w:t>
            </w:r>
          </w:p>
          <w:p w14:paraId="13074B3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危废贮存点内危险废物定期交由有资质单位处理，由有资质单位负责运输。</w:t>
            </w:r>
          </w:p>
          <w:p w14:paraId="19DDD3C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6）危险废物处置管理要求</w:t>
            </w:r>
          </w:p>
          <w:p w14:paraId="6E13303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危废贮存点内危险废物定期交由有资质单位处理，不在厂内进行危险废物处置。</w:t>
            </w:r>
          </w:p>
          <w:p w14:paraId="712EB361">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五、地下水、土壤</w:t>
            </w:r>
          </w:p>
          <w:p w14:paraId="27A48FF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1.污染源和污染物及污染途径</w:t>
            </w:r>
          </w:p>
          <w:p w14:paraId="6F34D19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正常情况下，项目生产设施正常运行，原料、产品储存等完整无损，厂区的防渗措施到位，无污染土壤、地下水环境途径。周边无地下水环境保护目标，土壤环境敏感程度为不敏感，对土壤及地下水环境产生的影响较小。本项目对土壤、地下水可能产生的影响主要为事故状态下危险废物储存过程中包装桶等发生破裂、损坏，通过渗漏污染地下水，项目拟对厂区进行分区防渗处理。</w:t>
            </w:r>
          </w:p>
          <w:p w14:paraId="5858C71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2、防控措施</w:t>
            </w:r>
          </w:p>
          <w:p w14:paraId="60DBDE7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（1）源头控制</w:t>
            </w:r>
          </w:p>
          <w:p w14:paraId="6DF2F5F0">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从源头控制项目以清洁生产和循环利用为宗旨，减少污染物的产生和排放量；危险废物收集转移过程中要注意全过程管理，避免遗洒污染土壤和地下水。</w:t>
            </w:r>
          </w:p>
          <w:p w14:paraId="1CD1EF8D">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企业应制定完善的管理制度，日常要加强对废气处理和固废暂存等设施的巡检与维护，以便及时发现问题、及时清理处置。严格按照《危险废物贮存污染控制标准》（GB 18597-2023）做好日常维护工作。</w:t>
            </w:r>
          </w:p>
          <w:p w14:paraId="3CDFB556">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（2）分区防渗</w:t>
            </w:r>
          </w:p>
          <w:p w14:paraId="6D3C782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本项目为防止污染地下水及土壤系统，按照《环境影响评价技术导则地下水环境》（HJ610-2016）及《危险废物贮存污染控制标准》（GB 18597-2023）要求，项目各构筑物应采取分区防渗措施，防渗分区表见下表4-26。</w:t>
            </w:r>
          </w:p>
          <w:p w14:paraId="43DAA785">
            <w:pPr>
              <w:widowControl/>
              <w:ind w:firstLine="422"/>
              <w:jc w:val="center"/>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表4-26本项目污染防渗分区表</w:t>
            </w:r>
          </w:p>
          <w:tbl>
            <w:tblPr>
              <w:tblStyle w:val="35"/>
              <w:tblW w:w="8185"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93"/>
              <w:gridCol w:w="1500"/>
              <w:gridCol w:w="1845"/>
              <w:gridCol w:w="4047"/>
            </w:tblGrid>
            <w:tr w14:paraId="454EF37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double" w:color="auto" w:sz="2" w:space="0"/>
                    <w:left w:val="nil"/>
                    <w:bottom w:val="single" w:color="auto" w:sz="4" w:space="0"/>
                    <w:right w:val="single" w:color="auto" w:sz="4" w:space="0"/>
                  </w:tcBorders>
                  <w:vAlign w:val="center"/>
                </w:tcPr>
                <w:p w14:paraId="36595F13">
                  <w:pPr>
                    <w:pStyle w:val="48"/>
                  </w:pPr>
                  <w:r>
                    <w:t>序号</w:t>
                  </w:r>
                </w:p>
              </w:tc>
              <w:tc>
                <w:tcPr>
                  <w:tcW w:w="1500" w:type="dxa"/>
                  <w:tcBorders>
                    <w:top w:val="double" w:color="auto" w:sz="2" w:space="0"/>
                    <w:left w:val="single" w:color="auto" w:sz="4" w:space="0"/>
                    <w:bottom w:val="single" w:color="auto" w:sz="4" w:space="0"/>
                    <w:right w:val="single" w:color="auto" w:sz="4" w:space="0"/>
                  </w:tcBorders>
                  <w:vAlign w:val="center"/>
                </w:tcPr>
                <w:p w14:paraId="1DA139DD">
                  <w:pPr>
                    <w:pStyle w:val="48"/>
                  </w:pPr>
                  <w:r>
                    <w:t>防渗分区</w:t>
                  </w:r>
                </w:p>
              </w:tc>
              <w:tc>
                <w:tcPr>
                  <w:tcW w:w="1845" w:type="dxa"/>
                  <w:tcBorders>
                    <w:top w:val="double" w:color="auto" w:sz="2" w:space="0"/>
                    <w:left w:val="single" w:color="auto" w:sz="4" w:space="0"/>
                    <w:bottom w:val="single" w:color="auto" w:sz="4" w:space="0"/>
                    <w:right w:val="single" w:color="auto" w:sz="4" w:space="0"/>
                  </w:tcBorders>
                  <w:vAlign w:val="center"/>
                </w:tcPr>
                <w:p w14:paraId="4D35A495">
                  <w:pPr>
                    <w:pStyle w:val="48"/>
                  </w:pPr>
                  <w:r>
                    <w:t>分区位置</w:t>
                  </w:r>
                </w:p>
              </w:tc>
              <w:tc>
                <w:tcPr>
                  <w:tcW w:w="4047" w:type="dxa"/>
                  <w:tcBorders>
                    <w:top w:val="double" w:color="auto" w:sz="2" w:space="0"/>
                    <w:left w:val="single" w:color="auto" w:sz="4" w:space="0"/>
                    <w:bottom w:val="single" w:color="auto" w:sz="4" w:space="0"/>
                    <w:right w:val="nil"/>
                  </w:tcBorders>
                  <w:vAlign w:val="center"/>
                </w:tcPr>
                <w:p w14:paraId="1DF7C50B">
                  <w:pPr>
                    <w:pStyle w:val="48"/>
                  </w:pPr>
                  <w:r>
                    <w:t>防渗技术要求</w:t>
                  </w:r>
                </w:p>
              </w:tc>
            </w:tr>
            <w:tr w14:paraId="048264F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single" w:color="auto" w:sz="4" w:space="0"/>
                    <w:left w:val="nil"/>
                    <w:bottom w:val="single" w:color="auto" w:sz="4" w:space="0"/>
                    <w:right w:val="single" w:color="auto" w:sz="4" w:space="0"/>
                  </w:tcBorders>
                  <w:vAlign w:val="center"/>
                </w:tcPr>
                <w:p w14:paraId="00DEE61D">
                  <w:pPr>
                    <w:pStyle w:val="48"/>
                  </w:pPr>
                  <w:r>
                    <w:t>1</w:t>
                  </w:r>
                </w:p>
              </w:tc>
              <w:tc>
                <w:tcPr>
                  <w:tcW w:w="1500" w:type="dxa"/>
                  <w:tcBorders>
                    <w:top w:val="single" w:color="auto" w:sz="4" w:space="0"/>
                    <w:left w:val="single" w:color="auto" w:sz="4" w:space="0"/>
                    <w:bottom w:val="single" w:color="auto" w:sz="4" w:space="0"/>
                    <w:right w:val="single" w:color="auto" w:sz="4" w:space="0"/>
                  </w:tcBorders>
                  <w:vAlign w:val="center"/>
                </w:tcPr>
                <w:p w14:paraId="022E9DC3">
                  <w:pPr>
                    <w:pStyle w:val="48"/>
                  </w:pPr>
                  <w:r>
                    <w:rPr>
                      <w:kern w:val="0"/>
                    </w:rPr>
                    <w:t>重点防渗区</w:t>
                  </w:r>
                </w:p>
              </w:tc>
              <w:tc>
                <w:tcPr>
                  <w:tcW w:w="1845" w:type="dxa"/>
                  <w:tcBorders>
                    <w:top w:val="single" w:color="auto" w:sz="4" w:space="0"/>
                    <w:left w:val="single" w:color="auto" w:sz="4" w:space="0"/>
                    <w:bottom w:val="single" w:color="auto" w:sz="4" w:space="0"/>
                    <w:right w:val="single" w:color="auto" w:sz="4" w:space="0"/>
                  </w:tcBorders>
                  <w:vAlign w:val="center"/>
                </w:tcPr>
                <w:p w14:paraId="5166F04C">
                  <w:pPr>
                    <w:pStyle w:val="48"/>
                  </w:pPr>
                  <w:r>
                    <w:t>危废贮存点</w:t>
                  </w:r>
                </w:p>
              </w:tc>
              <w:tc>
                <w:tcPr>
                  <w:tcW w:w="4047" w:type="dxa"/>
                  <w:tcBorders>
                    <w:top w:val="single" w:color="auto" w:sz="4" w:space="0"/>
                    <w:left w:val="single" w:color="auto" w:sz="4" w:space="0"/>
                    <w:bottom w:val="single" w:color="auto" w:sz="4" w:space="0"/>
                    <w:right w:val="nil"/>
                  </w:tcBorders>
                  <w:vAlign w:val="center"/>
                </w:tcPr>
                <w:p w14:paraId="751D6A42">
                  <w:pPr>
                    <w:pStyle w:val="48"/>
                  </w:pPr>
                  <w:r>
                    <w:t>等效粘土防渗层Mb≥6.0m，K≤1×10</w:t>
                  </w:r>
                  <w:r>
                    <w:rPr>
                      <w:vertAlign w:val="superscript"/>
                    </w:rPr>
                    <w:t>-7</w:t>
                  </w:r>
                  <w:r>
                    <w:t>cm/s或参照GB 18598执行</w:t>
                  </w:r>
                </w:p>
              </w:tc>
            </w:tr>
            <w:tr w14:paraId="2788E74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single" w:color="auto" w:sz="4" w:space="0"/>
                    <w:left w:val="nil"/>
                    <w:bottom w:val="single" w:color="auto" w:sz="4" w:space="0"/>
                    <w:right w:val="single" w:color="auto" w:sz="4" w:space="0"/>
                  </w:tcBorders>
                  <w:vAlign w:val="center"/>
                </w:tcPr>
                <w:p w14:paraId="1968C688">
                  <w:pPr>
                    <w:pStyle w:val="48"/>
                  </w:pPr>
                  <w:r>
                    <w:t>2</w:t>
                  </w:r>
                </w:p>
              </w:tc>
              <w:tc>
                <w:tcPr>
                  <w:tcW w:w="1500" w:type="dxa"/>
                  <w:tcBorders>
                    <w:top w:val="single" w:color="auto" w:sz="4" w:space="0"/>
                    <w:left w:val="single" w:color="auto" w:sz="4" w:space="0"/>
                    <w:bottom w:val="single" w:color="auto" w:sz="4" w:space="0"/>
                    <w:right w:val="single" w:color="auto" w:sz="4" w:space="0"/>
                  </w:tcBorders>
                  <w:vAlign w:val="center"/>
                </w:tcPr>
                <w:p w14:paraId="6394FE9C">
                  <w:pPr>
                    <w:pStyle w:val="48"/>
                    <w:rPr>
                      <w:kern w:val="0"/>
                    </w:rPr>
                  </w:pPr>
                  <w:r>
                    <w:rPr>
                      <w:kern w:val="0"/>
                    </w:rPr>
                    <w:t>一般防渗区</w:t>
                  </w:r>
                </w:p>
              </w:tc>
              <w:tc>
                <w:tcPr>
                  <w:tcW w:w="1845" w:type="dxa"/>
                  <w:tcBorders>
                    <w:top w:val="single" w:color="auto" w:sz="4" w:space="0"/>
                    <w:left w:val="single" w:color="auto" w:sz="4" w:space="0"/>
                    <w:bottom w:val="single" w:color="auto" w:sz="4" w:space="0"/>
                    <w:right w:val="single" w:color="auto" w:sz="4" w:space="0"/>
                  </w:tcBorders>
                  <w:vAlign w:val="center"/>
                </w:tcPr>
                <w:p w14:paraId="65F89125">
                  <w:pPr>
                    <w:pStyle w:val="48"/>
                    <w:rPr>
                      <w:kern w:val="0"/>
                    </w:rPr>
                  </w:pPr>
                  <w:r>
                    <w:rPr>
                      <w:kern w:val="0"/>
                    </w:rPr>
                    <w:t>原料库</w:t>
                  </w:r>
                </w:p>
                <w:p w14:paraId="0BE5168E">
                  <w:pPr>
                    <w:pStyle w:val="48"/>
                  </w:pPr>
                  <w:r>
                    <w:t>生产车间</w:t>
                  </w:r>
                </w:p>
                <w:p w14:paraId="6E9EFE74">
                  <w:pPr>
                    <w:pStyle w:val="48"/>
                  </w:pPr>
                  <w:r>
                    <w:t>烘干车间</w:t>
                  </w:r>
                </w:p>
                <w:p w14:paraId="6494A32C">
                  <w:pPr>
                    <w:pStyle w:val="48"/>
                  </w:pPr>
                  <w:r>
                    <w:t>成品库</w:t>
                  </w:r>
                </w:p>
              </w:tc>
              <w:tc>
                <w:tcPr>
                  <w:tcW w:w="4047" w:type="dxa"/>
                  <w:tcBorders>
                    <w:top w:val="single" w:color="auto" w:sz="4" w:space="0"/>
                    <w:left w:val="single" w:color="auto" w:sz="4" w:space="0"/>
                    <w:bottom w:val="single" w:color="auto" w:sz="4" w:space="0"/>
                    <w:right w:val="nil"/>
                  </w:tcBorders>
                  <w:vAlign w:val="center"/>
                </w:tcPr>
                <w:p w14:paraId="3544B2B7">
                  <w:pPr>
                    <w:pStyle w:val="48"/>
                    <w:rPr>
                      <w:kern w:val="0"/>
                    </w:rPr>
                  </w:pPr>
                  <w:r>
                    <w:t>等效粘土防渗层Mb≥1.5m，K≤1×10</w:t>
                  </w:r>
                  <w:r>
                    <w:rPr>
                      <w:vertAlign w:val="superscript"/>
                    </w:rPr>
                    <w:t>-7</w:t>
                  </w:r>
                  <w:r>
                    <w:t>cm/s或参照GB 16889执行</w:t>
                  </w:r>
                </w:p>
              </w:tc>
            </w:tr>
            <w:tr w14:paraId="7905096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793" w:type="dxa"/>
                  <w:tcBorders>
                    <w:top w:val="single" w:color="auto" w:sz="4" w:space="0"/>
                    <w:left w:val="nil"/>
                    <w:bottom w:val="double" w:color="auto" w:sz="2" w:space="0"/>
                    <w:right w:val="single" w:color="auto" w:sz="4" w:space="0"/>
                  </w:tcBorders>
                  <w:vAlign w:val="center"/>
                </w:tcPr>
                <w:p w14:paraId="4A1C7B1C">
                  <w:pPr>
                    <w:pStyle w:val="48"/>
                  </w:pPr>
                  <w:r>
                    <w:t>3</w:t>
                  </w:r>
                </w:p>
              </w:tc>
              <w:tc>
                <w:tcPr>
                  <w:tcW w:w="1500" w:type="dxa"/>
                  <w:tcBorders>
                    <w:top w:val="single" w:color="auto" w:sz="4" w:space="0"/>
                    <w:left w:val="single" w:color="auto" w:sz="4" w:space="0"/>
                    <w:bottom w:val="double" w:color="auto" w:sz="2" w:space="0"/>
                    <w:right w:val="single" w:color="auto" w:sz="4" w:space="0"/>
                  </w:tcBorders>
                  <w:vAlign w:val="center"/>
                </w:tcPr>
                <w:p w14:paraId="41ABBA7D">
                  <w:pPr>
                    <w:pStyle w:val="48"/>
                  </w:pPr>
                  <w:r>
                    <w:rPr>
                      <w:kern w:val="0"/>
                    </w:rPr>
                    <w:t>简单防渗区</w:t>
                  </w:r>
                </w:p>
              </w:tc>
              <w:tc>
                <w:tcPr>
                  <w:tcW w:w="1845" w:type="dxa"/>
                  <w:tcBorders>
                    <w:top w:val="single" w:color="auto" w:sz="4" w:space="0"/>
                    <w:left w:val="single" w:color="auto" w:sz="4" w:space="0"/>
                    <w:bottom w:val="double" w:color="auto" w:sz="2" w:space="0"/>
                    <w:right w:val="single" w:color="auto" w:sz="4" w:space="0"/>
                  </w:tcBorders>
                  <w:vAlign w:val="center"/>
                </w:tcPr>
                <w:p w14:paraId="741E14AA">
                  <w:pPr>
                    <w:pStyle w:val="48"/>
                  </w:pPr>
                  <w:r>
                    <w:t>其他区域</w:t>
                  </w:r>
                </w:p>
              </w:tc>
              <w:tc>
                <w:tcPr>
                  <w:tcW w:w="4047" w:type="dxa"/>
                  <w:tcBorders>
                    <w:top w:val="single" w:color="auto" w:sz="4" w:space="0"/>
                    <w:left w:val="single" w:color="auto" w:sz="4" w:space="0"/>
                    <w:bottom w:val="double" w:color="auto" w:sz="2" w:space="0"/>
                    <w:right w:val="nil"/>
                  </w:tcBorders>
                  <w:vAlign w:val="center"/>
                </w:tcPr>
                <w:p w14:paraId="410BB3FF">
                  <w:pPr>
                    <w:pStyle w:val="48"/>
                  </w:pPr>
                  <w:r>
                    <w:t>一般地面硬化</w:t>
                  </w:r>
                </w:p>
              </w:tc>
            </w:tr>
          </w:tbl>
          <w:p w14:paraId="51460D4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六、生态</w:t>
            </w:r>
          </w:p>
          <w:p w14:paraId="07794A5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位于辽宁省朝阳市朝阳县瓦房子镇上三家子村（朝阳县瓦房子镇宏兴锰矿厂区内），租用朝阳县瓦房子镇宏兴锰矿内场地，不新增用地，占地均位于朝阳县瓦房子镇工业园区内。且用地范围内无自然保护区、风景名胜区、文化遗产保护区、世界文化自然遗产和森林公园、地质公园、湿地公园等生态环境保护目标，无需设置生态保护措施。</w:t>
            </w:r>
          </w:p>
          <w:p w14:paraId="5326DA9A">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七、环境风险</w:t>
            </w:r>
          </w:p>
          <w:p w14:paraId="149D39B6">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1.风险识别及Q值计算</w:t>
            </w:r>
          </w:p>
          <w:p w14:paraId="6EBBC6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建设项目环境风险评价技术导则》（HJ169-2018）附录B所列危险物质，本项目所涉及的环境风险物质主要为废机油。废机油贮存于危险废物贮存间，最大贮存量为0.2t，高炉煤气通过管线由朝阳县瓦房子镇宏兴锰矿输送至本项目，输送管线长130米，内径30cm，管线内含高炉煤气约0.011t，其中主要危险物质为CO，含量按照30%计算，则管线内风险物质CO的含量为0.0033t。</w:t>
            </w:r>
          </w:p>
          <w:p w14:paraId="34CC04D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Q值计算详见下表。</w:t>
            </w:r>
          </w:p>
          <w:p w14:paraId="11E348C3">
            <w:pPr>
              <w:widowControl/>
              <w:spacing w:line="480" w:lineRule="exact"/>
              <w:ind w:firstLine="422"/>
              <w:jc w:val="center"/>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表4-27项目危险物质数量与临界量比值（Q）计算表</w:t>
            </w:r>
          </w:p>
          <w:tbl>
            <w:tblPr>
              <w:tblStyle w:val="35"/>
              <w:tblW w:w="495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134"/>
              <w:gridCol w:w="1134"/>
              <w:gridCol w:w="709"/>
              <w:gridCol w:w="1276"/>
              <w:gridCol w:w="1134"/>
              <w:gridCol w:w="914"/>
              <w:gridCol w:w="1329"/>
            </w:tblGrid>
            <w:tr w14:paraId="327C1FE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tcBorders>
                    <w:top w:val="double" w:color="auto" w:sz="2" w:space="0"/>
                    <w:left w:val="nil"/>
                    <w:bottom w:val="single" w:color="auto" w:sz="4" w:space="0"/>
                    <w:right w:val="single" w:color="auto" w:sz="4" w:space="0"/>
                  </w:tcBorders>
                  <w:vAlign w:val="center"/>
                </w:tcPr>
                <w:p w14:paraId="576B1656">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序号</w:t>
                  </w:r>
                </w:p>
              </w:tc>
              <w:tc>
                <w:tcPr>
                  <w:tcW w:w="1134" w:type="dxa"/>
                  <w:tcBorders>
                    <w:top w:val="double" w:color="auto" w:sz="2" w:space="0"/>
                    <w:left w:val="single" w:color="auto" w:sz="4" w:space="0"/>
                    <w:bottom w:val="single" w:color="auto" w:sz="4" w:space="0"/>
                    <w:right w:val="single" w:color="auto" w:sz="4" w:space="0"/>
                  </w:tcBorders>
                  <w:vAlign w:val="center"/>
                </w:tcPr>
                <w:p w14:paraId="4244D59B">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名称</w:t>
                  </w:r>
                </w:p>
              </w:tc>
              <w:tc>
                <w:tcPr>
                  <w:tcW w:w="1134" w:type="dxa"/>
                  <w:tcBorders>
                    <w:top w:val="double" w:color="auto" w:sz="2" w:space="0"/>
                    <w:left w:val="single" w:color="auto" w:sz="4" w:space="0"/>
                    <w:bottom w:val="single" w:color="auto" w:sz="4" w:space="0"/>
                    <w:right w:val="single" w:color="auto" w:sz="4" w:space="0"/>
                  </w:tcBorders>
                  <w:vAlign w:val="center"/>
                </w:tcPr>
                <w:p w14:paraId="65C37884">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类别</w:t>
                  </w:r>
                </w:p>
              </w:tc>
              <w:tc>
                <w:tcPr>
                  <w:tcW w:w="709" w:type="dxa"/>
                  <w:tcBorders>
                    <w:top w:val="double" w:color="auto" w:sz="2" w:space="0"/>
                    <w:left w:val="single" w:color="auto" w:sz="4" w:space="0"/>
                    <w:bottom w:val="single" w:color="auto" w:sz="4" w:space="0"/>
                    <w:right w:val="single" w:color="auto" w:sz="4" w:space="0"/>
                  </w:tcBorders>
                  <w:vAlign w:val="center"/>
                </w:tcPr>
                <w:p w14:paraId="16F35EA9">
                  <w:pPr>
                    <w:widowControl/>
                    <w:jc w:val="center"/>
                    <w:rPr>
                      <w:rFonts w:eastAsiaTheme="minorEastAsia"/>
                      <w:bCs/>
                      <w:color w:val="000000" w:themeColor="text1"/>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状态</w:t>
                  </w:r>
                </w:p>
              </w:tc>
              <w:tc>
                <w:tcPr>
                  <w:tcW w:w="1276" w:type="dxa"/>
                  <w:tcBorders>
                    <w:top w:val="double" w:color="auto" w:sz="2" w:space="0"/>
                    <w:left w:val="single" w:color="auto" w:sz="4" w:space="0"/>
                    <w:bottom w:val="single" w:color="auto" w:sz="4" w:space="0"/>
                    <w:right w:val="single" w:color="auto" w:sz="4" w:space="0"/>
                  </w:tcBorders>
                  <w:vAlign w:val="center"/>
                </w:tcPr>
                <w:p w14:paraId="118332CB">
                  <w:pPr>
                    <w:widowControl/>
                    <w:jc w:val="center"/>
                    <w:rPr>
                      <w:rFonts w:eastAsiaTheme="minorEastAsia"/>
                      <w:bCs/>
                      <w:color w:val="000000" w:themeColor="text1"/>
                      <w:kern w:val="0"/>
                      <w:szCs w:val="21"/>
                      <w14:textFill>
                        <w14:solidFill>
                          <w14:schemeClr w14:val="tx1"/>
                        </w14:solidFill>
                      </w14:textFill>
                    </w:rPr>
                  </w:pPr>
                  <w:r>
                    <w:rPr>
                      <w:rFonts w:eastAsiaTheme="minorEastAsia"/>
                      <w:bCs/>
                      <w:color w:val="000000" w:themeColor="text1"/>
                      <w:szCs w:val="21"/>
                      <w14:textFill>
                        <w14:solidFill>
                          <w14:schemeClr w14:val="tx1"/>
                        </w14:solidFill>
                      </w14:textFill>
                    </w:rPr>
                    <w:t>最大贮存量q（t）</w:t>
                  </w:r>
                </w:p>
              </w:tc>
              <w:tc>
                <w:tcPr>
                  <w:tcW w:w="1134" w:type="dxa"/>
                  <w:tcBorders>
                    <w:top w:val="double" w:color="auto" w:sz="2" w:space="0"/>
                    <w:left w:val="single" w:color="auto" w:sz="4" w:space="0"/>
                    <w:bottom w:val="single" w:color="auto" w:sz="4" w:space="0"/>
                    <w:right w:val="single" w:color="auto" w:sz="4" w:space="0"/>
                  </w:tcBorders>
                  <w:vAlign w:val="center"/>
                </w:tcPr>
                <w:p w14:paraId="71404E77">
                  <w:pPr>
                    <w:widowControl/>
                    <w:jc w:val="center"/>
                    <w:rPr>
                      <w:rFonts w:eastAsiaTheme="minorEastAsia"/>
                      <w:bCs/>
                      <w:color w:val="000000" w:themeColor="text1"/>
                      <w:kern w:val="0"/>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临界量Q（t）</w:t>
                  </w:r>
                </w:p>
              </w:tc>
              <w:tc>
                <w:tcPr>
                  <w:tcW w:w="914" w:type="dxa"/>
                  <w:tcBorders>
                    <w:top w:val="double" w:color="auto" w:sz="2" w:space="0"/>
                    <w:left w:val="single" w:color="auto" w:sz="4" w:space="0"/>
                    <w:bottom w:val="single" w:color="auto" w:sz="4" w:space="0"/>
                    <w:right w:val="single" w:color="auto" w:sz="4" w:space="0"/>
                  </w:tcBorders>
                  <w:vAlign w:val="center"/>
                </w:tcPr>
                <w:p w14:paraId="4B0F1853">
                  <w:pPr>
                    <w:widowControl/>
                    <w:jc w:val="center"/>
                    <w:rPr>
                      <w:rFonts w:eastAsiaTheme="minorEastAsia"/>
                      <w:bCs/>
                      <w:color w:val="000000" w:themeColor="text1"/>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q/Q</w:t>
                  </w:r>
                </w:p>
              </w:tc>
              <w:tc>
                <w:tcPr>
                  <w:tcW w:w="1329" w:type="dxa"/>
                  <w:tcBorders>
                    <w:top w:val="double" w:color="auto" w:sz="2" w:space="0"/>
                    <w:left w:val="single" w:color="auto" w:sz="4" w:space="0"/>
                    <w:bottom w:val="single" w:color="auto" w:sz="4" w:space="0"/>
                    <w:right w:val="nil"/>
                  </w:tcBorders>
                  <w:vAlign w:val="center"/>
                </w:tcPr>
                <w:p w14:paraId="1D2513FA">
                  <w:pPr>
                    <w:widowControl/>
                    <w:jc w:val="center"/>
                    <w:rPr>
                      <w:rFonts w:eastAsiaTheme="minorEastAsia"/>
                      <w:bCs/>
                      <w:color w:val="000000" w:themeColor="text1"/>
                      <w:szCs w:val="21"/>
                      <w14:textFill>
                        <w14:solidFill>
                          <w14:schemeClr w14:val="tx1"/>
                        </w14:solidFill>
                      </w14:textFill>
                    </w:rPr>
                  </w:pPr>
                  <w:r>
                    <w:rPr>
                      <w:rFonts w:eastAsiaTheme="minorEastAsia"/>
                      <w:bCs/>
                      <w:color w:val="000000" w:themeColor="text1"/>
                      <w:kern w:val="0"/>
                      <w:szCs w:val="21"/>
                      <w14:textFill>
                        <w14:solidFill>
                          <w14:schemeClr w14:val="tx1"/>
                        </w14:solidFill>
                      </w14:textFill>
                    </w:rPr>
                    <w:t>存放地点</w:t>
                  </w:r>
                </w:p>
              </w:tc>
            </w:tr>
            <w:tr w14:paraId="3B0EEA6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tcBorders>
                    <w:top w:val="single" w:color="auto" w:sz="4" w:space="0"/>
                    <w:left w:val="nil"/>
                    <w:bottom w:val="single" w:color="auto" w:sz="4" w:space="0"/>
                    <w:right w:val="single" w:color="auto" w:sz="4" w:space="0"/>
                  </w:tcBorders>
                  <w:vAlign w:val="center"/>
                </w:tcPr>
                <w:p w14:paraId="5EE0E910">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w:t>
                  </w:r>
                </w:p>
              </w:tc>
              <w:tc>
                <w:tcPr>
                  <w:tcW w:w="1134" w:type="dxa"/>
                  <w:tcBorders>
                    <w:top w:val="single" w:color="auto" w:sz="4" w:space="0"/>
                    <w:left w:val="single" w:color="auto" w:sz="4" w:space="0"/>
                    <w:bottom w:val="single" w:color="auto" w:sz="4" w:space="0"/>
                    <w:right w:val="single" w:color="auto" w:sz="4" w:space="0"/>
                  </w:tcBorders>
                  <w:vAlign w:val="center"/>
                </w:tcPr>
                <w:p w14:paraId="7559E639">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废机油</w:t>
                  </w:r>
                </w:p>
              </w:tc>
              <w:tc>
                <w:tcPr>
                  <w:tcW w:w="1134" w:type="dxa"/>
                  <w:tcBorders>
                    <w:top w:val="single" w:color="auto" w:sz="4" w:space="0"/>
                    <w:left w:val="single" w:color="auto" w:sz="4" w:space="0"/>
                    <w:bottom w:val="single" w:color="auto" w:sz="4" w:space="0"/>
                    <w:right w:val="single" w:color="auto" w:sz="4" w:space="0"/>
                  </w:tcBorders>
                  <w:vAlign w:val="center"/>
                </w:tcPr>
                <w:p w14:paraId="14E209A0">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危险废物</w:t>
                  </w:r>
                </w:p>
              </w:tc>
              <w:tc>
                <w:tcPr>
                  <w:tcW w:w="709" w:type="dxa"/>
                  <w:tcBorders>
                    <w:top w:val="single" w:color="auto" w:sz="4" w:space="0"/>
                    <w:left w:val="single" w:color="auto" w:sz="4" w:space="0"/>
                    <w:bottom w:val="single" w:color="auto" w:sz="4" w:space="0"/>
                    <w:right w:val="single" w:color="auto" w:sz="4" w:space="0"/>
                  </w:tcBorders>
                  <w:vAlign w:val="center"/>
                </w:tcPr>
                <w:p w14:paraId="3E980EC6">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液态</w:t>
                  </w:r>
                </w:p>
              </w:tc>
              <w:tc>
                <w:tcPr>
                  <w:tcW w:w="1276" w:type="dxa"/>
                  <w:tcBorders>
                    <w:top w:val="single" w:color="auto" w:sz="4" w:space="0"/>
                    <w:left w:val="single" w:color="auto" w:sz="4" w:space="0"/>
                    <w:bottom w:val="single" w:color="auto" w:sz="4" w:space="0"/>
                    <w:right w:val="single" w:color="auto" w:sz="4" w:space="0"/>
                  </w:tcBorders>
                  <w:vAlign w:val="center"/>
                </w:tcPr>
                <w:p w14:paraId="6A7B9EFD">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0.2</w:t>
                  </w:r>
                </w:p>
              </w:tc>
              <w:tc>
                <w:tcPr>
                  <w:tcW w:w="1134" w:type="dxa"/>
                  <w:tcBorders>
                    <w:top w:val="single" w:color="auto" w:sz="4" w:space="0"/>
                    <w:left w:val="single" w:color="auto" w:sz="4" w:space="0"/>
                    <w:bottom w:val="single" w:color="auto" w:sz="4" w:space="0"/>
                    <w:right w:val="single" w:color="auto" w:sz="4" w:space="0"/>
                  </w:tcBorders>
                  <w:vAlign w:val="center"/>
                </w:tcPr>
                <w:p w14:paraId="238F40AE">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2500</w:t>
                  </w:r>
                </w:p>
              </w:tc>
              <w:tc>
                <w:tcPr>
                  <w:tcW w:w="914" w:type="dxa"/>
                  <w:tcBorders>
                    <w:top w:val="single" w:color="auto" w:sz="4" w:space="0"/>
                    <w:left w:val="single" w:color="auto" w:sz="4" w:space="0"/>
                    <w:bottom w:val="single" w:color="auto" w:sz="4" w:space="0"/>
                    <w:right w:val="single" w:color="auto" w:sz="4" w:space="0"/>
                  </w:tcBorders>
                  <w:vAlign w:val="center"/>
                </w:tcPr>
                <w:p w14:paraId="49B114D9">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0.00008</w:t>
                  </w:r>
                </w:p>
              </w:tc>
              <w:tc>
                <w:tcPr>
                  <w:tcW w:w="1329" w:type="dxa"/>
                  <w:tcBorders>
                    <w:top w:val="single" w:color="auto" w:sz="4" w:space="0"/>
                    <w:left w:val="single" w:color="auto" w:sz="4" w:space="0"/>
                    <w:bottom w:val="single" w:color="auto" w:sz="4" w:space="0"/>
                    <w:right w:val="nil"/>
                  </w:tcBorders>
                  <w:vAlign w:val="center"/>
                </w:tcPr>
                <w:p w14:paraId="2979A72B">
                  <w:pPr>
                    <w:widowControl/>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危废贮存点</w:t>
                  </w:r>
                </w:p>
              </w:tc>
            </w:tr>
            <w:tr w14:paraId="0F1923C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tcBorders>
                    <w:top w:val="single" w:color="auto" w:sz="4" w:space="0"/>
                    <w:left w:val="nil"/>
                    <w:bottom w:val="single" w:color="auto" w:sz="4" w:space="0"/>
                    <w:right w:val="single" w:color="auto" w:sz="4" w:space="0"/>
                  </w:tcBorders>
                  <w:vAlign w:val="center"/>
                </w:tcPr>
                <w:p w14:paraId="4643135C">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w:t>
                  </w:r>
                </w:p>
              </w:tc>
              <w:tc>
                <w:tcPr>
                  <w:tcW w:w="1134" w:type="dxa"/>
                  <w:tcBorders>
                    <w:top w:val="single" w:color="auto" w:sz="4" w:space="0"/>
                    <w:left w:val="single" w:color="auto" w:sz="4" w:space="0"/>
                    <w:bottom w:val="single" w:color="auto" w:sz="4" w:space="0"/>
                    <w:right w:val="single" w:color="auto" w:sz="4" w:space="0"/>
                  </w:tcBorders>
                  <w:vAlign w:val="center"/>
                </w:tcPr>
                <w:p w14:paraId="164A9521">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CO（高炉煤气）</w:t>
                  </w:r>
                </w:p>
              </w:tc>
              <w:tc>
                <w:tcPr>
                  <w:tcW w:w="1134" w:type="dxa"/>
                  <w:tcBorders>
                    <w:top w:val="single" w:color="auto" w:sz="4" w:space="0"/>
                    <w:left w:val="single" w:color="auto" w:sz="4" w:space="0"/>
                    <w:bottom w:val="single" w:color="auto" w:sz="4" w:space="0"/>
                    <w:right w:val="single" w:color="auto" w:sz="4" w:space="0"/>
                  </w:tcBorders>
                  <w:vAlign w:val="center"/>
                </w:tcPr>
                <w:p w14:paraId="4647CB42">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燃料</w:t>
                  </w:r>
                </w:p>
              </w:tc>
              <w:tc>
                <w:tcPr>
                  <w:tcW w:w="709" w:type="dxa"/>
                  <w:tcBorders>
                    <w:top w:val="single" w:color="auto" w:sz="4" w:space="0"/>
                    <w:left w:val="single" w:color="auto" w:sz="4" w:space="0"/>
                    <w:bottom w:val="single" w:color="auto" w:sz="4" w:space="0"/>
                    <w:right w:val="single" w:color="auto" w:sz="4" w:space="0"/>
                  </w:tcBorders>
                  <w:vAlign w:val="center"/>
                </w:tcPr>
                <w:p w14:paraId="4B4D8CA0">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气态</w:t>
                  </w:r>
                </w:p>
              </w:tc>
              <w:tc>
                <w:tcPr>
                  <w:tcW w:w="1276" w:type="dxa"/>
                  <w:tcBorders>
                    <w:top w:val="single" w:color="auto" w:sz="4" w:space="0"/>
                    <w:left w:val="single" w:color="auto" w:sz="4" w:space="0"/>
                    <w:bottom w:val="single" w:color="auto" w:sz="4" w:space="0"/>
                    <w:right w:val="single" w:color="auto" w:sz="4" w:space="0"/>
                  </w:tcBorders>
                  <w:vAlign w:val="center"/>
                </w:tcPr>
                <w:p w14:paraId="7918B44F">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0.0033</w:t>
                  </w:r>
                </w:p>
              </w:tc>
              <w:tc>
                <w:tcPr>
                  <w:tcW w:w="1134" w:type="dxa"/>
                  <w:tcBorders>
                    <w:top w:val="single" w:color="auto" w:sz="4" w:space="0"/>
                    <w:left w:val="single" w:color="auto" w:sz="4" w:space="0"/>
                    <w:bottom w:val="single" w:color="auto" w:sz="4" w:space="0"/>
                    <w:right w:val="single" w:color="auto" w:sz="4" w:space="0"/>
                  </w:tcBorders>
                  <w:vAlign w:val="center"/>
                </w:tcPr>
                <w:p w14:paraId="43CA20E7">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w:t>
                  </w:r>
                </w:p>
              </w:tc>
              <w:tc>
                <w:tcPr>
                  <w:tcW w:w="914" w:type="dxa"/>
                  <w:tcBorders>
                    <w:top w:val="single" w:color="auto" w:sz="4" w:space="0"/>
                    <w:left w:val="single" w:color="auto" w:sz="4" w:space="0"/>
                    <w:bottom w:val="single" w:color="auto" w:sz="4" w:space="0"/>
                    <w:right w:val="single" w:color="auto" w:sz="4" w:space="0"/>
                  </w:tcBorders>
                  <w:vAlign w:val="center"/>
                </w:tcPr>
                <w:p w14:paraId="3C5D0E77">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0.00033</w:t>
                  </w:r>
                </w:p>
              </w:tc>
              <w:tc>
                <w:tcPr>
                  <w:tcW w:w="1329" w:type="dxa"/>
                  <w:tcBorders>
                    <w:top w:val="single" w:color="auto" w:sz="4" w:space="0"/>
                    <w:left w:val="single" w:color="auto" w:sz="4" w:space="0"/>
                    <w:bottom w:val="single" w:color="auto" w:sz="4" w:space="0"/>
                    <w:right w:val="nil"/>
                  </w:tcBorders>
                  <w:vAlign w:val="center"/>
                </w:tcPr>
                <w:p w14:paraId="5900CF2F">
                  <w:pPr>
                    <w:widowControl/>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不贮存，仅存在于高炉煤气管线</w:t>
                  </w:r>
                </w:p>
              </w:tc>
            </w:tr>
            <w:tr w14:paraId="05F4E70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19" w:type="dxa"/>
                  <w:gridSpan w:val="6"/>
                  <w:tcBorders>
                    <w:top w:val="single" w:color="auto" w:sz="4" w:space="0"/>
                    <w:left w:val="nil"/>
                    <w:bottom w:val="double" w:color="auto" w:sz="2" w:space="0"/>
                    <w:right w:val="single" w:color="auto" w:sz="4" w:space="0"/>
                  </w:tcBorders>
                  <w:vAlign w:val="center"/>
                </w:tcPr>
                <w:p w14:paraId="527D693F">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合计</w:t>
                  </w:r>
                </w:p>
              </w:tc>
              <w:tc>
                <w:tcPr>
                  <w:tcW w:w="914" w:type="dxa"/>
                  <w:tcBorders>
                    <w:top w:val="single" w:color="auto" w:sz="4" w:space="0"/>
                    <w:left w:val="single" w:color="auto" w:sz="4" w:space="0"/>
                    <w:bottom w:val="double" w:color="auto" w:sz="2" w:space="0"/>
                    <w:right w:val="single" w:color="auto" w:sz="4" w:space="0"/>
                  </w:tcBorders>
                  <w:vAlign w:val="center"/>
                </w:tcPr>
                <w:p w14:paraId="303B7054">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0.00041</w:t>
                  </w:r>
                </w:p>
              </w:tc>
              <w:tc>
                <w:tcPr>
                  <w:tcW w:w="1329" w:type="dxa"/>
                  <w:tcBorders>
                    <w:top w:val="single" w:color="auto" w:sz="4" w:space="0"/>
                    <w:left w:val="single" w:color="auto" w:sz="4" w:space="0"/>
                    <w:bottom w:val="double" w:color="auto" w:sz="2" w:space="0"/>
                    <w:right w:val="nil"/>
                  </w:tcBorders>
                  <w:vAlign w:val="center"/>
                </w:tcPr>
                <w:p w14:paraId="73510334">
                  <w:pPr>
                    <w:adjustRightInd w:val="0"/>
                    <w:snapToGrid w:val="0"/>
                    <w:jc w:val="center"/>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p>
              </w:tc>
            </w:tr>
          </w:tbl>
          <w:p w14:paraId="1F503BE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Q值=0.00041＜1。</w:t>
            </w:r>
          </w:p>
          <w:p w14:paraId="6417F65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建设项目环境风险评价技术导则》（HJ169-2018），本项目环境风险潜势为Ⅰ。本项目的环境风险评价工作等级为简单分析。相应评价内容主要进行风险识别和事故影响简要分析，同时提出防范、减缓和应急措施。</w:t>
            </w:r>
          </w:p>
          <w:p w14:paraId="06537D59">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2.风险物质分布情况及影响途径</w:t>
            </w:r>
          </w:p>
          <w:p w14:paraId="4BFC62D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本项目在事故状态下可能对周围环境造成污染。</w:t>
            </w:r>
          </w:p>
          <w:p w14:paraId="2C68FC6B">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（1）事故状态下大气污染途径</w:t>
            </w:r>
          </w:p>
          <w:p w14:paraId="52A869B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废机油泄漏时，挥发的油类物质通过周围大气扩散。</w:t>
            </w:r>
          </w:p>
          <w:p w14:paraId="21EB767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废机油发生火灾事故时，除了热辐射，完全燃烧产物以二氧化碳为主，二氧化碳会造成人体窒息影响；不完全燃烧则会产生大量含CO和CO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的烟气，除对人体产生窒息、刺激外，可能对环境空气造成污染。</w:t>
            </w:r>
          </w:p>
          <w:p w14:paraId="612C211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（2）事故状态下土壤及地下水</w:t>
            </w:r>
          </w:p>
          <w:p w14:paraId="74FE979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废机油暂存于危废贮存点内的废油桶内，危废贮存点地面防渗，存放区域设置围堰，正常情况下，发生废机油泄漏只要及时处理，无地下水及土壤环境影响途径。</w:t>
            </w:r>
          </w:p>
          <w:p w14:paraId="66098D8F">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本项目涉及的风险物质的分布情况如下：</w:t>
            </w:r>
          </w:p>
          <w:p w14:paraId="178898C5">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表4-28风险物质的分布情况及风险影响途径</w:t>
            </w:r>
          </w:p>
          <w:tbl>
            <w:tblPr>
              <w:tblStyle w:val="35"/>
              <w:tblW w:w="0" w:type="auto"/>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134"/>
              <w:gridCol w:w="1134"/>
              <w:gridCol w:w="1134"/>
              <w:gridCol w:w="2756"/>
              <w:gridCol w:w="1320"/>
            </w:tblGrid>
            <w:tr w14:paraId="046662F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6E596DAB">
                  <w:pPr>
                    <w:pStyle w:val="48"/>
                  </w:pPr>
                  <w:r>
                    <w:t>风险单元</w:t>
                  </w:r>
                </w:p>
              </w:tc>
              <w:tc>
                <w:tcPr>
                  <w:tcW w:w="1134" w:type="dxa"/>
                  <w:vAlign w:val="center"/>
                </w:tcPr>
                <w:p w14:paraId="77D12A7C">
                  <w:pPr>
                    <w:pStyle w:val="48"/>
                  </w:pPr>
                  <w:r>
                    <w:t>风险源</w:t>
                  </w:r>
                </w:p>
              </w:tc>
              <w:tc>
                <w:tcPr>
                  <w:tcW w:w="1134" w:type="dxa"/>
                  <w:vAlign w:val="center"/>
                </w:tcPr>
                <w:p w14:paraId="2E57D082">
                  <w:pPr>
                    <w:pStyle w:val="48"/>
                  </w:pPr>
                  <w:r>
                    <w:t>风险物质名称</w:t>
                  </w:r>
                </w:p>
              </w:tc>
              <w:tc>
                <w:tcPr>
                  <w:tcW w:w="1134" w:type="dxa"/>
                  <w:vAlign w:val="center"/>
                </w:tcPr>
                <w:p w14:paraId="79E6CFA2">
                  <w:pPr>
                    <w:pStyle w:val="48"/>
                  </w:pPr>
                  <w:r>
                    <w:t>环境风险类型</w:t>
                  </w:r>
                </w:p>
              </w:tc>
              <w:tc>
                <w:tcPr>
                  <w:tcW w:w="2756" w:type="dxa"/>
                  <w:vAlign w:val="center"/>
                </w:tcPr>
                <w:p w14:paraId="26B873D6">
                  <w:pPr>
                    <w:pStyle w:val="48"/>
                  </w:pPr>
                  <w:r>
                    <w:t>环境影响途经</w:t>
                  </w:r>
                </w:p>
              </w:tc>
              <w:tc>
                <w:tcPr>
                  <w:tcW w:w="1320" w:type="dxa"/>
                  <w:vAlign w:val="center"/>
                </w:tcPr>
                <w:p w14:paraId="0D40A77F">
                  <w:pPr>
                    <w:pStyle w:val="48"/>
                  </w:pPr>
                  <w:r>
                    <w:t>可能受影响的环境影响目标</w:t>
                  </w:r>
                </w:p>
              </w:tc>
            </w:tr>
            <w:tr w14:paraId="6580FD8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vAlign w:val="center"/>
                </w:tcPr>
                <w:p w14:paraId="66EE8D0B">
                  <w:pPr>
                    <w:pStyle w:val="48"/>
                  </w:pPr>
                  <w:r>
                    <w:t>危废贮存点</w:t>
                  </w:r>
                </w:p>
              </w:tc>
              <w:tc>
                <w:tcPr>
                  <w:tcW w:w="1134" w:type="dxa"/>
                  <w:vMerge w:val="restart"/>
                  <w:vAlign w:val="center"/>
                </w:tcPr>
                <w:p w14:paraId="68A5C280">
                  <w:pPr>
                    <w:pStyle w:val="48"/>
                  </w:pPr>
                  <w:r>
                    <w:t>危废贮存点</w:t>
                  </w:r>
                </w:p>
              </w:tc>
              <w:tc>
                <w:tcPr>
                  <w:tcW w:w="1134" w:type="dxa"/>
                  <w:vMerge w:val="restart"/>
                  <w:vAlign w:val="center"/>
                </w:tcPr>
                <w:p w14:paraId="3A238ABB">
                  <w:pPr>
                    <w:pStyle w:val="48"/>
                  </w:pPr>
                  <w:r>
                    <w:t>废机油</w:t>
                  </w:r>
                </w:p>
              </w:tc>
              <w:tc>
                <w:tcPr>
                  <w:tcW w:w="1134" w:type="dxa"/>
                  <w:vAlign w:val="center"/>
                </w:tcPr>
                <w:p w14:paraId="008E06CC">
                  <w:pPr>
                    <w:pStyle w:val="48"/>
                  </w:pPr>
                  <w:r>
                    <w:t>泄漏</w:t>
                  </w:r>
                </w:p>
              </w:tc>
              <w:tc>
                <w:tcPr>
                  <w:tcW w:w="2756" w:type="dxa"/>
                  <w:vAlign w:val="center"/>
                </w:tcPr>
                <w:p w14:paraId="63A771EF">
                  <w:pPr>
                    <w:pStyle w:val="48"/>
                  </w:pPr>
                  <w:r>
                    <w:t>挥发随大气扩散；地面防渗，废油桶存放于托盘上，正常情况下只要及时处理，无地下水及土壤环境影响途径</w:t>
                  </w:r>
                </w:p>
              </w:tc>
              <w:tc>
                <w:tcPr>
                  <w:tcW w:w="1320" w:type="dxa"/>
                  <w:vAlign w:val="center"/>
                </w:tcPr>
                <w:p w14:paraId="29CAD603">
                  <w:pPr>
                    <w:pStyle w:val="48"/>
                  </w:pPr>
                  <w:r>
                    <w:t>土壤、地下水</w:t>
                  </w:r>
                </w:p>
              </w:tc>
            </w:tr>
            <w:tr w14:paraId="0A8535A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84" w:type="dxa"/>
                  <w:vMerge w:val="continue"/>
                  <w:vAlign w:val="center"/>
                </w:tcPr>
                <w:p w14:paraId="208A9549">
                  <w:pPr>
                    <w:pStyle w:val="48"/>
                  </w:pPr>
                </w:p>
              </w:tc>
              <w:tc>
                <w:tcPr>
                  <w:tcW w:w="1134" w:type="dxa"/>
                  <w:vMerge w:val="continue"/>
                  <w:vAlign w:val="center"/>
                </w:tcPr>
                <w:p w14:paraId="7F8DCD4F">
                  <w:pPr>
                    <w:pStyle w:val="48"/>
                  </w:pPr>
                </w:p>
              </w:tc>
              <w:tc>
                <w:tcPr>
                  <w:tcW w:w="1134" w:type="dxa"/>
                  <w:vMerge w:val="continue"/>
                  <w:vAlign w:val="center"/>
                </w:tcPr>
                <w:p w14:paraId="7E0A4DF3">
                  <w:pPr>
                    <w:pStyle w:val="48"/>
                  </w:pPr>
                </w:p>
              </w:tc>
              <w:tc>
                <w:tcPr>
                  <w:tcW w:w="1134" w:type="dxa"/>
                  <w:vAlign w:val="center"/>
                </w:tcPr>
                <w:p w14:paraId="6C5D6606">
                  <w:pPr>
                    <w:pStyle w:val="48"/>
                  </w:pPr>
                  <w:r>
                    <w:t>火灾</w:t>
                  </w:r>
                </w:p>
              </w:tc>
              <w:tc>
                <w:tcPr>
                  <w:tcW w:w="2756" w:type="dxa"/>
                  <w:vAlign w:val="center"/>
                </w:tcPr>
                <w:p w14:paraId="561FF308">
                  <w:pPr>
                    <w:pStyle w:val="48"/>
                  </w:pPr>
                  <w:r>
                    <w:t>大气扩散</w:t>
                  </w:r>
                </w:p>
              </w:tc>
              <w:tc>
                <w:tcPr>
                  <w:tcW w:w="1320" w:type="dxa"/>
                  <w:vAlign w:val="center"/>
                </w:tcPr>
                <w:p w14:paraId="22BB67AE">
                  <w:pPr>
                    <w:pStyle w:val="48"/>
                  </w:pPr>
                  <w:r>
                    <w:t>环境空气</w:t>
                  </w:r>
                </w:p>
              </w:tc>
            </w:tr>
            <w:tr w14:paraId="63715DC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84" w:type="dxa"/>
                  <w:vMerge w:val="restart"/>
                  <w:vAlign w:val="center"/>
                </w:tcPr>
                <w:p w14:paraId="336857C2">
                  <w:pPr>
                    <w:pStyle w:val="48"/>
                  </w:pPr>
                  <w:r>
                    <w:t>高炉煤气管线</w:t>
                  </w:r>
                </w:p>
              </w:tc>
              <w:tc>
                <w:tcPr>
                  <w:tcW w:w="1134" w:type="dxa"/>
                  <w:vMerge w:val="restart"/>
                  <w:vAlign w:val="center"/>
                </w:tcPr>
                <w:p w14:paraId="44FB6C44">
                  <w:pPr>
                    <w:pStyle w:val="48"/>
                  </w:pPr>
                  <w:r>
                    <w:t>高炉煤气管线</w:t>
                  </w:r>
                </w:p>
              </w:tc>
              <w:tc>
                <w:tcPr>
                  <w:tcW w:w="1134" w:type="dxa"/>
                  <w:vMerge w:val="restart"/>
                  <w:vAlign w:val="center"/>
                </w:tcPr>
                <w:p w14:paraId="7C754EC8">
                  <w:pPr>
                    <w:pStyle w:val="48"/>
                  </w:pPr>
                  <w:r>
                    <w:t>CO</w:t>
                  </w:r>
                </w:p>
              </w:tc>
              <w:tc>
                <w:tcPr>
                  <w:tcW w:w="1134" w:type="dxa"/>
                  <w:vAlign w:val="center"/>
                </w:tcPr>
                <w:p w14:paraId="3B5C45F1">
                  <w:pPr>
                    <w:pStyle w:val="48"/>
                  </w:pPr>
                  <w:r>
                    <w:t>泄漏</w:t>
                  </w:r>
                </w:p>
              </w:tc>
              <w:tc>
                <w:tcPr>
                  <w:tcW w:w="2756" w:type="dxa"/>
                  <w:vAlign w:val="center"/>
                </w:tcPr>
                <w:p w14:paraId="5DF40EFB">
                  <w:pPr>
                    <w:pStyle w:val="48"/>
                  </w:pPr>
                  <w:r>
                    <w:t>管线泄漏，高炉煤气通过大气扩散影响周边大气环境</w:t>
                  </w:r>
                </w:p>
              </w:tc>
              <w:tc>
                <w:tcPr>
                  <w:tcW w:w="1320" w:type="dxa"/>
                </w:tcPr>
                <w:p w14:paraId="76EFAA9E">
                  <w:pPr>
                    <w:pStyle w:val="48"/>
                  </w:pPr>
                  <w:r>
                    <w:t>环境空气</w:t>
                  </w:r>
                </w:p>
              </w:tc>
            </w:tr>
            <w:tr w14:paraId="09C08B2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84" w:type="dxa"/>
                  <w:vMerge w:val="continue"/>
                  <w:vAlign w:val="center"/>
                </w:tcPr>
                <w:p w14:paraId="0F27177A">
                  <w:pPr>
                    <w:pStyle w:val="48"/>
                  </w:pPr>
                </w:p>
              </w:tc>
              <w:tc>
                <w:tcPr>
                  <w:tcW w:w="1134" w:type="dxa"/>
                  <w:vMerge w:val="continue"/>
                  <w:vAlign w:val="center"/>
                </w:tcPr>
                <w:p w14:paraId="69BC4CAE">
                  <w:pPr>
                    <w:pStyle w:val="48"/>
                  </w:pPr>
                </w:p>
              </w:tc>
              <w:tc>
                <w:tcPr>
                  <w:tcW w:w="1134" w:type="dxa"/>
                  <w:vMerge w:val="continue"/>
                  <w:vAlign w:val="center"/>
                </w:tcPr>
                <w:p w14:paraId="77D6933D">
                  <w:pPr>
                    <w:pStyle w:val="48"/>
                  </w:pPr>
                </w:p>
              </w:tc>
              <w:tc>
                <w:tcPr>
                  <w:tcW w:w="1134" w:type="dxa"/>
                  <w:vAlign w:val="center"/>
                </w:tcPr>
                <w:p w14:paraId="7DDB77CE">
                  <w:pPr>
                    <w:pStyle w:val="48"/>
                  </w:pPr>
                  <w:r>
                    <w:t>火灾</w:t>
                  </w:r>
                </w:p>
              </w:tc>
              <w:tc>
                <w:tcPr>
                  <w:tcW w:w="2756" w:type="dxa"/>
                  <w:vAlign w:val="center"/>
                </w:tcPr>
                <w:p w14:paraId="6790025C">
                  <w:pPr>
                    <w:pStyle w:val="48"/>
                  </w:pPr>
                  <w:r>
                    <w:t>泄漏引起的火灾，产生的污染物通过大气扩散影响周边大气环境</w:t>
                  </w:r>
                </w:p>
              </w:tc>
              <w:tc>
                <w:tcPr>
                  <w:tcW w:w="1320" w:type="dxa"/>
                </w:tcPr>
                <w:p w14:paraId="1AB76C40">
                  <w:pPr>
                    <w:pStyle w:val="48"/>
                  </w:pPr>
                  <w:r>
                    <w:t>环境空气</w:t>
                  </w:r>
                </w:p>
              </w:tc>
            </w:tr>
            <w:tr w14:paraId="60784EE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84" w:type="dxa"/>
                  <w:vMerge w:val="continue"/>
                  <w:vAlign w:val="center"/>
                </w:tcPr>
                <w:p w14:paraId="3AA6F79D">
                  <w:pPr>
                    <w:pStyle w:val="48"/>
                  </w:pPr>
                </w:p>
              </w:tc>
              <w:tc>
                <w:tcPr>
                  <w:tcW w:w="1134" w:type="dxa"/>
                  <w:vMerge w:val="continue"/>
                  <w:vAlign w:val="center"/>
                </w:tcPr>
                <w:p w14:paraId="32760E77">
                  <w:pPr>
                    <w:pStyle w:val="48"/>
                  </w:pPr>
                </w:p>
              </w:tc>
              <w:tc>
                <w:tcPr>
                  <w:tcW w:w="1134" w:type="dxa"/>
                  <w:vMerge w:val="continue"/>
                  <w:vAlign w:val="center"/>
                </w:tcPr>
                <w:p w14:paraId="7615A931">
                  <w:pPr>
                    <w:pStyle w:val="48"/>
                  </w:pPr>
                </w:p>
              </w:tc>
              <w:tc>
                <w:tcPr>
                  <w:tcW w:w="1134" w:type="dxa"/>
                  <w:vAlign w:val="center"/>
                </w:tcPr>
                <w:p w14:paraId="3808C552">
                  <w:pPr>
                    <w:pStyle w:val="48"/>
                  </w:pPr>
                  <w:r>
                    <w:t>爆炸</w:t>
                  </w:r>
                </w:p>
              </w:tc>
              <w:tc>
                <w:tcPr>
                  <w:tcW w:w="2756" w:type="dxa"/>
                  <w:vAlign w:val="center"/>
                </w:tcPr>
                <w:p w14:paraId="4386B2D4">
                  <w:pPr>
                    <w:pStyle w:val="48"/>
                  </w:pPr>
                  <w:r>
                    <w:t>泄漏引起的爆炸，产生的污染物通过大气扩散影响周边大气环境</w:t>
                  </w:r>
                </w:p>
              </w:tc>
              <w:tc>
                <w:tcPr>
                  <w:tcW w:w="1320" w:type="dxa"/>
                </w:tcPr>
                <w:p w14:paraId="21875944">
                  <w:pPr>
                    <w:pStyle w:val="48"/>
                  </w:pPr>
                  <w:r>
                    <w:t>环境空气</w:t>
                  </w:r>
                </w:p>
              </w:tc>
            </w:tr>
          </w:tbl>
          <w:p w14:paraId="027805E2">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3.环境风险分析</w:t>
            </w:r>
          </w:p>
          <w:p w14:paraId="51865C4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主要环境风险物质为废机油，主要储存位置为危废贮存点，废机油一旦泄漏可能会污染土壤和地下水，遇见明火还有火灾爆炸风险。可能影响环境空气和地下水以及土壤。项目危废贮存点建设满足防腐防渗要求，设置泄漏收集槽，配备灭火器和防火设施，对危险废物设立专项环境应急预案。通过以上措施可以有效控制废机油泄漏产生的环境影响。</w:t>
            </w:r>
          </w:p>
          <w:p w14:paraId="2A8F244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（1）废机油</w:t>
            </w:r>
          </w:p>
          <w:p w14:paraId="50708F43">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废机油泄漏对地下水环境的影响分析</w:t>
            </w:r>
          </w:p>
          <w:p w14:paraId="0934EFC2">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危险废物贮存点为混凝土浇筑加地面防渗措施，一般情况下泄漏不会直接影响地下水，极特殊情况可通过破坏防渗层进入土壤渗透影响浅层地下水。资料研究结果表明，一般烃类污染物在土壤中绝大部分集中在0～10cm及10～30cm层位中，且主要积聚在土壤表层80cm以内，一般很难下渗至2m以下。物料泄漏一般不会对潜水含水层造成影响。项目应加强管理，防止油品泄漏事故发生，和地方环境应急部门密切配合，做好风险控制准备工作。</w:t>
            </w:r>
          </w:p>
          <w:p w14:paraId="4EDEA6F7">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废机油泄漏对土壤的影响分析</w:t>
            </w:r>
          </w:p>
          <w:p w14:paraId="4EB8222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机油泄漏覆盖于地表可使土壤透气性下降、土壤理化性状发生变化。泄漏的机油如果进入土壤，渗入土壤孔隙，则使土壤透气性和呼吸作用减弱，从而使土壤质地、结构发生改变，影响土地功能。机油泄漏对土壤的污染仅限于发生事故的地区，而且主要对表层土层构成污染。一般情况下，泄漏集中于土壤表层范围内，造成土地肥力下降，改变土壤的理化性质，影响土壤正常的结构和功能。项目厂房及危废贮存点为混凝土浇筑防渗层，可保证切断泄漏与土壤的连接，以最大程度减少散落油泥进入土壤的概率，机油泄漏风险事故不会对土壤环境造成严重污染。</w:t>
            </w:r>
          </w:p>
          <w:p w14:paraId="0902220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废机油火灾事故对环境空气的影响火灾产生的主要大气污染物为CO。燃烧烟气经抬升后扩散，烟气的有效高度不仅包括面源的几何高度，还包括烟气的抬升高度。发生爆炸后，一部分转化为CO、CO</w:t>
            </w:r>
            <w:r>
              <w:rPr>
                <w:rFonts w:eastAsiaTheme="minorEastAsia"/>
                <w:color w:val="000000" w:themeColor="text1"/>
                <w:vertAlign w:val="subscript"/>
                <w14:textFill>
                  <w14:solidFill>
                    <w14:schemeClr w14:val="tx1"/>
                  </w14:solidFill>
                </w14:textFill>
              </w:rPr>
              <w:t>2</w:t>
            </w:r>
            <w:r>
              <w:rPr>
                <w:rFonts w:eastAsiaTheme="minorEastAsia"/>
                <w:color w:val="000000" w:themeColor="text1"/>
                <w14:textFill>
                  <w14:solidFill>
                    <w14:schemeClr w14:val="tx1"/>
                  </w14:solidFill>
                </w14:textFill>
              </w:rPr>
              <w:t>等新的物质，部分属于不完全燃烧，扩散后进入大气。CO可在血中与血红蛋白结合从而造成组织缺氧；轻度中毒者出现头痛、头晕、耳鸣、心悸、恶心、呕吐、无力。中度中毒者除上述症状外，还有脉快、烦躁、步态不稳、意识模糊，还有昏迷；重度患者昏迷不醒、瞳孔缩小、肌张力增加，频繁抽搐、大小便失禁等；深度中毒可致死。因此，项目应采取措施尽可能早发现危险物泄漏事故并立即采取切断源头等措施，事故发生后立即执行应急预案，协助场内人员进行及时撤离，以使对环境和人员生命财产安全的影响降到最低。</w:t>
            </w:r>
          </w:p>
          <w:p w14:paraId="31DF6E4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（2）高炉煤气</w:t>
            </w:r>
          </w:p>
          <w:p w14:paraId="6396ABE7">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高炉煤气泄漏对大气环境的影响分析</w:t>
            </w:r>
          </w:p>
          <w:p w14:paraId="264D9E6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炉煤气的主要危险物质为一氧化碳（CO）。发生泄漏时，无色无味的CO直接扩散至大气环境。由于其密度与空气相近，易在泄漏点附近低洼处或通风不良空间内积聚，形成局部高浓度污染区。CO与血红蛋白的结合能力极强，会严重阻碍血液输氧功能。短时间吸入高浓度CO可导致暴露人员出现头痛、眩晕、恶心、呕吐、乏力等中毒症状，严重时可迅速引发意识模糊、昏迷甚至死亡，属于急性高风险危害。项目煤气管道及设施应配备连续在线监测与超标报警系统，一旦发生泄漏能立即预警，并通过自动或手动方式切断气源，启动强制通风。日常须加强密封性检测与维护，从源头杜绝泄漏风险。</w:t>
            </w:r>
          </w:p>
          <w:p w14:paraId="0AC294F6">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高炉煤气发生火灾对大气环境的影响分析</w:t>
            </w:r>
          </w:p>
          <w:p w14:paraId="65D9560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高炉煤气一旦被引燃发生火灾，其主要燃烧产物仍为CO（不完全燃烧）和CO₂（完全燃烧）。火灾过程中会持续释放大量CO，伴随热辐射与火焰，对周边设施和人员构成直接威胁。燃烧烟气虽经高温抬升扩散，有助于降低近地面污染物浓度，但在不利气象条件（如静风、逆温）下，扩散受限，仍可能导致下风向局部区域CO浓度短时超标，对周边环境空气质量和人员健康造成二次影响。项目应确保煤气区域严禁明火，配备齐全的消防设施（如自动灭火系统、消防栓）和火灾报警系统。发生火灾时，必须立即切断气源、组织灭火，并疏散周边人员，防止中毒与次生灾害。</w:t>
            </w:r>
          </w:p>
          <w:p w14:paraId="5DC6B212">
            <w:pPr>
              <w:pStyle w:val="65"/>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高炉煤气发生爆炸对大气环境的影响分析</w:t>
            </w:r>
          </w:p>
          <w:p w14:paraId="2AAA40B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高炉煤气与空气混合达到爆炸极限时，遇火源可发生剧烈爆炸。爆炸瞬间产生高强度冲击波、热辐射和抛射物，对建筑物、设备和人员造成毁灭性机械破坏与烧伤。同时，爆炸中心及周边区域因不完全燃烧会生成大量CO，伴随其他有毒烟气，在爆炸后短时间内形成高浓度有毒气团，严重污染事故现场及下风向大气环境，极大增加了救援难度和人员中毒风险。项目必须从设计源头确保煤气系统的密闭性与防爆性能，在易泄漏区域设置符合规范的爆炸泄压设施和可燃气体浓度监测报警联动装置。应制定详尽的专项应急预案，定期开展演练，确保事故发生后能迅速启动应急响应，进行现场隔离、人员疏散、医疗救护和环境监测，最大限度减轻爆炸事故对生命财产和环境的综合危害。</w:t>
            </w:r>
          </w:p>
          <w:p w14:paraId="6081A710">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4.环境风险防范措施及其有效性</w:t>
            </w:r>
          </w:p>
          <w:p w14:paraId="68F2F0F1">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（1）环境风险防范措施</w:t>
            </w:r>
          </w:p>
          <w:p w14:paraId="4B124F7A">
            <w:pPr>
              <w:pStyle w:val="65"/>
              <w:ind w:firstLine="482"/>
              <w:rPr>
                <w:rFonts w:eastAsiaTheme="minorEastAsia"/>
                <w:b/>
                <w:bCs/>
                <w:color w:val="0000FF"/>
              </w:rPr>
            </w:pPr>
            <w:r>
              <w:rPr>
                <w:rFonts w:eastAsiaTheme="minorEastAsia"/>
                <w:b/>
                <w:bCs/>
                <w:color w:val="0000FF"/>
              </w:rPr>
              <w:t>危险废物管理</w:t>
            </w:r>
          </w:p>
          <w:p w14:paraId="187FD3D0">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 应及时收集本单位产生的危险废物，并按照类别分别置于防渗漏、防锐器穿透的专用包装物或者密闭的容器内；</w:t>
            </w:r>
          </w:p>
          <w:p w14:paraId="7AED99E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 危险废物使用专用包装物、容器，应当有明显的警示标志和警示说明；</w:t>
            </w:r>
          </w:p>
          <w:p w14:paraId="0835BD09">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 危废贮存点必须具有暂时贮存设施、设备，不得露天存放危险废物，危废暂时贮存的时间必须符合相关规定要求；</w:t>
            </w:r>
          </w:p>
          <w:p w14:paraId="10A1C9D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 危险废物发生泄漏、着火后，要及时分析、检测现场环境及危害程度，如着火要检测、分析火势蔓延的可能性和着火产生的有毒有害气体对人员的危害程度；</w:t>
            </w:r>
          </w:p>
          <w:p w14:paraId="29C88F67">
            <w:pPr>
              <w:pStyle w:val="65"/>
              <w:ind w:firstLine="480"/>
              <w:rPr>
                <w:rFonts w:eastAsiaTheme="minorEastAsia"/>
                <w:color w:val="000000" w:themeColor="text1"/>
                <w14:textFill>
                  <w14:solidFill>
                    <w14:schemeClr w14:val="tx1"/>
                  </w14:solidFill>
                </w14:textFill>
              </w:rPr>
            </w:pPr>
            <w:bookmarkStart w:id="10" w:name="_Hlk216016678"/>
            <w:r>
              <w:rPr>
                <w:rFonts w:eastAsiaTheme="minorEastAsia"/>
                <w:color w:val="000000" w:themeColor="text1"/>
                <w14:textFill>
                  <w14:solidFill>
                    <w14:schemeClr w14:val="tx1"/>
                  </w14:solidFill>
                </w14:textFill>
              </w:rPr>
              <w:t>e 废机油</w:t>
            </w:r>
            <w:bookmarkEnd w:id="10"/>
            <w:r>
              <w:rPr>
                <w:rFonts w:eastAsiaTheme="minorEastAsia"/>
                <w:color w:val="000000" w:themeColor="text1"/>
                <w14:textFill>
                  <w14:solidFill>
                    <w14:schemeClr w14:val="tx1"/>
                  </w14:solidFill>
                </w14:textFill>
              </w:rPr>
              <w:t>严格管理，杜绝跑、冒、滴、漏。对设备设施定期巡检，防范设备及储存设施泄漏的发生。危废贮存点地面均采取重点防渗措施。在可能发生泄漏的区域配备相应的应急物资，因突发事故产生的泄漏应立即采取有效措施，及时清理受污染的土壤以减小渗透及扩散范围。</w:t>
            </w:r>
          </w:p>
          <w:p w14:paraId="0E321D8A">
            <w:pPr>
              <w:pStyle w:val="65"/>
              <w:ind w:firstLine="482"/>
              <w:rPr>
                <w:rFonts w:eastAsiaTheme="minorEastAsia"/>
                <w:b/>
                <w:bCs/>
                <w:color w:val="0000FF"/>
              </w:rPr>
            </w:pPr>
            <w:r>
              <w:rPr>
                <w:rFonts w:eastAsiaTheme="minorEastAsia"/>
                <w:b/>
                <w:bCs/>
                <w:color w:val="0000FF"/>
              </w:rPr>
              <w:t>事故应急</w:t>
            </w:r>
          </w:p>
          <w:p w14:paraId="33A3F6A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f 发生泄漏着火事故后，及时控制致灾源；通过采取有效的控制措施迅速排除现场隐患，消除危害。建设单位是项目环境风险责任主体，必须建立健全环境管理体系，强化环境安全管理。</w:t>
            </w:r>
          </w:p>
          <w:p w14:paraId="343AFF86">
            <w:pPr>
              <w:pStyle w:val="65"/>
              <w:ind w:firstLine="482"/>
              <w:rPr>
                <w:rFonts w:eastAsiaTheme="minorEastAsia"/>
                <w:b/>
                <w:bCs/>
                <w:color w:val="0000FF"/>
              </w:rPr>
            </w:pPr>
            <w:r>
              <w:rPr>
                <w:rFonts w:eastAsiaTheme="minorEastAsia"/>
                <w:b/>
                <w:bCs/>
                <w:color w:val="0000FF"/>
              </w:rPr>
              <w:t>火灾防范</w:t>
            </w:r>
          </w:p>
          <w:p w14:paraId="566985C1">
            <w:pPr>
              <w:pStyle w:val="65"/>
              <w:ind w:firstLine="480"/>
              <w:rPr>
                <w:rFonts w:eastAsiaTheme="minorEastAsia"/>
              </w:rPr>
            </w:pPr>
            <w:r>
              <w:rPr>
                <w:rFonts w:eastAsiaTheme="minorEastAsia"/>
              </w:rPr>
              <w:t>g. 厂区内应严格防火，设立明显的禁火和禁烟标志，按照《建筑灭火器配置设计规范》（GB 50140-2005）配置相应数量和类型的灭火器。配备通讯设备、照明设施、安全防护服装及工具，并设有应急防护设施。</w:t>
            </w:r>
          </w:p>
          <w:p w14:paraId="293D214B">
            <w:pPr>
              <w:pStyle w:val="65"/>
              <w:ind w:firstLine="482"/>
              <w:rPr>
                <w:rFonts w:eastAsiaTheme="minorEastAsia"/>
                <w:b/>
                <w:bCs/>
                <w:color w:val="0000FF"/>
              </w:rPr>
            </w:pPr>
            <w:r>
              <w:rPr>
                <w:rFonts w:eastAsiaTheme="minorEastAsia"/>
                <w:b/>
                <w:bCs/>
                <w:color w:val="0000FF"/>
              </w:rPr>
              <w:t>高炉煤气风险防范</w:t>
            </w:r>
          </w:p>
          <w:p w14:paraId="29330E78">
            <w:pPr>
              <w:pStyle w:val="65"/>
              <w:ind w:firstLine="480"/>
              <w:rPr>
                <w:rFonts w:eastAsiaTheme="minorEastAsia"/>
              </w:rPr>
            </w:pPr>
            <w:r>
              <w:rPr>
                <w:rFonts w:eastAsiaTheme="minorEastAsia"/>
              </w:rPr>
              <w:t>h 高炉煤气管道采用耐腐蚀、耐压的优质管道与阀门，合理布局，减少接头与弯头；管道区域与明火源、热源保持足够安全距离，设置可靠的自动切断阀。</w:t>
            </w:r>
          </w:p>
          <w:p w14:paraId="26BECB5E">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 xml:space="preserve">i </w:t>
            </w:r>
            <w:r>
              <w:rPr>
                <w:rFonts w:eastAsiaTheme="minorEastAsia"/>
                <w:color w:val="000000" w:themeColor="text1"/>
                <w:shd w:val="clear" w:color="auto" w:fill="FFFFFF"/>
                <w14:textFill>
                  <w14:solidFill>
                    <w14:schemeClr w14:val="tx1"/>
                  </w14:solidFill>
                </w14:textFill>
              </w:rPr>
              <w:t>为巡检和检修人员配备便携式CO报警仪。</w:t>
            </w:r>
          </w:p>
          <w:p w14:paraId="008C8A5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（2）风险防范措施有效性</w:t>
            </w:r>
          </w:p>
          <w:p w14:paraId="2AA450D3">
            <w:pPr>
              <w:pStyle w:val="65"/>
              <w:ind w:firstLine="480"/>
              <w:rPr>
                <w:rFonts w:eastAsiaTheme="minorEastAsia"/>
                <w:color w:val="0000FF"/>
              </w:rPr>
            </w:pPr>
            <w:r>
              <w:rPr>
                <w:rFonts w:eastAsiaTheme="minorEastAsia"/>
                <w:color w:val="0000FF"/>
              </w:rPr>
              <w:t>本项目环境风险主要为废机油等危险废物泄漏、火灾以及高炉煤气泄漏。</w:t>
            </w:r>
          </w:p>
          <w:p w14:paraId="7CBD75FB">
            <w:pPr>
              <w:pStyle w:val="65"/>
              <w:ind w:firstLine="480"/>
              <w:rPr>
                <w:rFonts w:eastAsiaTheme="minorEastAsia"/>
                <w:color w:val="0000FF"/>
              </w:rPr>
            </w:pPr>
            <w:r>
              <w:rPr>
                <w:rFonts w:eastAsiaTheme="minorEastAsia"/>
                <w:color w:val="0000FF"/>
              </w:rPr>
              <w:t>危险废物管理方面：本项目新建10m²危险废物贮存点，严格按照《危险废物贮存污染控制标准》（GB 18597-2023）要求建设，地面采取重点防渗措施，危废采用专用容器分类存放并设置警示标识，暂存后定期委托有资质单位处置。通过上述措施，可有效防止危险废物泄漏对土壤和地下水造成污染。</w:t>
            </w:r>
          </w:p>
          <w:p w14:paraId="0B6426E5">
            <w:pPr>
              <w:pStyle w:val="65"/>
              <w:ind w:firstLine="480"/>
              <w:rPr>
                <w:rFonts w:eastAsiaTheme="minorEastAsia"/>
                <w:color w:val="0000FF"/>
              </w:rPr>
            </w:pPr>
            <w:r>
              <w:rPr>
                <w:rFonts w:eastAsiaTheme="minorEastAsia"/>
                <w:color w:val="0000FF"/>
              </w:rPr>
              <w:t>事故应急方面：危废贮存点及可能发生泄漏的区域配备应急物资，制定巡检制度并定期检查设备设施，发现泄漏可立即采取堵漏、收集、清理等措施，能够将泄漏影响控制在最小范围内。</w:t>
            </w:r>
          </w:p>
          <w:p w14:paraId="1C34CF13">
            <w:pPr>
              <w:pStyle w:val="65"/>
              <w:ind w:firstLine="480"/>
              <w:rPr>
                <w:rFonts w:eastAsiaTheme="minorEastAsia"/>
                <w:color w:val="0000FF"/>
              </w:rPr>
            </w:pPr>
            <w:r>
              <w:rPr>
                <w:rFonts w:eastAsiaTheme="minorEastAsia"/>
                <w:color w:val="0000FF"/>
              </w:rPr>
              <w:t>火灾防范方面：厂区设置禁火禁烟标志，按规范配置干粉灭火器等消防器材，可在初期火灾阶段及时扑灭，防止事故扩大。</w:t>
            </w:r>
          </w:p>
          <w:p w14:paraId="30F8C200">
            <w:pPr>
              <w:pStyle w:val="65"/>
              <w:ind w:firstLine="480"/>
              <w:rPr>
                <w:rFonts w:eastAsiaTheme="minorEastAsia"/>
                <w:color w:val="0000FF"/>
              </w:rPr>
            </w:pPr>
            <w:r>
              <w:rPr>
                <w:rFonts w:eastAsiaTheme="minorEastAsia"/>
                <w:color w:val="0000FF"/>
              </w:rPr>
              <w:t>高炉煤气方面：采用管线接入，管道选用耐腐蚀耐压材质并设置自动切断阀，巡检人员配备便携式CO报警仪，可及时发现泄漏并切断气源，有效防止煤气泄漏对周围环境及人员的影响。</w:t>
            </w:r>
          </w:p>
          <w:p w14:paraId="52375962">
            <w:pPr>
              <w:pStyle w:val="65"/>
              <w:ind w:firstLine="480"/>
              <w:rPr>
                <w:rFonts w:eastAsiaTheme="minorEastAsia"/>
                <w:color w:val="0000FF"/>
              </w:rPr>
            </w:pPr>
            <w:r>
              <w:rPr>
                <w:rFonts w:eastAsiaTheme="minorEastAsia"/>
                <w:color w:val="0000FF"/>
              </w:rPr>
              <w:t>综上所述，本项目环境风险防范措施针对性强、覆盖面完整，在严格落实上述措施的前提下，环境风险可控制在可接受水平。</w:t>
            </w:r>
          </w:p>
          <w:p w14:paraId="306CE735">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（3）分区防渗</w:t>
            </w:r>
          </w:p>
          <w:p w14:paraId="5CEEB79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本项目为防止污染地下水及土壤系统，按照《环境影响评价技术导则地下水环境》（HJ610-2016）及《危险废物贮存污染控制标准》（GB 18597-2023）要求，项目各构筑物应采取分区防渗措施。</w:t>
            </w:r>
          </w:p>
          <w:p w14:paraId="4D0605CE">
            <w:pPr>
              <w:pStyle w:val="65"/>
              <w:ind w:firstLine="480"/>
              <w:rPr>
                <w:rFonts w:eastAsiaTheme="minorEastAsia"/>
                <w:color w:val="0000FF"/>
              </w:rPr>
            </w:pPr>
            <w:r>
              <w:rPr>
                <w:rFonts w:hint="eastAsia" w:ascii="宋体" w:hAnsi="宋体" w:cs="宋体"/>
                <w:color w:val="0000FF"/>
              </w:rPr>
              <w:t>①</w:t>
            </w:r>
            <w:r>
              <w:rPr>
                <w:rFonts w:eastAsiaTheme="minorEastAsia"/>
                <w:color w:val="0000FF"/>
              </w:rPr>
              <w:t>重点防渗区</w:t>
            </w:r>
          </w:p>
          <w:p w14:paraId="7B198387">
            <w:pPr>
              <w:pStyle w:val="65"/>
              <w:ind w:firstLine="480"/>
              <w:rPr>
                <w:rFonts w:eastAsiaTheme="minorEastAsia"/>
                <w:color w:val="0000FF"/>
              </w:rPr>
            </w:pPr>
            <w:r>
              <w:rPr>
                <w:rFonts w:eastAsiaTheme="minorEastAsia"/>
                <w:color w:val="0000FF"/>
              </w:rPr>
              <w:t>危废贮存点为重点防渗区。地面采用抗渗混凝土浇筑，基层铺设不小于2mm厚高密度聚乙烯（HDPE）防渗膜或其他人工防渗材料，表面涂刷环氧树脂防渗涂层，确保防渗性能满足等效粘土防渗层Mb≥6.0m、渗透系数K≤1×10</w:t>
            </w:r>
            <w:r>
              <w:rPr>
                <w:rFonts w:eastAsia="MS Gothic"/>
                <w:color w:val="0000FF"/>
              </w:rPr>
              <w:t>⁻⁷</w:t>
            </w:r>
            <w:r>
              <w:rPr>
                <w:rFonts w:eastAsiaTheme="minorEastAsia"/>
                <w:color w:val="0000FF"/>
              </w:rPr>
              <w:t>cm/s的要求。危废贮存点内设置导流沟和收集池，泄漏物料可及时收集，防止外溢扩散。防渗工程施工完成后须进行渗透试验，合格后方可投入使用。</w:t>
            </w:r>
          </w:p>
          <w:p w14:paraId="1CD7CE20">
            <w:pPr>
              <w:pStyle w:val="65"/>
              <w:ind w:firstLine="480" w:firstLineChars="0"/>
              <w:rPr>
                <w:rFonts w:eastAsiaTheme="minorEastAsia"/>
                <w:color w:val="0000FF"/>
              </w:rPr>
            </w:pPr>
            <w:r>
              <w:rPr>
                <w:rFonts w:hint="eastAsia" w:ascii="宋体" w:hAnsi="宋体" w:cs="宋体"/>
                <w:color w:val="0000FF"/>
              </w:rPr>
              <w:t>②</w:t>
            </w:r>
            <w:r>
              <w:rPr>
                <w:rFonts w:eastAsiaTheme="minorEastAsia"/>
                <w:color w:val="0000FF"/>
              </w:rPr>
              <w:t>一般防渗区</w:t>
            </w:r>
          </w:p>
          <w:p w14:paraId="1E0B73AD">
            <w:pPr>
              <w:pStyle w:val="65"/>
              <w:ind w:firstLine="480" w:firstLineChars="0"/>
              <w:rPr>
                <w:rFonts w:eastAsiaTheme="minorEastAsia"/>
                <w:color w:val="0000FF"/>
              </w:rPr>
            </w:pPr>
            <w:r>
              <w:rPr>
                <w:rFonts w:eastAsiaTheme="minorEastAsia"/>
                <w:color w:val="0000FF"/>
              </w:rPr>
              <w:t>原料库、生产车间、烘干车间、成品库为一般防渗区。地面采用抗渗混凝土硬化，防渗性能满足等效粘土防渗层Mb≥1.5m、渗透系数K≤1×10</w:t>
            </w:r>
            <w:r>
              <w:rPr>
                <w:rFonts w:eastAsia="MS Gothic"/>
                <w:color w:val="0000FF"/>
              </w:rPr>
              <w:t>⁻⁷</w:t>
            </w:r>
            <w:r>
              <w:rPr>
                <w:rFonts w:eastAsiaTheme="minorEastAsia"/>
                <w:color w:val="0000FF"/>
              </w:rPr>
              <w:t>cm/s的要求</w:t>
            </w:r>
          </w:p>
          <w:p w14:paraId="3861635A">
            <w:pPr>
              <w:pStyle w:val="65"/>
              <w:ind w:firstLine="480" w:firstLineChars="0"/>
              <w:rPr>
                <w:rFonts w:eastAsiaTheme="minorEastAsia"/>
                <w:color w:val="0000FF"/>
              </w:rPr>
            </w:pPr>
            <w:r>
              <w:rPr>
                <w:rFonts w:hint="eastAsia" w:ascii="宋体" w:hAnsi="宋体" w:cs="宋体"/>
                <w:color w:val="0000FF"/>
              </w:rPr>
              <w:t>③</w:t>
            </w:r>
            <w:r>
              <w:rPr>
                <w:rFonts w:eastAsiaTheme="minorEastAsia"/>
                <w:color w:val="0000FF"/>
              </w:rPr>
              <w:t>简单防渗区</w:t>
            </w:r>
          </w:p>
          <w:p w14:paraId="0B2D53AF">
            <w:pPr>
              <w:pStyle w:val="65"/>
              <w:ind w:firstLine="480" w:firstLineChars="0"/>
              <w:rPr>
                <w:rFonts w:eastAsiaTheme="minorEastAsia"/>
                <w:color w:val="0000FF"/>
              </w:rPr>
            </w:pPr>
            <w:r>
              <w:rPr>
                <w:rFonts w:eastAsiaTheme="minorEastAsia"/>
                <w:color w:val="0000FF"/>
              </w:rPr>
              <w:t>厂区道路、办公区等其他区域为简单防渗区，采取一般地面硬化处理。</w:t>
            </w:r>
          </w:p>
          <w:p w14:paraId="64F007D6">
            <w:pPr>
              <w:pStyle w:val="65"/>
              <w:ind w:firstLine="480" w:firstLineChars="0"/>
              <w:rPr>
                <w:rFonts w:eastAsiaTheme="minorEastAsia"/>
                <w:color w:val="0000FF"/>
              </w:rPr>
            </w:pPr>
            <w:r>
              <w:rPr>
                <w:rFonts w:hint="eastAsia" w:ascii="宋体" w:hAnsi="宋体" w:cs="宋体"/>
                <w:color w:val="0000FF"/>
              </w:rPr>
              <w:t>④</w:t>
            </w:r>
            <w:r>
              <w:rPr>
                <w:rFonts w:eastAsiaTheme="minorEastAsia"/>
                <w:color w:val="0000FF"/>
              </w:rPr>
              <w:t>防渗措施维护管理</w:t>
            </w:r>
          </w:p>
          <w:p w14:paraId="67697D79">
            <w:pPr>
              <w:pStyle w:val="65"/>
              <w:ind w:firstLine="480" w:firstLineChars="0"/>
              <w:rPr>
                <w:rFonts w:eastAsiaTheme="minorEastAsia"/>
                <w:color w:val="0000FF"/>
              </w:rPr>
            </w:pPr>
            <w:r>
              <w:rPr>
                <w:rFonts w:eastAsiaTheme="minorEastAsia"/>
                <w:color w:val="0000FF"/>
              </w:rPr>
              <w:t>运营期应定期对重点防渗区和一般防渗区地面进行检查，发现裂缝、破损及时修补；危废贮存点的导流沟和收集池应定期清理，确保畅通有效。</w:t>
            </w:r>
          </w:p>
          <w:p w14:paraId="54FF77E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防渗分区表见下表4-29。</w:t>
            </w:r>
          </w:p>
          <w:p w14:paraId="67A7B6CD">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表4-29本项目污染防渗分区表</w:t>
            </w:r>
          </w:p>
          <w:tbl>
            <w:tblPr>
              <w:tblStyle w:val="35"/>
              <w:tblW w:w="8185"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93"/>
              <w:gridCol w:w="1500"/>
              <w:gridCol w:w="1845"/>
              <w:gridCol w:w="4047"/>
            </w:tblGrid>
            <w:tr w14:paraId="0256C74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double" w:color="auto" w:sz="2" w:space="0"/>
                    <w:left w:val="nil"/>
                    <w:bottom w:val="single" w:color="auto" w:sz="4" w:space="0"/>
                    <w:right w:val="single" w:color="auto" w:sz="4" w:space="0"/>
                  </w:tcBorders>
                  <w:vAlign w:val="center"/>
                </w:tcPr>
                <w:p w14:paraId="281CC72B">
                  <w:pPr>
                    <w:pStyle w:val="48"/>
                  </w:pPr>
                  <w:r>
                    <w:t>序号</w:t>
                  </w:r>
                </w:p>
              </w:tc>
              <w:tc>
                <w:tcPr>
                  <w:tcW w:w="1500" w:type="dxa"/>
                  <w:tcBorders>
                    <w:top w:val="double" w:color="auto" w:sz="2" w:space="0"/>
                    <w:left w:val="single" w:color="auto" w:sz="4" w:space="0"/>
                    <w:bottom w:val="single" w:color="auto" w:sz="4" w:space="0"/>
                    <w:right w:val="single" w:color="auto" w:sz="4" w:space="0"/>
                  </w:tcBorders>
                  <w:vAlign w:val="center"/>
                </w:tcPr>
                <w:p w14:paraId="7311774A">
                  <w:pPr>
                    <w:pStyle w:val="48"/>
                  </w:pPr>
                  <w:r>
                    <w:t>防渗分区</w:t>
                  </w:r>
                </w:p>
              </w:tc>
              <w:tc>
                <w:tcPr>
                  <w:tcW w:w="1845" w:type="dxa"/>
                  <w:tcBorders>
                    <w:top w:val="double" w:color="auto" w:sz="2" w:space="0"/>
                    <w:left w:val="single" w:color="auto" w:sz="4" w:space="0"/>
                    <w:bottom w:val="single" w:color="auto" w:sz="4" w:space="0"/>
                    <w:right w:val="single" w:color="auto" w:sz="4" w:space="0"/>
                  </w:tcBorders>
                  <w:vAlign w:val="center"/>
                </w:tcPr>
                <w:p w14:paraId="001A3458">
                  <w:pPr>
                    <w:pStyle w:val="48"/>
                  </w:pPr>
                  <w:r>
                    <w:t>分区位置</w:t>
                  </w:r>
                </w:p>
              </w:tc>
              <w:tc>
                <w:tcPr>
                  <w:tcW w:w="4047" w:type="dxa"/>
                  <w:tcBorders>
                    <w:top w:val="double" w:color="auto" w:sz="2" w:space="0"/>
                    <w:left w:val="single" w:color="auto" w:sz="4" w:space="0"/>
                    <w:bottom w:val="single" w:color="auto" w:sz="4" w:space="0"/>
                    <w:right w:val="nil"/>
                  </w:tcBorders>
                  <w:vAlign w:val="center"/>
                </w:tcPr>
                <w:p w14:paraId="0856BB29">
                  <w:pPr>
                    <w:pStyle w:val="48"/>
                  </w:pPr>
                  <w:r>
                    <w:t>防渗技术要求</w:t>
                  </w:r>
                </w:p>
              </w:tc>
            </w:tr>
            <w:tr w14:paraId="7F521E8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single" w:color="auto" w:sz="4" w:space="0"/>
                    <w:left w:val="nil"/>
                    <w:bottom w:val="single" w:color="auto" w:sz="4" w:space="0"/>
                    <w:right w:val="single" w:color="auto" w:sz="4" w:space="0"/>
                  </w:tcBorders>
                  <w:vAlign w:val="center"/>
                </w:tcPr>
                <w:p w14:paraId="562887B0">
                  <w:pPr>
                    <w:pStyle w:val="48"/>
                  </w:pPr>
                  <w:r>
                    <w:t>1</w:t>
                  </w:r>
                </w:p>
              </w:tc>
              <w:tc>
                <w:tcPr>
                  <w:tcW w:w="1500" w:type="dxa"/>
                  <w:tcBorders>
                    <w:top w:val="single" w:color="auto" w:sz="4" w:space="0"/>
                    <w:left w:val="single" w:color="auto" w:sz="4" w:space="0"/>
                    <w:bottom w:val="single" w:color="auto" w:sz="4" w:space="0"/>
                    <w:right w:val="single" w:color="auto" w:sz="4" w:space="0"/>
                  </w:tcBorders>
                  <w:vAlign w:val="center"/>
                </w:tcPr>
                <w:p w14:paraId="6BEA5AC2">
                  <w:pPr>
                    <w:pStyle w:val="48"/>
                  </w:pPr>
                  <w:r>
                    <w:rPr>
                      <w:kern w:val="0"/>
                    </w:rPr>
                    <w:t>重点防渗区</w:t>
                  </w:r>
                </w:p>
              </w:tc>
              <w:tc>
                <w:tcPr>
                  <w:tcW w:w="1845" w:type="dxa"/>
                  <w:tcBorders>
                    <w:top w:val="single" w:color="auto" w:sz="4" w:space="0"/>
                    <w:left w:val="single" w:color="auto" w:sz="4" w:space="0"/>
                    <w:bottom w:val="single" w:color="auto" w:sz="4" w:space="0"/>
                    <w:right w:val="single" w:color="auto" w:sz="4" w:space="0"/>
                  </w:tcBorders>
                  <w:vAlign w:val="center"/>
                </w:tcPr>
                <w:p w14:paraId="18A8BD0A">
                  <w:pPr>
                    <w:pStyle w:val="48"/>
                  </w:pPr>
                  <w:r>
                    <w:t>危废贮存点</w:t>
                  </w:r>
                </w:p>
              </w:tc>
              <w:tc>
                <w:tcPr>
                  <w:tcW w:w="4047" w:type="dxa"/>
                  <w:tcBorders>
                    <w:top w:val="single" w:color="auto" w:sz="4" w:space="0"/>
                    <w:left w:val="single" w:color="auto" w:sz="4" w:space="0"/>
                    <w:bottom w:val="single" w:color="auto" w:sz="4" w:space="0"/>
                    <w:right w:val="nil"/>
                  </w:tcBorders>
                  <w:vAlign w:val="center"/>
                </w:tcPr>
                <w:p w14:paraId="1C68E627">
                  <w:pPr>
                    <w:pStyle w:val="48"/>
                  </w:pPr>
                  <w:r>
                    <w:t>等效粘土防渗层Mb≥6.0m，K≤1×10</w:t>
                  </w:r>
                  <w:r>
                    <w:rPr>
                      <w:vertAlign w:val="superscript"/>
                    </w:rPr>
                    <w:t>-7</w:t>
                  </w:r>
                  <w:r>
                    <w:t>cm/s或参照GB 18598执行</w:t>
                  </w:r>
                </w:p>
              </w:tc>
            </w:tr>
            <w:tr w14:paraId="5658363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93" w:type="dxa"/>
                  <w:tcBorders>
                    <w:top w:val="single" w:color="auto" w:sz="4" w:space="0"/>
                    <w:left w:val="nil"/>
                    <w:bottom w:val="single" w:color="auto" w:sz="4" w:space="0"/>
                    <w:right w:val="single" w:color="auto" w:sz="4" w:space="0"/>
                  </w:tcBorders>
                  <w:vAlign w:val="center"/>
                </w:tcPr>
                <w:p w14:paraId="0C697836">
                  <w:pPr>
                    <w:pStyle w:val="48"/>
                  </w:pPr>
                  <w:r>
                    <w:t>2</w:t>
                  </w:r>
                </w:p>
              </w:tc>
              <w:tc>
                <w:tcPr>
                  <w:tcW w:w="1500" w:type="dxa"/>
                  <w:tcBorders>
                    <w:top w:val="single" w:color="auto" w:sz="4" w:space="0"/>
                    <w:left w:val="single" w:color="auto" w:sz="4" w:space="0"/>
                    <w:bottom w:val="single" w:color="auto" w:sz="4" w:space="0"/>
                    <w:right w:val="single" w:color="auto" w:sz="4" w:space="0"/>
                  </w:tcBorders>
                  <w:vAlign w:val="center"/>
                </w:tcPr>
                <w:p w14:paraId="45356365">
                  <w:pPr>
                    <w:pStyle w:val="48"/>
                    <w:rPr>
                      <w:kern w:val="0"/>
                    </w:rPr>
                  </w:pPr>
                  <w:r>
                    <w:rPr>
                      <w:kern w:val="0"/>
                    </w:rPr>
                    <w:t>一般防渗区</w:t>
                  </w:r>
                </w:p>
              </w:tc>
              <w:tc>
                <w:tcPr>
                  <w:tcW w:w="1845" w:type="dxa"/>
                  <w:tcBorders>
                    <w:top w:val="single" w:color="auto" w:sz="4" w:space="0"/>
                    <w:left w:val="single" w:color="auto" w:sz="4" w:space="0"/>
                    <w:bottom w:val="single" w:color="auto" w:sz="4" w:space="0"/>
                    <w:right w:val="single" w:color="auto" w:sz="4" w:space="0"/>
                  </w:tcBorders>
                  <w:vAlign w:val="center"/>
                </w:tcPr>
                <w:p w14:paraId="2C32E0E0">
                  <w:pPr>
                    <w:pStyle w:val="48"/>
                    <w:rPr>
                      <w:kern w:val="0"/>
                    </w:rPr>
                  </w:pPr>
                  <w:r>
                    <w:rPr>
                      <w:kern w:val="0"/>
                    </w:rPr>
                    <w:t>原料库</w:t>
                  </w:r>
                </w:p>
                <w:p w14:paraId="36E9BA48">
                  <w:pPr>
                    <w:pStyle w:val="48"/>
                  </w:pPr>
                  <w:r>
                    <w:t>生产车间</w:t>
                  </w:r>
                </w:p>
                <w:p w14:paraId="3F9C2BE1">
                  <w:pPr>
                    <w:pStyle w:val="48"/>
                  </w:pPr>
                  <w:r>
                    <w:t>烘干车间</w:t>
                  </w:r>
                </w:p>
                <w:p w14:paraId="654C3AC4">
                  <w:pPr>
                    <w:pStyle w:val="48"/>
                  </w:pPr>
                  <w:r>
                    <w:t>成品库</w:t>
                  </w:r>
                </w:p>
              </w:tc>
              <w:tc>
                <w:tcPr>
                  <w:tcW w:w="4047" w:type="dxa"/>
                  <w:tcBorders>
                    <w:top w:val="single" w:color="auto" w:sz="4" w:space="0"/>
                    <w:left w:val="single" w:color="auto" w:sz="4" w:space="0"/>
                    <w:bottom w:val="single" w:color="auto" w:sz="4" w:space="0"/>
                    <w:right w:val="nil"/>
                  </w:tcBorders>
                  <w:vAlign w:val="center"/>
                </w:tcPr>
                <w:p w14:paraId="38775DDA">
                  <w:pPr>
                    <w:pStyle w:val="48"/>
                    <w:rPr>
                      <w:kern w:val="0"/>
                    </w:rPr>
                  </w:pPr>
                  <w:r>
                    <w:t>等效粘土防渗层Mb≥1.5m，K≤1×10</w:t>
                  </w:r>
                  <w:r>
                    <w:rPr>
                      <w:vertAlign w:val="superscript"/>
                    </w:rPr>
                    <w:t>-7</w:t>
                  </w:r>
                  <w:r>
                    <w:t>cm/s或参照GB 16889执行</w:t>
                  </w:r>
                </w:p>
              </w:tc>
            </w:tr>
            <w:tr w14:paraId="0A81B31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793" w:type="dxa"/>
                  <w:tcBorders>
                    <w:top w:val="single" w:color="auto" w:sz="4" w:space="0"/>
                    <w:left w:val="nil"/>
                    <w:bottom w:val="double" w:color="auto" w:sz="2" w:space="0"/>
                    <w:right w:val="single" w:color="auto" w:sz="4" w:space="0"/>
                  </w:tcBorders>
                  <w:vAlign w:val="center"/>
                </w:tcPr>
                <w:p w14:paraId="11246A12">
                  <w:pPr>
                    <w:pStyle w:val="48"/>
                  </w:pPr>
                  <w:r>
                    <w:t>3</w:t>
                  </w:r>
                </w:p>
              </w:tc>
              <w:tc>
                <w:tcPr>
                  <w:tcW w:w="1500" w:type="dxa"/>
                  <w:tcBorders>
                    <w:top w:val="single" w:color="auto" w:sz="4" w:space="0"/>
                    <w:left w:val="single" w:color="auto" w:sz="4" w:space="0"/>
                    <w:bottom w:val="double" w:color="auto" w:sz="2" w:space="0"/>
                    <w:right w:val="single" w:color="auto" w:sz="4" w:space="0"/>
                  </w:tcBorders>
                  <w:vAlign w:val="center"/>
                </w:tcPr>
                <w:p w14:paraId="3D05EDB6">
                  <w:pPr>
                    <w:pStyle w:val="48"/>
                  </w:pPr>
                  <w:r>
                    <w:rPr>
                      <w:kern w:val="0"/>
                    </w:rPr>
                    <w:t>简单防渗区</w:t>
                  </w:r>
                </w:p>
              </w:tc>
              <w:tc>
                <w:tcPr>
                  <w:tcW w:w="1845" w:type="dxa"/>
                  <w:tcBorders>
                    <w:top w:val="single" w:color="auto" w:sz="4" w:space="0"/>
                    <w:left w:val="single" w:color="auto" w:sz="4" w:space="0"/>
                    <w:bottom w:val="double" w:color="auto" w:sz="2" w:space="0"/>
                    <w:right w:val="single" w:color="auto" w:sz="4" w:space="0"/>
                  </w:tcBorders>
                  <w:vAlign w:val="center"/>
                </w:tcPr>
                <w:p w14:paraId="277D294C">
                  <w:pPr>
                    <w:pStyle w:val="48"/>
                  </w:pPr>
                  <w:r>
                    <w:t>其他区域</w:t>
                  </w:r>
                </w:p>
              </w:tc>
              <w:tc>
                <w:tcPr>
                  <w:tcW w:w="4047" w:type="dxa"/>
                  <w:tcBorders>
                    <w:top w:val="single" w:color="auto" w:sz="4" w:space="0"/>
                    <w:left w:val="single" w:color="auto" w:sz="4" w:space="0"/>
                    <w:bottom w:val="double" w:color="auto" w:sz="2" w:space="0"/>
                    <w:right w:val="nil"/>
                  </w:tcBorders>
                  <w:vAlign w:val="center"/>
                </w:tcPr>
                <w:p w14:paraId="07A61BB5">
                  <w:pPr>
                    <w:pStyle w:val="48"/>
                  </w:pPr>
                  <w:r>
                    <w:t>一般地面硬化</w:t>
                  </w:r>
                </w:p>
              </w:tc>
            </w:tr>
          </w:tbl>
          <w:p w14:paraId="2CC04602">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5.突发环境事件应急预案</w:t>
            </w:r>
          </w:p>
          <w:p w14:paraId="674A8D9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单位应按照环发[2015]4号文《企业事业单位突发环境事件应急预案备案管理办法（试行）》中的相关要求编制应急预案，报朝阳市生态环境局朝阳县分局进行备案。同时在项目运营过程中，严格按照风险应急预案的要求做好相关预防工作，并做好相应应急准备工作。</w:t>
            </w:r>
          </w:p>
          <w:p w14:paraId="3226FC60">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6.分析结论</w:t>
            </w:r>
          </w:p>
          <w:p w14:paraId="1CACC7E4">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本项目可能发生的环境风险事故为废机油泄漏等，通过采取风险防治措施，可有效降低事故发生概率，确保泄漏等风险事故对外环境造成环境可接受。因此，本项目的环境风险可防控。</w:t>
            </w:r>
          </w:p>
          <w:p w14:paraId="2B7D4794">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表4-30建设项目环境风险简单分析内容表</w:t>
            </w:r>
          </w:p>
          <w:tbl>
            <w:tblPr>
              <w:tblStyle w:val="35"/>
              <w:tblW w:w="8438"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400"/>
              <w:gridCol w:w="703"/>
              <w:gridCol w:w="2257"/>
              <w:gridCol w:w="658"/>
              <w:gridCol w:w="2420"/>
            </w:tblGrid>
            <w:tr w14:paraId="5F9C8C0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double" w:color="auto" w:sz="2" w:space="0"/>
                    <w:left w:val="nil"/>
                    <w:bottom w:val="single" w:color="auto" w:sz="4" w:space="0"/>
                    <w:right w:val="single" w:color="auto" w:sz="4" w:space="0"/>
                  </w:tcBorders>
                  <w:vAlign w:val="center"/>
                </w:tcPr>
                <w:p w14:paraId="002FB2C4">
                  <w:pPr>
                    <w:pStyle w:val="48"/>
                  </w:pPr>
                  <w:r>
                    <w:t>建设项目名称</w:t>
                  </w:r>
                </w:p>
              </w:tc>
              <w:tc>
                <w:tcPr>
                  <w:tcW w:w="6038" w:type="dxa"/>
                  <w:gridSpan w:val="4"/>
                  <w:tcBorders>
                    <w:top w:val="double" w:color="auto" w:sz="2" w:space="0"/>
                    <w:left w:val="single" w:color="auto" w:sz="4" w:space="0"/>
                    <w:bottom w:val="single" w:color="auto" w:sz="4" w:space="0"/>
                    <w:right w:val="nil"/>
                  </w:tcBorders>
                  <w:vAlign w:val="center"/>
                </w:tcPr>
                <w:p w14:paraId="40E9ACF2">
                  <w:pPr>
                    <w:pStyle w:val="48"/>
                  </w:pPr>
                  <w:r>
                    <w:rPr>
                      <w:kern w:val="0"/>
                    </w:rPr>
                    <w:t>朝阳县佳云奇金属材料有限公司固体废物加工再利用项目</w:t>
                  </w:r>
                </w:p>
              </w:tc>
            </w:tr>
            <w:tr w14:paraId="2BB01A4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single" w:color="auto" w:sz="4" w:space="0"/>
                    <w:left w:val="nil"/>
                    <w:bottom w:val="single" w:color="auto" w:sz="4" w:space="0"/>
                    <w:right w:val="single" w:color="auto" w:sz="4" w:space="0"/>
                  </w:tcBorders>
                  <w:vAlign w:val="center"/>
                </w:tcPr>
                <w:p w14:paraId="13B558D7">
                  <w:pPr>
                    <w:pStyle w:val="48"/>
                  </w:pPr>
                  <w:r>
                    <w:t>建设地点</w:t>
                  </w:r>
                </w:p>
              </w:tc>
              <w:tc>
                <w:tcPr>
                  <w:tcW w:w="6038" w:type="dxa"/>
                  <w:gridSpan w:val="4"/>
                  <w:tcBorders>
                    <w:top w:val="single" w:color="auto" w:sz="4" w:space="0"/>
                    <w:left w:val="single" w:color="auto" w:sz="4" w:space="0"/>
                    <w:bottom w:val="single" w:color="auto" w:sz="4" w:space="0"/>
                    <w:right w:val="nil"/>
                  </w:tcBorders>
                  <w:vAlign w:val="center"/>
                </w:tcPr>
                <w:p w14:paraId="2F1DF797">
                  <w:pPr>
                    <w:pStyle w:val="48"/>
                  </w:pPr>
                  <w:r>
                    <w:rPr>
                      <w:kern w:val="0"/>
                    </w:rPr>
                    <w:t>辽宁省朝阳市朝阳县瓦房子镇上三家子村（朝阳县瓦房子镇宏兴锰矿厂区内）</w:t>
                  </w:r>
                </w:p>
              </w:tc>
            </w:tr>
            <w:tr w14:paraId="61782E1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single" w:color="auto" w:sz="4" w:space="0"/>
                    <w:left w:val="nil"/>
                    <w:bottom w:val="single" w:color="auto" w:sz="4" w:space="0"/>
                    <w:right w:val="single" w:color="auto" w:sz="4" w:space="0"/>
                  </w:tcBorders>
                  <w:vAlign w:val="center"/>
                </w:tcPr>
                <w:p w14:paraId="1DECAEAC">
                  <w:pPr>
                    <w:pStyle w:val="48"/>
                  </w:pPr>
                  <w:r>
                    <w:t>地理坐标</w:t>
                  </w:r>
                </w:p>
              </w:tc>
              <w:tc>
                <w:tcPr>
                  <w:tcW w:w="703" w:type="dxa"/>
                  <w:tcBorders>
                    <w:top w:val="single" w:color="auto" w:sz="4" w:space="0"/>
                    <w:left w:val="single" w:color="auto" w:sz="4" w:space="0"/>
                    <w:bottom w:val="single" w:color="auto" w:sz="4" w:space="0"/>
                    <w:right w:val="single" w:color="auto" w:sz="4" w:space="0"/>
                  </w:tcBorders>
                  <w:vAlign w:val="center"/>
                </w:tcPr>
                <w:p w14:paraId="1BF5BBA7">
                  <w:pPr>
                    <w:pStyle w:val="48"/>
                  </w:pPr>
                  <w:r>
                    <w:t>经度</w:t>
                  </w:r>
                </w:p>
              </w:tc>
              <w:tc>
                <w:tcPr>
                  <w:tcW w:w="2257" w:type="dxa"/>
                  <w:tcBorders>
                    <w:top w:val="single" w:color="auto" w:sz="4" w:space="0"/>
                    <w:left w:val="single" w:color="auto" w:sz="4" w:space="0"/>
                    <w:bottom w:val="single" w:color="auto" w:sz="4" w:space="0"/>
                    <w:right w:val="single" w:color="auto" w:sz="4" w:space="0"/>
                  </w:tcBorders>
                  <w:vAlign w:val="center"/>
                </w:tcPr>
                <w:p w14:paraId="3D2CADDD">
                  <w:pPr>
                    <w:pStyle w:val="48"/>
                  </w:pPr>
                  <w:r>
                    <w:t>120度8分48.593秒</w:t>
                  </w:r>
                </w:p>
              </w:tc>
              <w:tc>
                <w:tcPr>
                  <w:tcW w:w="658" w:type="dxa"/>
                  <w:tcBorders>
                    <w:top w:val="single" w:color="auto" w:sz="4" w:space="0"/>
                    <w:left w:val="single" w:color="auto" w:sz="4" w:space="0"/>
                    <w:bottom w:val="single" w:color="auto" w:sz="4" w:space="0"/>
                    <w:right w:val="single" w:color="auto" w:sz="4" w:space="0"/>
                  </w:tcBorders>
                  <w:vAlign w:val="center"/>
                </w:tcPr>
                <w:p w14:paraId="7616D9F6">
                  <w:pPr>
                    <w:pStyle w:val="48"/>
                  </w:pPr>
                  <w:r>
                    <w:t>纬度</w:t>
                  </w:r>
                </w:p>
              </w:tc>
              <w:tc>
                <w:tcPr>
                  <w:tcW w:w="2420" w:type="dxa"/>
                  <w:tcBorders>
                    <w:top w:val="single" w:color="auto" w:sz="4" w:space="0"/>
                    <w:left w:val="single" w:color="auto" w:sz="4" w:space="0"/>
                    <w:bottom w:val="single" w:color="auto" w:sz="4" w:space="0"/>
                    <w:right w:val="nil"/>
                  </w:tcBorders>
                  <w:vAlign w:val="center"/>
                </w:tcPr>
                <w:p w14:paraId="65B4BB09">
                  <w:pPr>
                    <w:pStyle w:val="48"/>
                  </w:pPr>
                  <w:r>
                    <w:t>41度5分23.265秒</w:t>
                  </w:r>
                </w:p>
              </w:tc>
            </w:tr>
            <w:tr w14:paraId="14F1E69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single" w:color="auto" w:sz="4" w:space="0"/>
                    <w:left w:val="nil"/>
                    <w:bottom w:val="single" w:color="auto" w:sz="4" w:space="0"/>
                    <w:right w:val="single" w:color="auto" w:sz="4" w:space="0"/>
                  </w:tcBorders>
                  <w:vAlign w:val="center"/>
                </w:tcPr>
                <w:p w14:paraId="5A8D4926">
                  <w:pPr>
                    <w:pStyle w:val="48"/>
                  </w:pPr>
                  <w:r>
                    <w:rPr>
                      <w:kern w:val="0"/>
                    </w:rPr>
                    <w:t>主要危险物质及分布</w:t>
                  </w:r>
                </w:p>
              </w:tc>
              <w:tc>
                <w:tcPr>
                  <w:tcW w:w="6038" w:type="dxa"/>
                  <w:gridSpan w:val="4"/>
                  <w:tcBorders>
                    <w:top w:val="single" w:color="auto" w:sz="4" w:space="0"/>
                    <w:left w:val="single" w:color="auto" w:sz="4" w:space="0"/>
                    <w:bottom w:val="single" w:color="auto" w:sz="4" w:space="0"/>
                    <w:right w:val="nil"/>
                  </w:tcBorders>
                  <w:vAlign w:val="center"/>
                </w:tcPr>
                <w:p w14:paraId="793C2F5C">
                  <w:pPr>
                    <w:pStyle w:val="48"/>
                  </w:pPr>
                  <w:r>
                    <w:rPr>
                      <w:kern w:val="0"/>
                    </w:rPr>
                    <w:t>油类物质（废机油、废油桶），位于危废贮存点内</w:t>
                  </w:r>
                </w:p>
              </w:tc>
            </w:tr>
            <w:tr w14:paraId="5F1DB16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single" w:color="auto" w:sz="4" w:space="0"/>
                    <w:left w:val="nil"/>
                    <w:bottom w:val="single" w:color="auto" w:sz="4" w:space="0"/>
                    <w:right w:val="single" w:color="auto" w:sz="4" w:space="0"/>
                  </w:tcBorders>
                  <w:vAlign w:val="center"/>
                </w:tcPr>
                <w:p w14:paraId="1F280699">
                  <w:pPr>
                    <w:pStyle w:val="48"/>
                    <w:rPr>
                      <w:kern w:val="0"/>
                    </w:rPr>
                  </w:pPr>
                  <w:r>
                    <w:rPr>
                      <w:kern w:val="0"/>
                    </w:rPr>
                    <w:t>环境影响途径及危害后果（大气、地表水、地下水等）</w:t>
                  </w:r>
                </w:p>
              </w:tc>
              <w:tc>
                <w:tcPr>
                  <w:tcW w:w="6038" w:type="dxa"/>
                  <w:gridSpan w:val="4"/>
                  <w:tcBorders>
                    <w:top w:val="single" w:color="auto" w:sz="4" w:space="0"/>
                    <w:left w:val="single" w:color="auto" w:sz="4" w:space="0"/>
                    <w:bottom w:val="single" w:color="auto" w:sz="4" w:space="0"/>
                    <w:right w:val="nil"/>
                  </w:tcBorders>
                  <w:vAlign w:val="center"/>
                </w:tcPr>
                <w:p w14:paraId="5D91E9F5">
                  <w:pPr>
                    <w:pStyle w:val="48"/>
                    <w:rPr>
                      <w:kern w:val="0"/>
                    </w:rPr>
                  </w:pPr>
                  <w:r>
                    <w:rPr>
                      <w:kern w:val="0"/>
                    </w:rPr>
                    <w:t>废机油泄漏污染土壤、地下水，火灾导致的次生环境风险；</w:t>
                  </w:r>
                </w:p>
                <w:p w14:paraId="41C935B1">
                  <w:pPr>
                    <w:pStyle w:val="48"/>
                  </w:pPr>
                  <w:r>
                    <w:rPr>
                      <w:kern w:val="0"/>
                    </w:rPr>
                    <w:t>高炉煤气泄漏，以及泄漏导致的火灾和爆炸的次生环境风险。</w:t>
                  </w:r>
                </w:p>
              </w:tc>
            </w:tr>
            <w:tr w14:paraId="24017D4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400" w:type="dxa"/>
                  <w:tcBorders>
                    <w:top w:val="single" w:color="auto" w:sz="4" w:space="0"/>
                    <w:left w:val="nil"/>
                    <w:bottom w:val="single" w:color="auto" w:sz="4" w:space="0"/>
                    <w:right w:val="single" w:color="auto" w:sz="4" w:space="0"/>
                  </w:tcBorders>
                  <w:vAlign w:val="center"/>
                </w:tcPr>
                <w:p w14:paraId="112B77B0">
                  <w:pPr>
                    <w:pStyle w:val="48"/>
                    <w:rPr>
                      <w:kern w:val="0"/>
                    </w:rPr>
                  </w:pPr>
                  <w:r>
                    <w:rPr>
                      <w:kern w:val="0"/>
                    </w:rPr>
                    <w:t>风险防范措施要求</w:t>
                  </w:r>
                </w:p>
              </w:tc>
              <w:tc>
                <w:tcPr>
                  <w:tcW w:w="6038" w:type="dxa"/>
                  <w:gridSpan w:val="4"/>
                  <w:tcBorders>
                    <w:top w:val="single" w:color="auto" w:sz="4" w:space="0"/>
                    <w:left w:val="single" w:color="auto" w:sz="4" w:space="0"/>
                    <w:bottom w:val="single" w:color="auto" w:sz="4" w:space="0"/>
                    <w:right w:val="nil"/>
                  </w:tcBorders>
                  <w:vAlign w:val="center"/>
                </w:tcPr>
                <w:p w14:paraId="4B9B686A">
                  <w:pPr>
                    <w:pStyle w:val="48"/>
                    <w:rPr>
                      <w:kern w:val="0"/>
                    </w:rPr>
                  </w:pPr>
                  <w:r>
                    <w:rPr>
                      <w:rFonts w:hint="eastAsia" w:ascii="宋体" w:hAnsi="宋体" w:eastAsia="宋体" w:cs="宋体"/>
                      <w:kern w:val="0"/>
                    </w:rPr>
                    <w:t>①</w:t>
                  </w:r>
                  <w:r>
                    <w:rPr>
                      <w:kern w:val="0"/>
                    </w:rPr>
                    <w:t>分区防渗；</w:t>
                  </w:r>
                  <w:r>
                    <w:rPr>
                      <w:rFonts w:hint="eastAsia" w:ascii="宋体" w:hAnsi="宋体" w:eastAsia="宋体" w:cs="宋体"/>
                      <w:kern w:val="0"/>
                    </w:rPr>
                    <w:t>②</w:t>
                  </w:r>
                  <w:r>
                    <w:rPr>
                      <w:kern w:val="0"/>
                    </w:rPr>
                    <w:t>加强日常环境风险管理；</w:t>
                  </w:r>
                  <w:r>
                    <w:rPr>
                      <w:rFonts w:hint="eastAsia" w:ascii="宋体" w:hAnsi="宋体" w:eastAsia="宋体" w:cs="宋体"/>
                      <w:kern w:val="0"/>
                    </w:rPr>
                    <w:t>③</w:t>
                  </w:r>
                  <w:r>
                    <w:rPr>
                      <w:kern w:val="0"/>
                    </w:rPr>
                    <w:t>编制应急预案。</w:t>
                  </w:r>
                </w:p>
              </w:tc>
            </w:tr>
            <w:tr w14:paraId="37474A0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438" w:type="dxa"/>
                  <w:gridSpan w:val="5"/>
                  <w:tcBorders>
                    <w:top w:val="single" w:color="auto" w:sz="4" w:space="0"/>
                    <w:left w:val="nil"/>
                    <w:bottom w:val="double" w:color="auto" w:sz="2" w:space="0"/>
                    <w:right w:val="nil"/>
                  </w:tcBorders>
                  <w:vAlign w:val="center"/>
                </w:tcPr>
                <w:p w14:paraId="6830E829">
                  <w:pPr>
                    <w:pStyle w:val="48"/>
                    <w:rPr>
                      <w:kern w:val="0"/>
                    </w:rPr>
                  </w:pPr>
                  <w:r>
                    <w:rPr>
                      <w:kern w:val="0"/>
                    </w:rPr>
                    <w:t>填表说明（列出项目相关信息及评价说明）：对照《建设项目环境风险评价技术导则》（HJ169-2018）中附录B中突发环境事件风险物质临界量，本项目危险物质数量与临界量比值（Q）＜1，因此环境风险潜势为Ⅰ，仅做简单分析。</w:t>
                  </w:r>
                </w:p>
              </w:tc>
            </w:tr>
          </w:tbl>
          <w:p w14:paraId="44EFE64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八、电磁辐射</w:t>
            </w:r>
          </w:p>
          <w:p w14:paraId="426215AC">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本项目不涉及。</w:t>
            </w:r>
          </w:p>
          <w:p w14:paraId="47E64632">
            <w:pPr>
              <w:pStyle w:val="65"/>
              <w:ind w:firstLine="482"/>
              <w:rPr>
                <w:rFonts w:eastAsiaTheme="minorEastAsia"/>
                <w:b/>
                <w:bCs/>
                <w:color w:val="0000FF"/>
              </w:rPr>
            </w:pPr>
            <w:r>
              <w:rPr>
                <w:rFonts w:eastAsiaTheme="minorEastAsia"/>
                <w:b/>
                <w:bCs/>
                <w:color w:val="000000" w:themeColor="text1"/>
                <w14:textFill>
                  <w14:solidFill>
                    <w14:schemeClr w14:val="tx1"/>
                  </w14:solidFill>
                </w14:textFill>
              </w:rPr>
              <w:t>九、监测计划</w:t>
            </w:r>
          </w:p>
          <w:p w14:paraId="681FB66A">
            <w:pPr>
              <w:pStyle w:val="92"/>
              <w:rPr>
                <w:rFonts w:eastAsiaTheme="minorEastAsia"/>
              </w:rPr>
            </w:pPr>
            <w:r>
              <w:rPr>
                <w:rFonts w:eastAsiaTheme="minorEastAsia"/>
              </w:rPr>
              <w:t>表4-31 监测计划表</w:t>
            </w:r>
          </w:p>
          <w:tbl>
            <w:tblPr>
              <w:tblStyle w:val="35"/>
              <w:tblW w:w="8138"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89"/>
              <w:gridCol w:w="1170"/>
              <w:gridCol w:w="1245"/>
              <w:gridCol w:w="2743"/>
            </w:tblGrid>
            <w:tr w14:paraId="51770E3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23A600F0">
                  <w:pPr>
                    <w:pStyle w:val="48"/>
                    <w:rPr>
                      <w:color w:val="0000FF"/>
                    </w:rPr>
                  </w:pPr>
                  <w:r>
                    <w:rPr>
                      <w:color w:val="0000FF"/>
                    </w:rPr>
                    <w:t>分类</w:t>
                  </w:r>
                </w:p>
              </w:tc>
              <w:tc>
                <w:tcPr>
                  <w:tcW w:w="2289" w:type="dxa"/>
                  <w:vAlign w:val="center"/>
                </w:tcPr>
                <w:p w14:paraId="327EB767">
                  <w:pPr>
                    <w:pStyle w:val="48"/>
                    <w:rPr>
                      <w:color w:val="0000FF"/>
                    </w:rPr>
                  </w:pPr>
                  <w:r>
                    <w:rPr>
                      <w:color w:val="0000FF"/>
                    </w:rPr>
                    <w:t>监测点</w:t>
                  </w:r>
                </w:p>
              </w:tc>
              <w:tc>
                <w:tcPr>
                  <w:tcW w:w="1170" w:type="dxa"/>
                  <w:vAlign w:val="center"/>
                </w:tcPr>
                <w:p w14:paraId="424EB772">
                  <w:pPr>
                    <w:pStyle w:val="48"/>
                    <w:rPr>
                      <w:color w:val="0000FF"/>
                    </w:rPr>
                  </w:pPr>
                  <w:r>
                    <w:rPr>
                      <w:color w:val="0000FF"/>
                    </w:rPr>
                    <w:t>监测项目</w:t>
                  </w:r>
                </w:p>
              </w:tc>
              <w:tc>
                <w:tcPr>
                  <w:tcW w:w="1245" w:type="dxa"/>
                  <w:vAlign w:val="center"/>
                </w:tcPr>
                <w:p w14:paraId="60E05FC3">
                  <w:pPr>
                    <w:pStyle w:val="48"/>
                    <w:rPr>
                      <w:color w:val="0000FF"/>
                    </w:rPr>
                  </w:pPr>
                  <w:r>
                    <w:rPr>
                      <w:color w:val="0000FF"/>
                    </w:rPr>
                    <w:t>监测频率</w:t>
                  </w:r>
                </w:p>
              </w:tc>
              <w:tc>
                <w:tcPr>
                  <w:tcW w:w="2743" w:type="dxa"/>
                  <w:vAlign w:val="center"/>
                </w:tcPr>
                <w:p w14:paraId="1AC6A365">
                  <w:pPr>
                    <w:pStyle w:val="48"/>
                    <w:rPr>
                      <w:color w:val="0000FF"/>
                    </w:rPr>
                  </w:pPr>
                  <w:r>
                    <w:rPr>
                      <w:color w:val="0000FF"/>
                    </w:rPr>
                    <w:t>执行标准</w:t>
                  </w:r>
                </w:p>
              </w:tc>
            </w:tr>
            <w:tr w14:paraId="31A2A37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restart"/>
                  <w:vAlign w:val="center"/>
                </w:tcPr>
                <w:p w14:paraId="5F693A7B">
                  <w:pPr>
                    <w:pStyle w:val="48"/>
                    <w:rPr>
                      <w:color w:val="0000FF"/>
                    </w:rPr>
                  </w:pPr>
                  <w:r>
                    <w:rPr>
                      <w:color w:val="0000FF"/>
                    </w:rPr>
                    <w:t>废气</w:t>
                  </w:r>
                </w:p>
              </w:tc>
              <w:tc>
                <w:tcPr>
                  <w:tcW w:w="2289" w:type="dxa"/>
                  <w:vMerge w:val="restart"/>
                  <w:vAlign w:val="center"/>
                </w:tcPr>
                <w:p w14:paraId="62F56D1A">
                  <w:pPr>
                    <w:pStyle w:val="48"/>
                    <w:rPr>
                      <w:color w:val="0000FF"/>
                    </w:rPr>
                  </w:pPr>
                  <w:r>
                    <w:rPr>
                      <w:color w:val="0000FF"/>
                    </w:rPr>
                    <w:t>DA001</w:t>
                  </w:r>
                </w:p>
              </w:tc>
              <w:tc>
                <w:tcPr>
                  <w:tcW w:w="1170" w:type="dxa"/>
                  <w:vAlign w:val="center"/>
                </w:tcPr>
                <w:p w14:paraId="7C677846">
                  <w:pPr>
                    <w:pStyle w:val="48"/>
                    <w:rPr>
                      <w:color w:val="0000FF"/>
                    </w:rPr>
                  </w:pPr>
                  <w:r>
                    <w:rPr>
                      <w:color w:val="0000FF"/>
                    </w:rPr>
                    <w:t>颗粒物</w:t>
                  </w:r>
                </w:p>
              </w:tc>
              <w:tc>
                <w:tcPr>
                  <w:tcW w:w="1245" w:type="dxa"/>
                  <w:vAlign w:val="center"/>
                </w:tcPr>
                <w:p w14:paraId="287E22F9">
                  <w:pPr>
                    <w:pStyle w:val="48"/>
                    <w:rPr>
                      <w:color w:val="0000FF"/>
                    </w:rPr>
                  </w:pPr>
                  <w:r>
                    <w:rPr>
                      <w:color w:val="0000FF"/>
                    </w:rPr>
                    <w:t>1次/年</w:t>
                  </w:r>
                </w:p>
              </w:tc>
              <w:tc>
                <w:tcPr>
                  <w:tcW w:w="2743" w:type="dxa"/>
                  <w:vAlign w:val="center"/>
                </w:tcPr>
                <w:p w14:paraId="0A106295">
                  <w:pPr>
                    <w:pStyle w:val="48"/>
                    <w:rPr>
                      <w:color w:val="0000FF"/>
                    </w:rPr>
                  </w:pPr>
                  <w:r>
                    <w:rPr>
                      <w:color w:val="0000FF"/>
                      <w:kern w:val="0"/>
                    </w:rPr>
                    <w:t>《工业炉窑大气污染物排放标准》（GB9078-1996）</w:t>
                  </w:r>
                </w:p>
              </w:tc>
            </w:tr>
            <w:tr w14:paraId="2690843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476665BF">
                  <w:pPr>
                    <w:pStyle w:val="48"/>
                    <w:rPr>
                      <w:color w:val="0000FF"/>
                    </w:rPr>
                  </w:pPr>
                </w:p>
              </w:tc>
              <w:tc>
                <w:tcPr>
                  <w:tcW w:w="2289" w:type="dxa"/>
                  <w:vMerge w:val="continue"/>
                  <w:vAlign w:val="center"/>
                </w:tcPr>
                <w:p w14:paraId="3E5A35D7">
                  <w:pPr>
                    <w:pStyle w:val="48"/>
                    <w:rPr>
                      <w:color w:val="0000FF"/>
                    </w:rPr>
                  </w:pPr>
                </w:p>
              </w:tc>
              <w:tc>
                <w:tcPr>
                  <w:tcW w:w="1170" w:type="dxa"/>
                  <w:vAlign w:val="center"/>
                </w:tcPr>
                <w:p w14:paraId="25D050B3">
                  <w:pPr>
                    <w:pStyle w:val="48"/>
                    <w:rPr>
                      <w:color w:val="0000FF"/>
                    </w:rPr>
                  </w:pPr>
                  <w:r>
                    <w:rPr>
                      <w:color w:val="0000FF"/>
                    </w:rPr>
                    <w:t>二氧化硫</w:t>
                  </w:r>
                </w:p>
              </w:tc>
              <w:tc>
                <w:tcPr>
                  <w:tcW w:w="1245" w:type="dxa"/>
                  <w:vAlign w:val="center"/>
                </w:tcPr>
                <w:p w14:paraId="43B4A377">
                  <w:pPr>
                    <w:pStyle w:val="48"/>
                    <w:rPr>
                      <w:color w:val="0000FF"/>
                    </w:rPr>
                  </w:pPr>
                  <w:r>
                    <w:rPr>
                      <w:color w:val="0000FF"/>
                    </w:rPr>
                    <w:t>1次/年</w:t>
                  </w:r>
                </w:p>
              </w:tc>
              <w:tc>
                <w:tcPr>
                  <w:tcW w:w="2743" w:type="dxa"/>
                  <w:vAlign w:val="center"/>
                </w:tcPr>
                <w:p w14:paraId="03EFEE2A">
                  <w:pPr>
                    <w:pStyle w:val="48"/>
                    <w:rPr>
                      <w:color w:val="0000FF"/>
                    </w:rPr>
                  </w:pPr>
                  <w:r>
                    <w:rPr>
                      <w:color w:val="0000FF"/>
                    </w:rPr>
                    <w:t>《大气污染物综合排放标准》（GB16297-1996）</w:t>
                  </w:r>
                </w:p>
              </w:tc>
            </w:tr>
            <w:tr w14:paraId="4A3A8E9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112E2734">
                  <w:pPr>
                    <w:pStyle w:val="48"/>
                    <w:rPr>
                      <w:color w:val="0000FF"/>
                    </w:rPr>
                  </w:pPr>
                </w:p>
              </w:tc>
              <w:tc>
                <w:tcPr>
                  <w:tcW w:w="2289" w:type="dxa"/>
                  <w:vMerge w:val="continue"/>
                  <w:vAlign w:val="center"/>
                </w:tcPr>
                <w:p w14:paraId="32A29FDA">
                  <w:pPr>
                    <w:pStyle w:val="48"/>
                    <w:rPr>
                      <w:color w:val="0000FF"/>
                    </w:rPr>
                  </w:pPr>
                </w:p>
              </w:tc>
              <w:tc>
                <w:tcPr>
                  <w:tcW w:w="1170" w:type="dxa"/>
                  <w:vAlign w:val="center"/>
                </w:tcPr>
                <w:p w14:paraId="23DB3D3F">
                  <w:pPr>
                    <w:pStyle w:val="48"/>
                    <w:rPr>
                      <w:color w:val="0000FF"/>
                    </w:rPr>
                  </w:pPr>
                  <w:r>
                    <w:rPr>
                      <w:color w:val="0000FF"/>
                    </w:rPr>
                    <w:t>氮氧化物</w:t>
                  </w:r>
                </w:p>
              </w:tc>
              <w:tc>
                <w:tcPr>
                  <w:tcW w:w="1245" w:type="dxa"/>
                  <w:vAlign w:val="center"/>
                </w:tcPr>
                <w:p w14:paraId="2CC96591">
                  <w:pPr>
                    <w:pStyle w:val="48"/>
                    <w:rPr>
                      <w:color w:val="0000FF"/>
                    </w:rPr>
                  </w:pPr>
                  <w:r>
                    <w:rPr>
                      <w:color w:val="0000FF"/>
                    </w:rPr>
                    <w:t>1次/年</w:t>
                  </w:r>
                </w:p>
              </w:tc>
              <w:tc>
                <w:tcPr>
                  <w:tcW w:w="2743" w:type="dxa"/>
                  <w:vAlign w:val="center"/>
                </w:tcPr>
                <w:p w14:paraId="454A30AF">
                  <w:pPr>
                    <w:pStyle w:val="48"/>
                    <w:rPr>
                      <w:color w:val="0000FF"/>
                    </w:rPr>
                  </w:pPr>
                  <w:r>
                    <w:rPr>
                      <w:color w:val="0000FF"/>
                    </w:rPr>
                    <w:t>《大气污染物综合排放标准》（GB16297-1996）</w:t>
                  </w:r>
                </w:p>
              </w:tc>
            </w:tr>
            <w:tr w14:paraId="5775D49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437C97E9">
                  <w:pPr>
                    <w:pStyle w:val="48"/>
                    <w:rPr>
                      <w:color w:val="0000FF"/>
                    </w:rPr>
                  </w:pPr>
                </w:p>
              </w:tc>
              <w:tc>
                <w:tcPr>
                  <w:tcW w:w="2289" w:type="dxa"/>
                  <w:vAlign w:val="center"/>
                </w:tcPr>
                <w:p w14:paraId="1DDC9ED0">
                  <w:pPr>
                    <w:pStyle w:val="48"/>
                    <w:rPr>
                      <w:color w:val="0000FF"/>
                    </w:rPr>
                  </w:pPr>
                  <w:r>
                    <w:rPr>
                      <w:color w:val="0000FF"/>
                      <w:kern w:val="0"/>
                    </w:rPr>
                    <w:t>DA002</w:t>
                  </w:r>
                </w:p>
              </w:tc>
              <w:tc>
                <w:tcPr>
                  <w:tcW w:w="1170" w:type="dxa"/>
                  <w:vAlign w:val="center"/>
                </w:tcPr>
                <w:p w14:paraId="33C54AE2">
                  <w:pPr>
                    <w:pStyle w:val="48"/>
                    <w:rPr>
                      <w:color w:val="0000FF"/>
                    </w:rPr>
                  </w:pPr>
                  <w:r>
                    <w:rPr>
                      <w:color w:val="0000FF"/>
                      <w:kern w:val="0"/>
                    </w:rPr>
                    <w:t>颗粒物</w:t>
                  </w:r>
                </w:p>
              </w:tc>
              <w:tc>
                <w:tcPr>
                  <w:tcW w:w="1245" w:type="dxa"/>
                  <w:vAlign w:val="center"/>
                </w:tcPr>
                <w:p w14:paraId="32D69838">
                  <w:pPr>
                    <w:pStyle w:val="48"/>
                    <w:rPr>
                      <w:color w:val="0000FF"/>
                    </w:rPr>
                  </w:pPr>
                  <w:r>
                    <w:rPr>
                      <w:color w:val="0000FF"/>
                      <w:kern w:val="0"/>
                    </w:rPr>
                    <w:t>1次/年</w:t>
                  </w:r>
                </w:p>
              </w:tc>
              <w:tc>
                <w:tcPr>
                  <w:tcW w:w="2743" w:type="dxa"/>
                  <w:vAlign w:val="center"/>
                </w:tcPr>
                <w:p w14:paraId="6D9A6732">
                  <w:pPr>
                    <w:pStyle w:val="48"/>
                    <w:rPr>
                      <w:color w:val="0000FF"/>
                    </w:rPr>
                  </w:pPr>
                  <w:r>
                    <w:rPr>
                      <w:color w:val="0000FF"/>
                    </w:rPr>
                    <w:t>《大气污染物综合排放标准》（GB 16297-1996）</w:t>
                  </w:r>
                </w:p>
              </w:tc>
            </w:tr>
            <w:tr w14:paraId="0D21CD8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5E6A50CB">
                  <w:pPr>
                    <w:pStyle w:val="48"/>
                    <w:rPr>
                      <w:color w:val="0000FF"/>
                    </w:rPr>
                  </w:pPr>
                </w:p>
              </w:tc>
              <w:tc>
                <w:tcPr>
                  <w:tcW w:w="2289" w:type="dxa"/>
                  <w:vAlign w:val="center"/>
                </w:tcPr>
                <w:p w14:paraId="2FAA59B5">
                  <w:pPr>
                    <w:pStyle w:val="48"/>
                    <w:rPr>
                      <w:color w:val="0000FF"/>
                    </w:rPr>
                  </w:pPr>
                  <w:r>
                    <w:rPr>
                      <w:color w:val="0000FF"/>
                    </w:rPr>
                    <w:t>有车间厂房（烘干车间入口外）</w:t>
                  </w:r>
                </w:p>
              </w:tc>
              <w:tc>
                <w:tcPr>
                  <w:tcW w:w="1170" w:type="dxa"/>
                  <w:vAlign w:val="center"/>
                </w:tcPr>
                <w:p w14:paraId="3540460D">
                  <w:pPr>
                    <w:pStyle w:val="48"/>
                    <w:rPr>
                      <w:color w:val="0000FF"/>
                    </w:rPr>
                  </w:pPr>
                  <w:r>
                    <w:rPr>
                      <w:color w:val="0000FF"/>
                    </w:rPr>
                    <w:t>颗粒物</w:t>
                  </w:r>
                </w:p>
              </w:tc>
              <w:tc>
                <w:tcPr>
                  <w:tcW w:w="1245" w:type="dxa"/>
                  <w:vAlign w:val="center"/>
                </w:tcPr>
                <w:p w14:paraId="7DCC3DA1">
                  <w:pPr>
                    <w:pStyle w:val="48"/>
                    <w:rPr>
                      <w:color w:val="0000FF"/>
                    </w:rPr>
                  </w:pPr>
                  <w:r>
                    <w:rPr>
                      <w:color w:val="0000FF"/>
                    </w:rPr>
                    <w:t>1次/年</w:t>
                  </w:r>
                </w:p>
              </w:tc>
              <w:tc>
                <w:tcPr>
                  <w:tcW w:w="2743" w:type="dxa"/>
                  <w:vAlign w:val="center"/>
                </w:tcPr>
                <w:p w14:paraId="1F6552AF">
                  <w:pPr>
                    <w:pStyle w:val="48"/>
                    <w:rPr>
                      <w:color w:val="0000FF"/>
                    </w:rPr>
                  </w:pPr>
                  <w:r>
                    <w:rPr>
                      <w:color w:val="0000FF"/>
                    </w:rPr>
                    <w:t>《工业炉窑大气污染物排放标准》（GB 9078-1996）</w:t>
                  </w:r>
                </w:p>
              </w:tc>
            </w:tr>
            <w:tr w14:paraId="0AEAA6D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64D69898">
                  <w:pPr>
                    <w:pStyle w:val="48"/>
                    <w:rPr>
                      <w:color w:val="0000FF"/>
                    </w:rPr>
                  </w:pPr>
                </w:p>
              </w:tc>
              <w:tc>
                <w:tcPr>
                  <w:tcW w:w="2289" w:type="dxa"/>
                  <w:vAlign w:val="center"/>
                </w:tcPr>
                <w:p w14:paraId="17A8F648">
                  <w:pPr>
                    <w:pStyle w:val="48"/>
                    <w:rPr>
                      <w:color w:val="0000FF"/>
                    </w:rPr>
                  </w:pPr>
                  <w:r>
                    <w:rPr>
                      <w:color w:val="0000FF"/>
                    </w:rPr>
                    <w:t>厂界上风向1个点位，下风向3个点位</w:t>
                  </w:r>
                </w:p>
              </w:tc>
              <w:tc>
                <w:tcPr>
                  <w:tcW w:w="1170" w:type="dxa"/>
                  <w:vAlign w:val="center"/>
                </w:tcPr>
                <w:p w14:paraId="47FCF3AF">
                  <w:pPr>
                    <w:pStyle w:val="48"/>
                    <w:rPr>
                      <w:color w:val="0000FF"/>
                    </w:rPr>
                  </w:pPr>
                  <w:r>
                    <w:rPr>
                      <w:color w:val="0000FF"/>
                    </w:rPr>
                    <w:t>颗粒物、二氧化硫、氮氧化物</w:t>
                  </w:r>
                </w:p>
              </w:tc>
              <w:tc>
                <w:tcPr>
                  <w:tcW w:w="1245" w:type="dxa"/>
                  <w:vAlign w:val="center"/>
                </w:tcPr>
                <w:p w14:paraId="4E1D5E02">
                  <w:pPr>
                    <w:pStyle w:val="48"/>
                    <w:rPr>
                      <w:color w:val="0000FF"/>
                    </w:rPr>
                  </w:pPr>
                  <w:r>
                    <w:rPr>
                      <w:color w:val="0000FF"/>
                    </w:rPr>
                    <w:t>1次/年</w:t>
                  </w:r>
                </w:p>
              </w:tc>
              <w:tc>
                <w:tcPr>
                  <w:tcW w:w="2743" w:type="dxa"/>
                  <w:vAlign w:val="center"/>
                </w:tcPr>
                <w:p w14:paraId="57AC5FF9">
                  <w:pPr>
                    <w:pStyle w:val="48"/>
                    <w:rPr>
                      <w:color w:val="0000FF"/>
                    </w:rPr>
                  </w:pPr>
                  <w:r>
                    <w:rPr>
                      <w:color w:val="0000FF"/>
                    </w:rPr>
                    <w:t>《大气污染物综合排放标准》（GB 16297-1996）</w:t>
                  </w:r>
                </w:p>
              </w:tc>
            </w:tr>
            <w:tr w14:paraId="290F276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vAlign w:val="center"/>
                </w:tcPr>
                <w:p w14:paraId="670FD967">
                  <w:pPr>
                    <w:pStyle w:val="48"/>
                    <w:rPr>
                      <w:color w:val="0000FF"/>
                    </w:rPr>
                  </w:pPr>
                </w:p>
              </w:tc>
              <w:tc>
                <w:tcPr>
                  <w:tcW w:w="2289" w:type="dxa"/>
                  <w:vAlign w:val="center"/>
                </w:tcPr>
                <w:p w14:paraId="661426F2">
                  <w:pPr>
                    <w:pStyle w:val="48"/>
                    <w:rPr>
                      <w:color w:val="0000FF"/>
                    </w:rPr>
                  </w:pPr>
                  <w:r>
                    <w:rPr>
                      <w:color w:val="0000FF"/>
                    </w:rPr>
                    <w:t>西南侧东沟村</w:t>
                  </w:r>
                </w:p>
              </w:tc>
              <w:tc>
                <w:tcPr>
                  <w:tcW w:w="1170" w:type="dxa"/>
                  <w:vAlign w:val="center"/>
                </w:tcPr>
                <w:p w14:paraId="2E270CA6">
                  <w:pPr>
                    <w:pStyle w:val="48"/>
                    <w:rPr>
                      <w:color w:val="0000FF"/>
                    </w:rPr>
                  </w:pPr>
                  <w:r>
                    <w:rPr>
                      <w:color w:val="0000FF"/>
                      <w:kern w:val="0"/>
                    </w:rPr>
                    <w:t>颗粒物</w:t>
                  </w:r>
                </w:p>
              </w:tc>
              <w:tc>
                <w:tcPr>
                  <w:tcW w:w="1245" w:type="dxa"/>
                  <w:vAlign w:val="center"/>
                </w:tcPr>
                <w:p w14:paraId="2B1D0403">
                  <w:pPr>
                    <w:pStyle w:val="48"/>
                    <w:rPr>
                      <w:color w:val="0000FF"/>
                    </w:rPr>
                  </w:pPr>
                  <w:r>
                    <w:rPr>
                      <w:color w:val="0000FF"/>
                      <w:kern w:val="0"/>
                    </w:rPr>
                    <w:t>1次/年</w:t>
                  </w:r>
                </w:p>
              </w:tc>
              <w:tc>
                <w:tcPr>
                  <w:tcW w:w="2743" w:type="dxa"/>
                  <w:vAlign w:val="center"/>
                </w:tcPr>
                <w:p w14:paraId="132FBA6A">
                  <w:pPr>
                    <w:pStyle w:val="48"/>
                    <w:rPr>
                      <w:color w:val="0000FF"/>
                    </w:rPr>
                  </w:pPr>
                  <w:r>
                    <w:rPr>
                      <w:color w:val="0000FF"/>
                      <w:spacing w:val="10"/>
                    </w:rPr>
                    <w:t>《环</w:t>
                  </w:r>
                  <w:r>
                    <w:rPr>
                      <w:color w:val="0000FF"/>
                      <w:spacing w:val="8"/>
                    </w:rPr>
                    <w:t>境空气质量标准》</w:t>
                  </w:r>
                  <w:r>
                    <w:rPr>
                      <w:color w:val="0000FF"/>
                      <w:spacing w:val="4"/>
                    </w:rPr>
                    <w:t>（</w:t>
                  </w:r>
                  <w:r>
                    <w:rPr>
                      <w:color w:val="0000FF"/>
                    </w:rPr>
                    <w:t xml:space="preserve">GB </w:t>
                  </w:r>
                  <w:r>
                    <w:rPr>
                      <w:color w:val="0000FF"/>
                      <w:spacing w:val="4"/>
                    </w:rPr>
                    <w:t>3095-2026）</w:t>
                  </w:r>
                </w:p>
              </w:tc>
            </w:tr>
            <w:tr w14:paraId="3C10AE9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4566C141">
                  <w:pPr>
                    <w:pStyle w:val="48"/>
                    <w:rPr>
                      <w:color w:val="0000FF"/>
                    </w:rPr>
                  </w:pPr>
                  <w:r>
                    <w:rPr>
                      <w:color w:val="0000FF"/>
                    </w:rPr>
                    <w:t>噪声</w:t>
                  </w:r>
                </w:p>
              </w:tc>
              <w:tc>
                <w:tcPr>
                  <w:tcW w:w="2289" w:type="dxa"/>
                  <w:vAlign w:val="center"/>
                </w:tcPr>
                <w:p w14:paraId="1210AE9C">
                  <w:pPr>
                    <w:pStyle w:val="48"/>
                    <w:rPr>
                      <w:color w:val="0000FF"/>
                    </w:rPr>
                  </w:pPr>
                  <w:r>
                    <w:rPr>
                      <w:color w:val="0000FF"/>
                    </w:rPr>
                    <w:t>企业边界</w:t>
                  </w:r>
                </w:p>
              </w:tc>
              <w:tc>
                <w:tcPr>
                  <w:tcW w:w="1170" w:type="dxa"/>
                  <w:vAlign w:val="center"/>
                </w:tcPr>
                <w:p w14:paraId="250761E7">
                  <w:pPr>
                    <w:pStyle w:val="48"/>
                    <w:rPr>
                      <w:color w:val="0000FF"/>
                      <w:kern w:val="0"/>
                    </w:rPr>
                  </w:pPr>
                  <w:r>
                    <w:rPr>
                      <w:color w:val="0000FF"/>
                      <w:kern w:val="0"/>
                    </w:rPr>
                    <w:t>等效声级</w:t>
                  </w:r>
                </w:p>
              </w:tc>
              <w:tc>
                <w:tcPr>
                  <w:tcW w:w="1245" w:type="dxa"/>
                  <w:vAlign w:val="center"/>
                </w:tcPr>
                <w:p w14:paraId="27439C7B">
                  <w:pPr>
                    <w:pStyle w:val="48"/>
                    <w:rPr>
                      <w:color w:val="0000FF"/>
                      <w:kern w:val="0"/>
                    </w:rPr>
                  </w:pPr>
                  <w:r>
                    <w:rPr>
                      <w:color w:val="0000FF"/>
                      <w:kern w:val="0"/>
                    </w:rPr>
                    <w:t>1次/季度</w:t>
                  </w:r>
                </w:p>
              </w:tc>
              <w:tc>
                <w:tcPr>
                  <w:tcW w:w="2743" w:type="dxa"/>
                  <w:vAlign w:val="center"/>
                </w:tcPr>
                <w:p w14:paraId="67D6F20C">
                  <w:pPr>
                    <w:pStyle w:val="48"/>
                    <w:rPr>
                      <w:color w:val="0000FF"/>
                      <w:spacing w:val="10"/>
                    </w:rPr>
                  </w:pPr>
                  <w:r>
                    <w:rPr>
                      <w:color w:val="0000FF"/>
                      <w:spacing w:val="10"/>
                    </w:rPr>
                    <w:t>《工业企业厂界环境噪声排放标准》（GB12348-2008）</w:t>
                  </w:r>
                </w:p>
              </w:tc>
            </w:tr>
          </w:tbl>
          <w:p w14:paraId="6707D1B1">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十、环保投资</w:t>
            </w:r>
          </w:p>
          <w:p w14:paraId="32045B8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建设项目总投资为600万元，其中环保投资</w:t>
            </w:r>
            <w:r>
              <w:rPr>
                <w:rFonts w:eastAsiaTheme="minorEastAsia"/>
                <w:color w:val="0000FF"/>
              </w:rPr>
              <w:t>28.4万元</w:t>
            </w:r>
            <w:r>
              <w:rPr>
                <w:rFonts w:eastAsiaTheme="minorEastAsia"/>
                <w:color w:val="000000" w:themeColor="text1"/>
                <w14:textFill>
                  <w14:solidFill>
                    <w14:schemeClr w14:val="tx1"/>
                  </w14:solidFill>
                </w14:textFill>
              </w:rPr>
              <w:t>，环保投资占</w:t>
            </w:r>
            <w:r>
              <w:rPr>
                <w:rFonts w:eastAsiaTheme="minorEastAsia"/>
                <w:color w:val="0000FF"/>
              </w:rPr>
              <w:t>4.7%</w:t>
            </w:r>
            <w:r>
              <w:rPr>
                <w:rFonts w:eastAsiaTheme="minorEastAsia"/>
                <w:color w:val="000000" w:themeColor="text1"/>
                <w14:textFill>
                  <w14:solidFill>
                    <w14:schemeClr w14:val="tx1"/>
                  </w14:solidFill>
                </w14:textFill>
              </w:rPr>
              <w:t>。环保投资一览表见表4-32。</w:t>
            </w:r>
          </w:p>
          <w:p w14:paraId="6C3816EB">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表4-32环保投资一览表</w:t>
            </w:r>
          </w:p>
          <w:tbl>
            <w:tblPr>
              <w:tblStyle w:val="35"/>
              <w:tblW w:w="8116" w:type="dxa"/>
              <w:jc w:val="center"/>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925"/>
              <w:gridCol w:w="1391"/>
              <w:gridCol w:w="4637"/>
              <w:gridCol w:w="1163"/>
            </w:tblGrid>
            <w:tr w14:paraId="237C3E9F">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925" w:type="dxa"/>
                  <w:tcBorders>
                    <w:top w:val="double" w:color="000000" w:sz="2" w:space="0"/>
                    <w:left w:val="nil"/>
                    <w:bottom w:val="single" w:color="000000" w:sz="2" w:space="0"/>
                    <w:right w:val="single" w:color="000000" w:sz="2" w:space="0"/>
                  </w:tcBorders>
                  <w:vAlign w:val="center"/>
                </w:tcPr>
                <w:p w14:paraId="3ED41D26">
                  <w:pPr>
                    <w:pStyle w:val="48"/>
                  </w:pPr>
                  <w:r>
                    <w:t>类型</w:t>
                  </w:r>
                </w:p>
              </w:tc>
              <w:tc>
                <w:tcPr>
                  <w:tcW w:w="1391" w:type="dxa"/>
                  <w:tcBorders>
                    <w:top w:val="double" w:color="000000" w:sz="2" w:space="0"/>
                    <w:left w:val="single" w:color="000000" w:sz="2" w:space="0"/>
                    <w:bottom w:val="single" w:color="000000" w:sz="2" w:space="0"/>
                    <w:right w:val="single" w:color="000000" w:sz="2" w:space="0"/>
                  </w:tcBorders>
                  <w:vAlign w:val="center"/>
                </w:tcPr>
                <w:p w14:paraId="6A6F044F">
                  <w:pPr>
                    <w:pStyle w:val="48"/>
                  </w:pPr>
                  <w:r>
                    <w:rPr>
                      <w:spacing w:val="6"/>
                    </w:rPr>
                    <w:t>项目</w:t>
                  </w:r>
                </w:p>
              </w:tc>
              <w:tc>
                <w:tcPr>
                  <w:tcW w:w="4637" w:type="dxa"/>
                  <w:tcBorders>
                    <w:top w:val="double" w:color="000000" w:sz="2" w:space="0"/>
                    <w:left w:val="single" w:color="000000" w:sz="2" w:space="0"/>
                    <w:bottom w:val="single" w:color="000000" w:sz="2" w:space="0"/>
                    <w:right w:val="single" w:color="000000" w:sz="2" w:space="0"/>
                  </w:tcBorders>
                  <w:vAlign w:val="center"/>
                </w:tcPr>
                <w:p w14:paraId="40052BCE">
                  <w:pPr>
                    <w:pStyle w:val="48"/>
                  </w:pPr>
                  <w:r>
                    <w:rPr>
                      <w:spacing w:val="7"/>
                    </w:rPr>
                    <w:t>环保设施</w:t>
                  </w:r>
                </w:p>
              </w:tc>
              <w:tc>
                <w:tcPr>
                  <w:tcW w:w="1163" w:type="dxa"/>
                  <w:tcBorders>
                    <w:top w:val="double" w:color="000000" w:sz="2" w:space="0"/>
                    <w:left w:val="single" w:color="000000" w:sz="2" w:space="0"/>
                    <w:bottom w:val="single" w:color="000000" w:sz="2" w:space="0"/>
                    <w:right w:val="nil"/>
                  </w:tcBorders>
                  <w:vAlign w:val="center"/>
                </w:tcPr>
                <w:p w14:paraId="216E6743">
                  <w:pPr>
                    <w:pStyle w:val="48"/>
                  </w:pPr>
                  <w:r>
                    <w:rPr>
                      <w:spacing w:val="7"/>
                    </w:rPr>
                    <w:t>环保投资</w:t>
                  </w:r>
                  <w:r>
                    <w:rPr>
                      <w:spacing w:val="2"/>
                    </w:rPr>
                    <w:t>（万元）</w:t>
                  </w:r>
                </w:p>
              </w:tc>
            </w:tr>
            <w:tr w14:paraId="00934845">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restart"/>
                  <w:tcBorders>
                    <w:top w:val="single" w:color="000000" w:sz="2" w:space="0"/>
                    <w:left w:val="nil"/>
                    <w:bottom w:val="single" w:color="000000" w:sz="2" w:space="0"/>
                    <w:right w:val="single" w:color="000000" w:sz="2" w:space="0"/>
                  </w:tcBorders>
                  <w:vAlign w:val="center"/>
                </w:tcPr>
                <w:p w14:paraId="707B25F6">
                  <w:pPr>
                    <w:pStyle w:val="48"/>
                  </w:pPr>
                  <w:r>
                    <w:t>环保措施</w:t>
                  </w:r>
                </w:p>
              </w:tc>
              <w:tc>
                <w:tcPr>
                  <w:tcW w:w="1391" w:type="dxa"/>
                  <w:vMerge w:val="restart"/>
                  <w:tcBorders>
                    <w:top w:val="single" w:color="000000" w:sz="2" w:space="0"/>
                    <w:left w:val="single" w:color="000000" w:sz="2" w:space="0"/>
                    <w:bottom w:val="single" w:color="000000" w:sz="2" w:space="0"/>
                    <w:right w:val="single" w:color="000000" w:sz="2" w:space="0"/>
                  </w:tcBorders>
                  <w:vAlign w:val="center"/>
                </w:tcPr>
                <w:p w14:paraId="3F6C4428">
                  <w:pPr>
                    <w:pStyle w:val="48"/>
                    <w:rPr>
                      <w:spacing w:val="6"/>
                    </w:rPr>
                  </w:pPr>
                  <w:r>
                    <w:rPr>
                      <w:spacing w:val="6"/>
                    </w:rPr>
                    <w:t>废气</w:t>
                  </w:r>
                </w:p>
              </w:tc>
              <w:tc>
                <w:tcPr>
                  <w:tcW w:w="4637" w:type="dxa"/>
                  <w:tcBorders>
                    <w:top w:val="single" w:color="000000" w:sz="2" w:space="0"/>
                    <w:left w:val="single" w:color="000000" w:sz="2" w:space="0"/>
                    <w:bottom w:val="single" w:color="000000" w:sz="2" w:space="0"/>
                    <w:right w:val="single" w:color="000000" w:sz="2" w:space="0"/>
                  </w:tcBorders>
                  <w:vAlign w:val="center"/>
                </w:tcPr>
                <w:p w14:paraId="377F7AB0">
                  <w:pPr>
                    <w:pStyle w:val="48"/>
                  </w:pPr>
                  <w:r>
                    <w:t>2套脉冲袋式除尘器+2根15m排气筒（DA001、DA002），投料口、混料机、造球机各配套集气罩1个，集气罩合计3个</w:t>
                  </w:r>
                </w:p>
              </w:tc>
              <w:tc>
                <w:tcPr>
                  <w:tcW w:w="1163" w:type="dxa"/>
                  <w:tcBorders>
                    <w:top w:val="single" w:color="000000" w:sz="2" w:space="0"/>
                    <w:left w:val="single" w:color="000000" w:sz="2" w:space="0"/>
                    <w:bottom w:val="single" w:color="000000" w:sz="2" w:space="0"/>
                    <w:right w:val="nil"/>
                  </w:tcBorders>
                  <w:vAlign w:val="center"/>
                </w:tcPr>
                <w:p w14:paraId="309288B5">
                  <w:pPr>
                    <w:pStyle w:val="48"/>
                    <w:rPr>
                      <w:spacing w:val="7"/>
                    </w:rPr>
                  </w:pPr>
                  <w:r>
                    <w:rPr>
                      <w:spacing w:val="7"/>
                    </w:rPr>
                    <w:t>13</w:t>
                  </w:r>
                </w:p>
              </w:tc>
            </w:tr>
            <w:tr w14:paraId="16FBA6A1">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2D48419B">
                  <w:pPr>
                    <w:pStyle w:val="48"/>
                  </w:pPr>
                </w:p>
              </w:tc>
              <w:tc>
                <w:tcPr>
                  <w:tcW w:w="1391" w:type="dxa"/>
                  <w:vMerge w:val="continue"/>
                  <w:tcBorders>
                    <w:top w:val="single" w:color="000000" w:sz="2" w:space="0"/>
                    <w:left w:val="single" w:color="000000" w:sz="2" w:space="0"/>
                    <w:bottom w:val="single" w:color="000000" w:sz="2" w:space="0"/>
                    <w:right w:val="single" w:color="000000" w:sz="2" w:space="0"/>
                  </w:tcBorders>
                  <w:vAlign w:val="center"/>
                </w:tcPr>
                <w:p w14:paraId="4809962D">
                  <w:pPr>
                    <w:pStyle w:val="48"/>
                    <w:rPr>
                      <w:spacing w:val="6"/>
                    </w:rPr>
                  </w:pPr>
                </w:p>
              </w:tc>
              <w:tc>
                <w:tcPr>
                  <w:tcW w:w="4637" w:type="dxa"/>
                  <w:tcBorders>
                    <w:top w:val="single" w:color="000000" w:sz="2" w:space="0"/>
                    <w:left w:val="single" w:color="000000" w:sz="2" w:space="0"/>
                    <w:bottom w:val="single" w:color="000000" w:sz="2" w:space="0"/>
                    <w:right w:val="single" w:color="000000" w:sz="2" w:space="0"/>
                  </w:tcBorders>
                  <w:vAlign w:val="center"/>
                </w:tcPr>
                <w:p w14:paraId="32D30A89">
                  <w:pPr>
                    <w:pStyle w:val="48"/>
                  </w:pPr>
                  <w:r>
                    <w:t>物料输送采取封闭廊道，设备与输送带衔接处通过软连接封闭。</w:t>
                  </w:r>
                </w:p>
              </w:tc>
              <w:tc>
                <w:tcPr>
                  <w:tcW w:w="1163" w:type="dxa"/>
                  <w:tcBorders>
                    <w:top w:val="single" w:color="000000" w:sz="2" w:space="0"/>
                    <w:left w:val="single" w:color="000000" w:sz="2" w:space="0"/>
                    <w:bottom w:val="single" w:color="000000" w:sz="2" w:space="0"/>
                    <w:right w:val="nil"/>
                  </w:tcBorders>
                  <w:vAlign w:val="center"/>
                </w:tcPr>
                <w:p w14:paraId="6548052E">
                  <w:pPr>
                    <w:pStyle w:val="48"/>
                    <w:rPr>
                      <w:color w:val="0000FF"/>
                      <w:spacing w:val="7"/>
                    </w:rPr>
                  </w:pPr>
                  <w:r>
                    <w:rPr>
                      <w:color w:val="0000FF"/>
                      <w:spacing w:val="7"/>
                    </w:rPr>
                    <w:t>0.6</w:t>
                  </w:r>
                </w:p>
              </w:tc>
            </w:tr>
            <w:tr w14:paraId="5B89E5B9">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4F343E10">
                  <w:pPr>
                    <w:pStyle w:val="48"/>
                  </w:pPr>
                </w:p>
              </w:tc>
              <w:tc>
                <w:tcPr>
                  <w:tcW w:w="1391" w:type="dxa"/>
                  <w:vMerge w:val="continue"/>
                  <w:tcBorders>
                    <w:top w:val="single" w:color="000000" w:sz="2" w:space="0"/>
                    <w:left w:val="single" w:color="000000" w:sz="2" w:space="0"/>
                    <w:bottom w:val="single" w:color="000000" w:sz="2" w:space="0"/>
                    <w:right w:val="single" w:color="000000" w:sz="2" w:space="0"/>
                  </w:tcBorders>
                  <w:vAlign w:val="center"/>
                </w:tcPr>
                <w:p w14:paraId="223DC1E8">
                  <w:pPr>
                    <w:pStyle w:val="48"/>
                    <w:rPr>
                      <w:spacing w:val="6"/>
                    </w:rPr>
                  </w:pPr>
                </w:p>
              </w:tc>
              <w:tc>
                <w:tcPr>
                  <w:tcW w:w="4637" w:type="dxa"/>
                  <w:tcBorders>
                    <w:top w:val="single" w:color="000000" w:sz="2" w:space="0"/>
                    <w:left w:val="single" w:color="000000" w:sz="2" w:space="0"/>
                    <w:bottom w:val="single" w:color="000000" w:sz="2" w:space="0"/>
                    <w:right w:val="single" w:color="000000" w:sz="2" w:space="0"/>
                  </w:tcBorders>
                  <w:vAlign w:val="center"/>
                </w:tcPr>
                <w:p w14:paraId="3644AFCF">
                  <w:pPr>
                    <w:pStyle w:val="48"/>
                  </w:pPr>
                  <w:r>
                    <w:t>脱硫塔</w:t>
                  </w:r>
                </w:p>
              </w:tc>
              <w:tc>
                <w:tcPr>
                  <w:tcW w:w="1163" w:type="dxa"/>
                  <w:tcBorders>
                    <w:top w:val="single" w:color="000000" w:sz="2" w:space="0"/>
                    <w:left w:val="single" w:color="000000" w:sz="2" w:space="0"/>
                    <w:bottom w:val="single" w:color="000000" w:sz="2" w:space="0"/>
                    <w:right w:val="nil"/>
                  </w:tcBorders>
                  <w:vAlign w:val="center"/>
                </w:tcPr>
                <w:p w14:paraId="04195977">
                  <w:pPr>
                    <w:pStyle w:val="48"/>
                    <w:rPr>
                      <w:color w:val="0000FF"/>
                      <w:spacing w:val="7"/>
                    </w:rPr>
                  </w:pPr>
                  <w:r>
                    <w:rPr>
                      <w:color w:val="0000FF"/>
                      <w:spacing w:val="7"/>
                    </w:rPr>
                    <w:t>6</w:t>
                  </w:r>
                </w:p>
              </w:tc>
            </w:tr>
            <w:tr w14:paraId="439318B6">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543ECC96">
                  <w:pPr>
                    <w:pStyle w:val="48"/>
                  </w:pPr>
                </w:p>
              </w:tc>
              <w:tc>
                <w:tcPr>
                  <w:tcW w:w="1391" w:type="dxa"/>
                  <w:vMerge w:val="continue"/>
                  <w:tcBorders>
                    <w:top w:val="single" w:color="000000" w:sz="2" w:space="0"/>
                    <w:left w:val="single" w:color="000000" w:sz="2" w:space="0"/>
                    <w:bottom w:val="single" w:color="000000" w:sz="2" w:space="0"/>
                    <w:right w:val="single" w:color="000000" w:sz="2" w:space="0"/>
                  </w:tcBorders>
                  <w:vAlign w:val="center"/>
                </w:tcPr>
                <w:p w14:paraId="083B834B">
                  <w:pPr>
                    <w:pStyle w:val="48"/>
                    <w:rPr>
                      <w:spacing w:val="6"/>
                    </w:rPr>
                  </w:pPr>
                </w:p>
              </w:tc>
              <w:tc>
                <w:tcPr>
                  <w:tcW w:w="4637" w:type="dxa"/>
                  <w:tcBorders>
                    <w:top w:val="single" w:color="000000" w:sz="2" w:space="0"/>
                    <w:left w:val="single" w:color="000000" w:sz="2" w:space="0"/>
                    <w:bottom w:val="single" w:color="000000" w:sz="2" w:space="0"/>
                    <w:right w:val="single" w:color="000000" w:sz="2" w:space="0"/>
                  </w:tcBorders>
                  <w:vAlign w:val="center"/>
                </w:tcPr>
                <w:p w14:paraId="6E287DD4">
                  <w:pPr>
                    <w:pStyle w:val="48"/>
                  </w:pPr>
                  <w:r>
                    <w:t>运输：运输车辆进行覆盖，道路洒水抑尘。</w:t>
                  </w:r>
                </w:p>
              </w:tc>
              <w:tc>
                <w:tcPr>
                  <w:tcW w:w="1163" w:type="dxa"/>
                  <w:tcBorders>
                    <w:top w:val="single" w:color="000000" w:sz="2" w:space="0"/>
                    <w:left w:val="single" w:color="000000" w:sz="2" w:space="0"/>
                    <w:bottom w:val="single" w:color="000000" w:sz="2" w:space="0"/>
                    <w:right w:val="nil"/>
                  </w:tcBorders>
                  <w:vAlign w:val="center"/>
                </w:tcPr>
                <w:p w14:paraId="227026F4">
                  <w:pPr>
                    <w:pStyle w:val="48"/>
                    <w:rPr>
                      <w:color w:val="0000FF"/>
                      <w:spacing w:val="7"/>
                    </w:rPr>
                  </w:pPr>
                  <w:r>
                    <w:rPr>
                      <w:color w:val="0000FF"/>
                      <w:spacing w:val="7"/>
                    </w:rPr>
                    <w:t>0.3</w:t>
                  </w:r>
                </w:p>
              </w:tc>
            </w:tr>
            <w:tr w14:paraId="2DA60C4F">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7D27CF30">
                  <w:pPr>
                    <w:pStyle w:val="48"/>
                  </w:pPr>
                </w:p>
              </w:tc>
              <w:tc>
                <w:tcPr>
                  <w:tcW w:w="1391" w:type="dxa"/>
                  <w:tcBorders>
                    <w:top w:val="single" w:color="000000" w:sz="2" w:space="0"/>
                    <w:left w:val="single" w:color="000000" w:sz="2" w:space="0"/>
                    <w:bottom w:val="single" w:color="000000" w:sz="2" w:space="0"/>
                    <w:right w:val="single" w:color="000000" w:sz="2" w:space="0"/>
                  </w:tcBorders>
                  <w:vAlign w:val="center"/>
                </w:tcPr>
                <w:p w14:paraId="7B4452CE">
                  <w:pPr>
                    <w:pStyle w:val="48"/>
                    <w:rPr>
                      <w:spacing w:val="6"/>
                    </w:rPr>
                  </w:pPr>
                  <w:r>
                    <w:t>噪声</w:t>
                  </w:r>
                </w:p>
              </w:tc>
              <w:tc>
                <w:tcPr>
                  <w:tcW w:w="4637" w:type="dxa"/>
                  <w:tcBorders>
                    <w:top w:val="single" w:color="000000" w:sz="2" w:space="0"/>
                    <w:left w:val="single" w:color="000000" w:sz="2" w:space="0"/>
                    <w:bottom w:val="single" w:color="000000" w:sz="2" w:space="0"/>
                    <w:right w:val="single" w:color="000000" w:sz="2" w:space="0"/>
                  </w:tcBorders>
                  <w:vAlign w:val="center"/>
                </w:tcPr>
                <w:p w14:paraId="0729981C">
                  <w:pPr>
                    <w:pStyle w:val="48"/>
                    <w:rPr>
                      <w:kern w:val="0"/>
                    </w:rPr>
                  </w:pPr>
                  <w:r>
                    <w:rPr>
                      <w:kern w:val="0"/>
                    </w:rPr>
                    <w:t>厂界加强绿化，选用低噪声设备，采取隔声、减振、消声等降噪措施；加强运输车辆管理，合理安排运输时间，严禁车辆超速超载运输。</w:t>
                  </w:r>
                </w:p>
              </w:tc>
              <w:tc>
                <w:tcPr>
                  <w:tcW w:w="1163" w:type="dxa"/>
                  <w:tcBorders>
                    <w:top w:val="single" w:color="000000" w:sz="2" w:space="0"/>
                    <w:left w:val="single" w:color="000000" w:sz="2" w:space="0"/>
                    <w:bottom w:val="single" w:color="000000" w:sz="2" w:space="0"/>
                    <w:right w:val="nil"/>
                  </w:tcBorders>
                  <w:vAlign w:val="center"/>
                </w:tcPr>
                <w:p w14:paraId="61BD139B">
                  <w:pPr>
                    <w:pStyle w:val="48"/>
                    <w:rPr>
                      <w:color w:val="0000FF"/>
                      <w:spacing w:val="7"/>
                    </w:rPr>
                  </w:pPr>
                  <w:r>
                    <w:rPr>
                      <w:color w:val="0000FF"/>
                      <w:spacing w:val="7"/>
                    </w:rPr>
                    <w:t>0.6</w:t>
                  </w:r>
                </w:p>
              </w:tc>
            </w:tr>
            <w:tr w14:paraId="21C618A2">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5632F4DC">
                  <w:pPr>
                    <w:pStyle w:val="48"/>
                  </w:pPr>
                </w:p>
              </w:tc>
              <w:tc>
                <w:tcPr>
                  <w:tcW w:w="1391" w:type="dxa"/>
                  <w:vMerge w:val="restart"/>
                  <w:tcBorders>
                    <w:top w:val="single" w:color="000000" w:sz="2" w:space="0"/>
                    <w:left w:val="single" w:color="000000" w:sz="2" w:space="0"/>
                    <w:bottom w:val="single" w:color="000000" w:sz="2" w:space="0"/>
                    <w:right w:val="single" w:color="000000" w:sz="2" w:space="0"/>
                  </w:tcBorders>
                  <w:vAlign w:val="center"/>
                </w:tcPr>
                <w:p w14:paraId="7BE884AB">
                  <w:pPr>
                    <w:pStyle w:val="48"/>
                    <w:rPr>
                      <w:spacing w:val="7"/>
                    </w:rPr>
                  </w:pPr>
                  <w:r>
                    <w:t>固废</w:t>
                  </w:r>
                </w:p>
              </w:tc>
              <w:tc>
                <w:tcPr>
                  <w:tcW w:w="4637" w:type="dxa"/>
                  <w:tcBorders>
                    <w:top w:val="single" w:color="000000" w:sz="2" w:space="0"/>
                    <w:left w:val="single" w:color="000000" w:sz="2" w:space="0"/>
                    <w:bottom w:val="single" w:color="000000" w:sz="2" w:space="0"/>
                    <w:right w:val="single" w:color="000000" w:sz="2" w:space="0"/>
                  </w:tcBorders>
                  <w:vAlign w:val="center"/>
                </w:tcPr>
                <w:p w14:paraId="223691C7">
                  <w:pPr>
                    <w:pStyle w:val="48"/>
                    <w:rPr>
                      <w:kern w:val="21"/>
                    </w:rPr>
                  </w:pPr>
                  <w:r>
                    <w:t>30m</w:t>
                  </w:r>
                  <w:r>
                    <w:rPr>
                      <w:vertAlign w:val="superscript"/>
                    </w:rPr>
                    <w:t>2</w:t>
                  </w:r>
                  <w:r>
                    <w:rPr>
                      <w:kern w:val="21"/>
                    </w:rPr>
                    <w:t>一般固废间1座，用于暂存脱硫石膏、</w:t>
                  </w:r>
                  <w:r>
                    <w:rPr>
                      <w:color w:val="0000FF"/>
                      <w:kern w:val="21"/>
                    </w:rPr>
                    <w:t>沉淀池沉淀。</w:t>
                  </w:r>
                </w:p>
              </w:tc>
              <w:tc>
                <w:tcPr>
                  <w:tcW w:w="1163" w:type="dxa"/>
                  <w:tcBorders>
                    <w:top w:val="single" w:color="000000" w:sz="2" w:space="0"/>
                    <w:left w:val="single" w:color="000000" w:sz="2" w:space="0"/>
                    <w:bottom w:val="single" w:color="000000" w:sz="2" w:space="0"/>
                    <w:right w:val="nil"/>
                  </w:tcBorders>
                  <w:vAlign w:val="center"/>
                </w:tcPr>
                <w:p w14:paraId="22834A4C">
                  <w:pPr>
                    <w:pStyle w:val="48"/>
                    <w:rPr>
                      <w:color w:val="0000FF"/>
                      <w:spacing w:val="7"/>
                    </w:rPr>
                  </w:pPr>
                  <w:r>
                    <w:rPr>
                      <w:color w:val="0000FF"/>
                      <w:spacing w:val="7"/>
                    </w:rPr>
                    <w:t>0.8</w:t>
                  </w:r>
                </w:p>
              </w:tc>
            </w:tr>
            <w:tr w14:paraId="77AFBDFB">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47ABBC38">
                  <w:pPr>
                    <w:pStyle w:val="48"/>
                  </w:pPr>
                </w:p>
              </w:tc>
              <w:tc>
                <w:tcPr>
                  <w:tcW w:w="1391" w:type="dxa"/>
                  <w:vMerge w:val="continue"/>
                  <w:tcBorders>
                    <w:top w:val="single" w:color="000000" w:sz="2" w:space="0"/>
                    <w:left w:val="single" w:color="000000" w:sz="2" w:space="0"/>
                    <w:bottom w:val="single" w:color="000000" w:sz="2" w:space="0"/>
                    <w:right w:val="single" w:color="000000" w:sz="2" w:space="0"/>
                  </w:tcBorders>
                  <w:vAlign w:val="center"/>
                </w:tcPr>
                <w:p w14:paraId="2260811E">
                  <w:pPr>
                    <w:pStyle w:val="48"/>
                    <w:rPr>
                      <w:spacing w:val="7"/>
                    </w:rPr>
                  </w:pPr>
                </w:p>
              </w:tc>
              <w:tc>
                <w:tcPr>
                  <w:tcW w:w="4637" w:type="dxa"/>
                  <w:tcBorders>
                    <w:top w:val="single" w:color="000000" w:sz="2" w:space="0"/>
                    <w:left w:val="single" w:color="000000" w:sz="2" w:space="0"/>
                    <w:bottom w:val="single" w:color="000000" w:sz="2" w:space="0"/>
                    <w:right w:val="single" w:color="000000" w:sz="2" w:space="0"/>
                  </w:tcBorders>
                  <w:vAlign w:val="center"/>
                </w:tcPr>
                <w:p w14:paraId="6B462E64">
                  <w:pPr>
                    <w:pStyle w:val="48"/>
                    <w:rPr>
                      <w:kern w:val="21"/>
                    </w:rPr>
                  </w:pPr>
                  <w:r>
                    <w:t>10m</w:t>
                  </w:r>
                  <w:r>
                    <w:rPr>
                      <w:vertAlign w:val="superscript"/>
                    </w:rPr>
                    <w:t>2</w:t>
                  </w:r>
                  <w:r>
                    <w:rPr>
                      <w:kern w:val="21"/>
                    </w:rPr>
                    <w:t>危废贮存点1座，用于暂存废机油、废油桶。</w:t>
                  </w:r>
                </w:p>
              </w:tc>
              <w:tc>
                <w:tcPr>
                  <w:tcW w:w="1163" w:type="dxa"/>
                  <w:tcBorders>
                    <w:top w:val="single" w:color="000000" w:sz="2" w:space="0"/>
                    <w:left w:val="single" w:color="000000" w:sz="2" w:space="0"/>
                    <w:bottom w:val="single" w:color="000000" w:sz="2" w:space="0"/>
                    <w:right w:val="nil"/>
                  </w:tcBorders>
                  <w:vAlign w:val="center"/>
                </w:tcPr>
                <w:p w14:paraId="7E6EB201">
                  <w:pPr>
                    <w:pStyle w:val="48"/>
                    <w:rPr>
                      <w:spacing w:val="7"/>
                    </w:rPr>
                  </w:pPr>
                  <w:r>
                    <w:rPr>
                      <w:spacing w:val="7"/>
                    </w:rPr>
                    <w:t>2</w:t>
                  </w:r>
                </w:p>
              </w:tc>
            </w:tr>
            <w:tr w14:paraId="42B4DE18">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2C183C7F">
                  <w:pPr>
                    <w:pStyle w:val="48"/>
                  </w:pPr>
                </w:p>
              </w:tc>
              <w:tc>
                <w:tcPr>
                  <w:tcW w:w="1391" w:type="dxa"/>
                  <w:vMerge w:val="continue"/>
                  <w:tcBorders>
                    <w:top w:val="single" w:color="000000" w:sz="2" w:space="0"/>
                    <w:left w:val="single" w:color="000000" w:sz="2" w:space="0"/>
                    <w:bottom w:val="single" w:color="000000" w:sz="2" w:space="0"/>
                    <w:right w:val="single" w:color="000000" w:sz="2" w:space="0"/>
                  </w:tcBorders>
                  <w:vAlign w:val="center"/>
                </w:tcPr>
                <w:p w14:paraId="38D5A6C9">
                  <w:pPr>
                    <w:pStyle w:val="48"/>
                    <w:rPr>
                      <w:spacing w:val="7"/>
                    </w:rPr>
                  </w:pPr>
                </w:p>
              </w:tc>
              <w:tc>
                <w:tcPr>
                  <w:tcW w:w="4637" w:type="dxa"/>
                  <w:tcBorders>
                    <w:top w:val="single" w:color="000000" w:sz="2" w:space="0"/>
                    <w:left w:val="single" w:color="000000" w:sz="2" w:space="0"/>
                    <w:bottom w:val="single" w:color="000000" w:sz="2" w:space="0"/>
                    <w:right w:val="single" w:color="000000" w:sz="2" w:space="0"/>
                  </w:tcBorders>
                  <w:vAlign w:val="center"/>
                </w:tcPr>
                <w:p w14:paraId="776C2DE8">
                  <w:pPr>
                    <w:pStyle w:val="48"/>
                    <w:rPr>
                      <w:kern w:val="21"/>
                    </w:rPr>
                  </w:pPr>
                  <w:r>
                    <w:rPr>
                      <w:kern w:val="21"/>
                    </w:rPr>
                    <w:t>生活垃圾箱2个，用于暂存生活垃圾。</w:t>
                  </w:r>
                </w:p>
              </w:tc>
              <w:tc>
                <w:tcPr>
                  <w:tcW w:w="1163" w:type="dxa"/>
                  <w:tcBorders>
                    <w:top w:val="single" w:color="000000" w:sz="2" w:space="0"/>
                    <w:left w:val="single" w:color="000000" w:sz="2" w:space="0"/>
                    <w:bottom w:val="single" w:color="000000" w:sz="2" w:space="0"/>
                    <w:right w:val="nil"/>
                  </w:tcBorders>
                  <w:vAlign w:val="center"/>
                </w:tcPr>
                <w:p w14:paraId="0C2A02AA">
                  <w:pPr>
                    <w:pStyle w:val="48"/>
                    <w:rPr>
                      <w:spacing w:val="7"/>
                    </w:rPr>
                  </w:pPr>
                  <w:r>
                    <w:rPr>
                      <w:spacing w:val="7"/>
                    </w:rPr>
                    <w:t>0.1</w:t>
                  </w:r>
                </w:p>
              </w:tc>
            </w:tr>
            <w:tr w14:paraId="5EB234F7">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925" w:type="dxa"/>
                  <w:vMerge w:val="continue"/>
                  <w:tcBorders>
                    <w:top w:val="single" w:color="000000" w:sz="2" w:space="0"/>
                    <w:left w:val="nil"/>
                    <w:bottom w:val="single" w:color="000000" w:sz="2" w:space="0"/>
                    <w:right w:val="single" w:color="000000" w:sz="2" w:space="0"/>
                  </w:tcBorders>
                  <w:vAlign w:val="center"/>
                </w:tcPr>
                <w:p w14:paraId="2FB90A3F">
                  <w:pPr>
                    <w:pStyle w:val="48"/>
                  </w:pPr>
                </w:p>
              </w:tc>
              <w:tc>
                <w:tcPr>
                  <w:tcW w:w="1391" w:type="dxa"/>
                  <w:tcBorders>
                    <w:top w:val="single" w:color="000000" w:sz="2" w:space="0"/>
                    <w:left w:val="single" w:color="000000" w:sz="2" w:space="0"/>
                    <w:bottom w:val="single" w:color="000000" w:sz="2" w:space="0"/>
                    <w:right w:val="single" w:color="000000" w:sz="2" w:space="0"/>
                  </w:tcBorders>
                  <w:vAlign w:val="center"/>
                </w:tcPr>
                <w:p w14:paraId="68CAF052">
                  <w:pPr>
                    <w:pStyle w:val="48"/>
                    <w:rPr>
                      <w:spacing w:val="7"/>
                    </w:rPr>
                  </w:pPr>
                  <w:r>
                    <w:rPr>
                      <w:spacing w:val="7"/>
                    </w:rPr>
                    <w:t>地下水、土壤</w:t>
                  </w:r>
                </w:p>
              </w:tc>
              <w:tc>
                <w:tcPr>
                  <w:tcW w:w="4637" w:type="dxa"/>
                  <w:tcBorders>
                    <w:top w:val="single" w:color="000000" w:sz="2" w:space="0"/>
                    <w:left w:val="single" w:color="000000" w:sz="2" w:space="0"/>
                    <w:bottom w:val="single" w:color="000000" w:sz="2" w:space="0"/>
                    <w:right w:val="single" w:color="000000" w:sz="2" w:space="0"/>
                  </w:tcBorders>
                  <w:vAlign w:val="center"/>
                </w:tcPr>
                <w:p w14:paraId="4C726709">
                  <w:pPr>
                    <w:pStyle w:val="48"/>
                    <w:rPr>
                      <w:kern w:val="0"/>
                    </w:rPr>
                  </w:pPr>
                  <w:r>
                    <w:rPr>
                      <w:kern w:val="0"/>
                    </w:rPr>
                    <w:t>危废贮存点做重点防渗，生产车间、原料库做一般防渗，其他区域做简单防渗。</w:t>
                  </w:r>
                </w:p>
              </w:tc>
              <w:tc>
                <w:tcPr>
                  <w:tcW w:w="1163" w:type="dxa"/>
                  <w:tcBorders>
                    <w:top w:val="single" w:color="000000" w:sz="2" w:space="0"/>
                    <w:left w:val="single" w:color="000000" w:sz="2" w:space="0"/>
                    <w:bottom w:val="single" w:color="000000" w:sz="2" w:space="0"/>
                    <w:right w:val="nil"/>
                  </w:tcBorders>
                  <w:vAlign w:val="center"/>
                </w:tcPr>
                <w:p w14:paraId="5BE797AA">
                  <w:pPr>
                    <w:pStyle w:val="48"/>
                    <w:rPr>
                      <w:spacing w:val="7"/>
                    </w:rPr>
                  </w:pPr>
                  <w:r>
                    <w:rPr>
                      <w:spacing w:val="7"/>
                    </w:rPr>
                    <w:t>5</w:t>
                  </w:r>
                </w:p>
              </w:tc>
            </w:tr>
            <w:tr w14:paraId="10814DFA">
              <w:tblPrEx>
                <w:tblBorders>
                  <w:top w:val="double" w:color="000000" w:sz="2" w:space="0"/>
                  <w:left w:val="none" w:color="auto" w:sz="0" w:space="0"/>
                  <w:bottom w:val="doub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96" w:hRule="atLeast"/>
                <w:jc w:val="center"/>
              </w:trPr>
              <w:tc>
                <w:tcPr>
                  <w:tcW w:w="6953" w:type="dxa"/>
                  <w:gridSpan w:val="3"/>
                  <w:tcBorders>
                    <w:top w:val="single" w:color="000000" w:sz="2" w:space="0"/>
                    <w:left w:val="nil"/>
                    <w:bottom w:val="double" w:color="000000" w:sz="2" w:space="0"/>
                    <w:right w:val="single" w:color="000000" w:sz="2" w:space="0"/>
                  </w:tcBorders>
                  <w:vAlign w:val="center"/>
                </w:tcPr>
                <w:p w14:paraId="75A6CA42">
                  <w:pPr>
                    <w:pStyle w:val="48"/>
                  </w:pPr>
                  <w:r>
                    <w:rPr>
                      <w:spacing w:val="4"/>
                    </w:rPr>
                    <w:t>合计</w:t>
                  </w:r>
                </w:p>
              </w:tc>
              <w:tc>
                <w:tcPr>
                  <w:tcW w:w="1163" w:type="dxa"/>
                  <w:tcBorders>
                    <w:top w:val="single" w:color="000000" w:sz="2" w:space="0"/>
                    <w:left w:val="single" w:color="000000" w:sz="2" w:space="0"/>
                    <w:bottom w:val="double" w:color="000000" w:sz="2" w:space="0"/>
                    <w:right w:val="nil"/>
                  </w:tcBorders>
                  <w:vAlign w:val="center"/>
                </w:tcPr>
                <w:p w14:paraId="1AAA40B6">
                  <w:pPr>
                    <w:pStyle w:val="48"/>
                  </w:pPr>
                  <w:r>
                    <w:rPr>
                      <w:color w:val="0000FF"/>
                    </w:rPr>
                    <w:t>28.4</w:t>
                  </w:r>
                </w:p>
              </w:tc>
            </w:tr>
          </w:tbl>
          <w:p w14:paraId="4B992AB7">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十一、</w:t>
            </w:r>
            <w:r>
              <w:rPr>
                <w:rFonts w:hint="eastAsia" w:eastAsiaTheme="minorEastAsia"/>
                <w:b/>
                <w:bCs/>
                <w:color w:val="000000" w:themeColor="text1"/>
                <w14:textFill>
                  <w14:solidFill>
                    <w14:schemeClr w14:val="tx1"/>
                  </w14:solidFill>
                </w14:textFill>
              </w:rPr>
              <w:t>“</w:t>
            </w:r>
            <w:r>
              <w:rPr>
                <w:rFonts w:eastAsiaTheme="minorEastAsia"/>
                <w:b/>
                <w:bCs/>
                <w:color w:val="000000" w:themeColor="text1"/>
                <w14:textFill>
                  <w14:solidFill>
                    <w14:schemeClr w14:val="tx1"/>
                  </w14:solidFill>
                </w14:textFill>
              </w:rPr>
              <w:t>三同时</w:t>
            </w:r>
            <w:r>
              <w:rPr>
                <w:rFonts w:hint="eastAsia" w:eastAsiaTheme="minorEastAsia"/>
                <w:b/>
                <w:bCs/>
                <w:color w:val="000000" w:themeColor="text1"/>
                <w14:textFill>
                  <w14:solidFill>
                    <w14:schemeClr w14:val="tx1"/>
                  </w14:solidFill>
                </w14:textFill>
              </w:rPr>
              <w:t>”</w:t>
            </w:r>
            <w:r>
              <w:rPr>
                <w:rFonts w:eastAsiaTheme="minorEastAsia"/>
                <w:b/>
                <w:bCs/>
                <w:color w:val="000000" w:themeColor="text1"/>
                <w14:textFill>
                  <w14:solidFill>
                    <w14:schemeClr w14:val="tx1"/>
                  </w14:solidFill>
                </w14:textFill>
              </w:rPr>
              <w:t>验收</w:t>
            </w:r>
          </w:p>
          <w:p w14:paraId="4E087F7A">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表4-33</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三同时</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验收一览表</w:t>
            </w:r>
          </w:p>
          <w:tbl>
            <w:tblPr>
              <w:tblStyle w:val="35"/>
              <w:tblW w:w="4950" w:type="pct"/>
              <w:jc w:val="center"/>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86"/>
              <w:gridCol w:w="796"/>
              <w:gridCol w:w="1665"/>
              <w:gridCol w:w="1375"/>
              <w:gridCol w:w="2300"/>
              <w:gridCol w:w="1740"/>
            </w:tblGrid>
            <w:tr w14:paraId="147AF549">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486" w:type="dxa"/>
                  <w:tcBorders>
                    <w:top w:val="double" w:color="000000" w:sz="2" w:space="0"/>
                    <w:left w:val="nil"/>
                    <w:bottom w:val="single" w:color="000000" w:sz="4" w:space="0"/>
                    <w:right w:val="single" w:color="000000" w:sz="4" w:space="0"/>
                  </w:tcBorders>
                  <w:vAlign w:val="center"/>
                </w:tcPr>
                <w:p w14:paraId="370F52B9">
                  <w:pPr>
                    <w:pStyle w:val="48"/>
                    <w:rPr>
                      <w:szCs w:val="24"/>
                    </w:rPr>
                  </w:pPr>
                  <w:r>
                    <w:t>序号</w:t>
                  </w:r>
                </w:p>
              </w:tc>
              <w:tc>
                <w:tcPr>
                  <w:tcW w:w="796" w:type="dxa"/>
                  <w:tcBorders>
                    <w:top w:val="double" w:color="000000" w:sz="2" w:space="0"/>
                    <w:left w:val="nil"/>
                    <w:bottom w:val="single" w:color="000000" w:sz="4" w:space="0"/>
                    <w:right w:val="single" w:color="000000" w:sz="4" w:space="0"/>
                  </w:tcBorders>
                  <w:vAlign w:val="center"/>
                </w:tcPr>
                <w:p w14:paraId="61E55028">
                  <w:pPr>
                    <w:pStyle w:val="48"/>
                  </w:pPr>
                  <w:r>
                    <w:t>类别</w:t>
                  </w:r>
                </w:p>
              </w:tc>
              <w:tc>
                <w:tcPr>
                  <w:tcW w:w="1665" w:type="dxa"/>
                  <w:tcBorders>
                    <w:top w:val="double" w:color="000000" w:sz="2" w:space="0"/>
                    <w:left w:val="nil"/>
                    <w:bottom w:val="single" w:color="000000" w:sz="4" w:space="0"/>
                    <w:right w:val="single" w:color="000000" w:sz="4" w:space="0"/>
                  </w:tcBorders>
                  <w:vAlign w:val="center"/>
                </w:tcPr>
                <w:p w14:paraId="3540FD47">
                  <w:pPr>
                    <w:pStyle w:val="48"/>
                  </w:pPr>
                  <w:r>
                    <w:t>主要污染源</w:t>
                  </w:r>
                </w:p>
              </w:tc>
              <w:tc>
                <w:tcPr>
                  <w:tcW w:w="1375" w:type="dxa"/>
                  <w:tcBorders>
                    <w:top w:val="double" w:color="000000" w:sz="2" w:space="0"/>
                    <w:left w:val="nil"/>
                    <w:bottom w:val="single" w:color="000000" w:sz="4" w:space="0"/>
                    <w:right w:val="single" w:color="000000" w:sz="4" w:space="0"/>
                  </w:tcBorders>
                  <w:vAlign w:val="center"/>
                </w:tcPr>
                <w:p w14:paraId="1941521B">
                  <w:pPr>
                    <w:pStyle w:val="48"/>
                  </w:pPr>
                  <w:r>
                    <w:t>污染物</w:t>
                  </w:r>
                </w:p>
              </w:tc>
              <w:tc>
                <w:tcPr>
                  <w:tcW w:w="2300" w:type="dxa"/>
                  <w:tcBorders>
                    <w:top w:val="double" w:color="000000" w:sz="2" w:space="0"/>
                    <w:left w:val="nil"/>
                    <w:bottom w:val="single" w:color="000000" w:sz="4" w:space="0"/>
                    <w:right w:val="single" w:color="000000" w:sz="4" w:space="0"/>
                  </w:tcBorders>
                  <w:vAlign w:val="center"/>
                </w:tcPr>
                <w:p w14:paraId="79F789F5">
                  <w:pPr>
                    <w:pStyle w:val="48"/>
                  </w:pPr>
                  <w:r>
                    <w:t>环保设施或措施</w:t>
                  </w:r>
                </w:p>
              </w:tc>
              <w:tc>
                <w:tcPr>
                  <w:tcW w:w="1740" w:type="dxa"/>
                  <w:tcBorders>
                    <w:top w:val="double" w:color="000000" w:sz="2" w:space="0"/>
                    <w:left w:val="nil"/>
                    <w:bottom w:val="single" w:color="000000" w:sz="4" w:space="0"/>
                    <w:right w:val="nil"/>
                  </w:tcBorders>
                  <w:vAlign w:val="center"/>
                </w:tcPr>
                <w:p w14:paraId="28746607">
                  <w:pPr>
                    <w:pStyle w:val="48"/>
                  </w:pPr>
                  <w:r>
                    <w:t>验收执行标准</w:t>
                  </w:r>
                </w:p>
              </w:tc>
            </w:tr>
            <w:tr w14:paraId="4F72FC6A">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restart"/>
                  <w:tcBorders>
                    <w:top w:val="nil"/>
                    <w:left w:val="nil"/>
                    <w:bottom w:val="single" w:color="000000" w:sz="4" w:space="0"/>
                    <w:right w:val="single" w:color="000000" w:sz="4" w:space="0"/>
                  </w:tcBorders>
                  <w:vAlign w:val="center"/>
                </w:tcPr>
                <w:p w14:paraId="4C20A3B9">
                  <w:pPr>
                    <w:pStyle w:val="48"/>
                  </w:pPr>
                  <w:r>
                    <w:t>1</w:t>
                  </w:r>
                </w:p>
              </w:tc>
              <w:tc>
                <w:tcPr>
                  <w:tcW w:w="796" w:type="dxa"/>
                  <w:vMerge w:val="restart"/>
                  <w:tcBorders>
                    <w:top w:val="nil"/>
                    <w:left w:val="nil"/>
                    <w:bottom w:val="single" w:color="000000" w:sz="4" w:space="0"/>
                    <w:right w:val="single" w:color="000000" w:sz="4" w:space="0"/>
                  </w:tcBorders>
                  <w:vAlign w:val="center"/>
                </w:tcPr>
                <w:p w14:paraId="1B35BE82">
                  <w:pPr>
                    <w:pStyle w:val="48"/>
                  </w:pPr>
                  <w:r>
                    <w:t>废气</w:t>
                  </w:r>
                </w:p>
              </w:tc>
              <w:tc>
                <w:tcPr>
                  <w:tcW w:w="1665" w:type="dxa"/>
                  <w:tcBorders>
                    <w:top w:val="single" w:color="000000" w:sz="4" w:space="0"/>
                    <w:left w:val="nil"/>
                    <w:bottom w:val="single" w:color="000000" w:sz="4" w:space="0"/>
                    <w:right w:val="single" w:color="000000" w:sz="4" w:space="0"/>
                  </w:tcBorders>
                  <w:vAlign w:val="center"/>
                </w:tcPr>
                <w:p w14:paraId="77DA53F2">
                  <w:pPr>
                    <w:pStyle w:val="48"/>
                  </w:pPr>
                  <w:r>
                    <w:t>原料入库及储存</w:t>
                  </w:r>
                </w:p>
              </w:tc>
              <w:tc>
                <w:tcPr>
                  <w:tcW w:w="1375" w:type="dxa"/>
                  <w:tcBorders>
                    <w:top w:val="single" w:color="000000" w:sz="4" w:space="0"/>
                    <w:left w:val="nil"/>
                    <w:bottom w:val="single" w:color="000000" w:sz="4" w:space="0"/>
                    <w:right w:val="single" w:color="000000" w:sz="4" w:space="0"/>
                  </w:tcBorders>
                  <w:vAlign w:val="center"/>
                </w:tcPr>
                <w:p w14:paraId="0DD35923">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000F4EB0">
                  <w:pPr>
                    <w:pStyle w:val="48"/>
                  </w:pPr>
                  <w:r>
                    <w:t>洒水降尘、原料库封闭储存；</w:t>
                  </w:r>
                </w:p>
              </w:tc>
              <w:tc>
                <w:tcPr>
                  <w:tcW w:w="1740" w:type="dxa"/>
                  <w:vMerge w:val="restart"/>
                  <w:tcBorders>
                    <w:top w:val="nil"/>
                    <w:left w:val="nil"/>
                    <w:bottom w:val="single" w:color="000000" w:sz="4" w:space="0"/>
                    <w:right w:val="nil"/>
                  </w:tcBorders>
                  <w:vAlign w:val="center"/>
                </w:tcPr>
                <w:p w14:paraId="664A678A">
                  <w:pPr>
                    <w:pStyle w:val="48"/>
                  </w:pPr>
                  <w:r>
                    <w:rPr>
                      <w:kern w:val="0"/>
                    </w:rPr>
                    <w:t>《大气污染物综合排放标准》（GB 16297-1996）</w:t>
                  </w:r>
                </w:p>
              </w:tc>
            </w:tr>
            <w:tr w14:paraId="65C1A7AF">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094A4979">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01F16E11">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2618441D">
                  <w:pPr>
                    <w:pStyle w:val="48"/>
                  </w:pPr>
                  <w:r>
                    <w:t>投料废气</w:t>
                  </w:r>
                </w:p>
              </w:tc>
              <w:tc>
                <w:tcPr>
                  <w:tcW w:w="1375" w:type="dxa"/>
                  <w:tcBorders>
                    <w:top w:val="single" w:color="000000" w:sz="4" w:space="0"/>
                    <w:left w:val="nil"/>
                    <w:bottom w:val="single" w:color="000000" w:sz="4" w:space="0"/>
                    <w:right w:val="single" w:color="000000" w:sz="4" w:space="0"/>
                  </w:tcBorders>
                  <w:vAlign w:val="center"/>
                </w:tcPr>
                <w:p w14:paraId="0BF9E063">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0C21E3E6">
                  <w:pPr>
                    <w:pStyle w:val="48"/>
                    <w:rPr>
                      <w:kern w:val="0"/>
                    </w:rPr>
                  </w:pPr>
                  <w:r>
                    <w:t>上料口设置在原料库内，上料口侧方设置集气罩，收集效率为80%，用于收集上料产生的颗粒物，收集后的颗粒物经脉冲袋式除尘器处理，</w:t>
                  </w:r>
                  <w:r>
                    <w:rPr>
                      <w:kern w:val="0"/>
                    </w:rPr>
                    <w:t>处理效率为99%，</w:t>
                  </w:r>
                  <w:r>
                    <w:t>通过1根15m高排气筒DA002排放，无组织废气通过车间沉降后排放；</w:t>
                  </w:r>
                </w:p>
              </w:tc>
              <w:tc>
                <w:tcPr>
                  <w:tcW w:w="1740" w:type="dxa"/>
                  <w:vMerge w:val="continue"/>
                  <w:tcBorders>
                    <w:top w:val="nil"/>
                    <w:left w:val="nil"/>
                    <w:bottom w:val="single" w:color="000000" w:sz="4" w:space="0"/>
                    <w:right w:val="nil"/>
                  </w:tcBorders>
                  <w:vAlign w:val="center"/>
                </w:tcPr>
                <w:p w14:paraId="0B30AF4C">
                  <w:pPr>
                    <w:pStyle w:val="48"/>
                    <w:rPr>
                      <w:sz w:val="24"/>
                      <w:szCs w:val="24"/>
                    </w:rPr>
                  </w:pPr>
                </w:p>
              </w:tc>
            </w:tr>
            <w:tr w14:paraId="13A0B7B7">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514AE3CD">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411219A5">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6E6EB78A">
                  <w:pPr>
                    <w:pStyle w:val="48"/>
                  </w:pPr>
                  <w:r>
                    <w:t>混料废气</w:t>
                  </w:r>
                </w:p>
              </w:tc>
              <w:tc>
                <w:tcPr>
                  <w:tcW w:w="1375" w:type="dxa"/>
                  <w:tcBorders>
                    <w:top w:val="single" w:color="000000" w:sz="4" w:space="0"/>
                    <w:left w:val="nil"/>
                    <w:bottom w:val="single" w:color="000000" w:sz="4" w:space="0"/>
                    <w:right w:val="single" w:color="000000" w:sz="4" w:space="0"/>
                  </w:tcBorders>
                  <w:vAlign w:val="center"/>
                </w:tcPr>
                <w:p w14:paraId="288418DA">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6EBA3670">
                  <w:pPr>
                    <w:pStyle w:val="48"/>
                    <w:rPr>
                      <w:kern w:val="0"/>
                    </w:rPr>
                  </w:pPr>
                  <w:r>
                    <w:rPr>
                      <w:kern w:val="0"/>
                    </w:rPr>
                    <w:t>封闭传送带通过软连接封闭进料口及出料口，且出料为湿料，</w:t>
                  </w:r>
                  <w:r>
                    <w:t>混料</w:t>
                  </w:r>
                  <w:r>
                    <w:rPr>
                      <w:kern w:val="0"/>
                    </w:rPr>
                    <w:t>过程设备封闭，</w:t>
                  </w:r>
                  <w:r>
                    <w:t>混料</w:t>
                  </w:r>
                  <w:r>
                    <w:rPr>
                      <w:kern w:val="0"/>
                    </w:rPr>
                    <w:t>机上方设置集气罩，集气效率为80%，收集的废气经过布袋除尘器处理，处理效率为99%，</w:t>
                  </w:r>
                  <w:r>
                    <w:t>通过1根15m高排气筒DA002排放，</w:t>
                  </w:r>
                  <w:r>
                    <w:rPr>
                      <w:kern w:val="0"/>
                    </w:rPr>
                    <w:t>无组织废气车间沉降后排放；</w:t>
                  </w:r>
                </w:p>
              </w:tc>
              <w:tc>
                <w:tcPr>
                  <w:tcW w:w="1740" w:type="dxa"/>
                  <w:vMerge w:val="continue"/>
                  <w:tcBorders>
                    <w:top w:val="nil"/>
                    <w:left w:val="nil"/>
                    <w:bottom w:val="single" w:color="000000" w:sz="4" w:space="0"/>
                    <w:right w:val="nil"/>
                  </w:tcBorders>
                  <w:vAlign w:val="center"/>
                </w:tcPr>
                <w:p w14:paraId="78C75F52">
                  <w:pPr>
                    <w:pStyle w:val="48"/>
                    <w:rPr>
                      <w:sz w:val="24"/>
                      <w:szCs w:val="24"/>
                    </w:rPr>
                  </w:pPr>
                </w:p>
              </w:tc>
            </w:tr>
            <w:tr w14:paraId="78172A1A">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17B4A2C0">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07D46D3B">
                  <w:pPr>
                    <w:pStyle w:val="48"/>
                    <w:rPr>
                      <w:sz w:val="24"/>
                      <w:szCs w:val="24"/>
                    </w:rPr>
                  </w:pPr>
                </w:p>
              </w:tc>
              <w:tc>
                <w:tcPr>
                  <w:tcW w:w="1665" w:type="dxa"/>
                  <w:vMerge w:val="restart"/>
                  <w:tcBorders>
                    <w:top w:val="nil"/>
                    <w:left w:val="nil"/>
                    <w:bottom w:val="single" w:color="000000" w:sz="4" w:space="0"/>
                    <w:right w:val="single" w:color="000000" w:sz="4" w:space="0"/>
                  </w:tcBorders>
                  <w:vAlign w:val="center"/>
                </w:tcPr>
                <w:p w14:paraId="7B6F1CDD">
                  <w:pPr>
                    <w:pStyle w:val="48"/>
                  </w:pPr>
                  <w:r>
                    <w:t>烘干废气</w:t>
                  </w:r>
                </w:p>
              </w:tc>
              <w:tc>
                <w:tcPr>
                  <w:tcW w:w="1375" w:type="dxa"/>
                  <w:tcBorders>
                    <w:top w:val="single" w:color="000000" w:sz="4" w:space="0"/>
                    <w:left w:val="nil"/>
                    <w:bottom w:val="single" w:color="000000" w:sz="4" w:space="0"/>
                    <w:right w:val="single" w:color="000000" w:sz="4" w:space="0"/>
                  </w:tcBorders>
                  <w:vAlign w:val="center"/>
                </w:tcPr>
                <w:p w14:paraId="70B33F78">
                  <w:pPr>
                    <w:pStyle w:val="48"/>
                  </w:pPr>
                  <w:r>
                    <w:t>氮氧化物</w:t>
                  </w:r>
                </w:p>
              </w:tc>
              <w:tc>
                <w:tcPr>
                  <w:tcW w:w="2300" w:type="dxa"/>
                  <w:tcBorders>
                    <w:top w:val="single" w:color="000000" w:sz="4" w:space="0"/>
                    <w:left w:val="nil"/>
                    <w:bottom w:val="single" w:color="000000" w:sz="4" w:space="0"/>
                    <w:right w:val="single" w:color="000000" w:sz="4" w:space="0"/>
                  </w:tcBorders>
                  <w:vAlign w:val="center"/>
                </w:tcPr>
                <w:p w14:paraId="2796E218">
                  <w:pPr>
                    <w:pStyle w:val="48"/>
                    <w:rPr>
                      <w:kern w:val="0"/>
                    </w:rPr>
                  </w:pPr>
                  <w:r>
                    <w:t>废气由风机负压导出收集处理，最终通过15m高排气筒排放；未收集部分以无组织形式排放（车间沉降效率忽略不计）；</w:t>
                  </w:r>
                </w:p>
              </w:tc>
              <w:tc>
                <w:tcPr>
                  <w:tcW w:w="1740" w:type="dxa"/>
                  <w:tcBorders>
                    <w:top w:val="nil"/>
                    <w:left w:val="nil"/>
                    <w:bottom w:val="single" w:color="000000" w:sz="4" w:space="0"/>
                    <w:right w:val="nil"/>
                  </w:tcBorders>
                  <w:vAlign w:val="center"/>
                </w:tcPr>
                <w:p w14:paraId="626C842A">
                  <w:pPr>
                    <w:pStyle w:val="48"/>
                    <w:rPr>
                      <w:color w:val="0000FF"/>
                    </w:rPr>
                  </w:pPr>
                  <w:r>
                    <w:rPr>
                      <w:color w:val="0000FF"/>
                    </w:rPr>
                    <w:t>《大气污染物综合排放标准》（GB16297-1996）表2中15m高排气筒二级标准</w:t>
                  </w:r>
                </w:p>
              </w:tc>
            </w:tr>
            <w:tr w14:paraId="3CD30434">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2BB72866">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2C959BC2">
                  <w:pPr>
                    <w:pStyle w:val="48"/>
                    <w:rPr>
                      <w:sz w:val="24"/>
                      <w:szCs w:val="24"/>
                    </w:rPr>
                  </w:pPr>
                </w:p>
              </w:tc>
              <w:tc>
                <w:tcPr>
                  <w:tcW w:w="1665" w:type="dxa"/>
                  <w:vMerge w:val="continue"/>
                  <w:tcBorders>
                    <w:top w:val="nil"/>
                    <w:left w:val="nil"/>
                    <w:bottom w:val="single" w:color="000000" w:sz="4" w:space="0"/>
                    <w:right w:val="single" w:color="000000" w:sz="4" w:space="0"/>
                  </w:tcBorders>
                  <w:vAlign w:val="center"/>
                </w:tcPr>
                <w:p w14:paraId="02853EFE">
                  <w:pPr>
                    <w:pStyle w:val="48"/>
                    <w:rPr>
                      <w:sz w:val="24"/>
                      <w:szCs w:val="24"/>
                    </w:rPr>
                  </w:pPr>
                </w:p>
              </w:tc>
              <w:tc>
                <w:tcPr>
                  <w:tcW w:w="1375" w:type="dxa"/>
                  <w:tcBorders>
                    <w:top w:val="single" w:color="000000" w:sz="4" w:space="0"/>
                    <w:left w:val="nil"/>
                    <w:bottom w:val="single" w:color="000000" w:sz="4" w:space="0"/>
                    <w:right w:val="single" w:color="000000" w:sz="4" w:space="0"/>
                  </w:tcBorders>
                  <w:vAlign w:val="center"/>
                </w:tcPr>
                <w:p w14:paraId="4CCE3DC3">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1F24311E">
                  <w:pPr>
                    <w:pStyle w:val="48"/>
                  </w:pPr>
                  <w:r>
                    <w:t>废气由风机负压导出收集处理，通过布袋除尘器，最终通过15m高排气筒排放；未收集部分通过车间排放以无组织形式排放；</w:t>
                  </w:r>
                </w:p>
              </w:tc>
              <w:tc>
                <w:tcPr>
                  <w:tcW w:w="1740" w:type="dxa"/>
                  <w:tcBorders>
                    <w:top w:val="nil"/>
                    <w:left w:val="nil"/>
                    <w:bottom w:val="single" w:color="000000" w:sz="4" w:space="0"/>
                    <w:right w:val="nil"/>
                  </w:tcBorders>
                  <w:vAlign w:val="center"/>
                </w:tcPr>
                <w:p w14:paraId="4A7D1D1F">
                  <w:pPr>
                    <w:pStyle w:val="48"/>
                    <w:rPr>
                      <w:color w:val="0000FF"/>
                      <w:sz w:val="24"/>
                      <w:szCs w:val="24"/>
                    </w:rPr>
                  </w:pPr>
                  <w:r>
                    <w:rPr>
                      <w:color w:val="0000FF"/>
                    </w:rPr>
                    <w:t>《工业炉窑大气污染物排放标准》</w:t>
                  </w:r>
                  <w:r>
                    <w:rPr>
                      <w:rFonts w:hint="eastAsia"/>
                      <w:color w:val="0000FF"/>
                    </w:rPr>
                    <w:t>（</w:t>
                  </w:r>
                  <w:r>
                    <w:rPr>
                      <w:color w:val="0000FF"/>
                    </w:rPr>
                    <w:t>GB 9078-1996</w:t>
                  </w:r>
                  <w:r>
                    <w:rPr>
                      <w:rFonts w:hint="eastAsia"/>
                      <w:color w:val="0000FF"/>
                    </w:rPr>
                    <w:t>）</w:t>
                  </w:r>
                  <w:r>
                    <w:rPr>
                      <w:color w:val="0000FF"/>
                    </w:rPr>
                    <w:t>表2中</w:t>
                  </w:r>
                  <w:r>
                    <w:rPr>
                      <w:rFonts w:hint="eastAsia"/>
                      <w:color w:val="0000FF"/>
                    </w:rPr>
                    <w:t>“</w:t>
                  </w:r>
                  <w:r>
                    <w:rPr>
                      <w:color w:val="0000FF"/>
                    </w:rPr>
                    <w:t>干燥炉、窑</w:t>
                  </w:r>
                  <w:r>
                    <w:rPr>
                      <w:rFonts w:hint="eastAsia"/>
                      <w:color w:val="0000FF"/>
                    </w:rPr>
                    <w:t>”</w:t>
                  </w:r>
                  <w:r>
                    <w:rPr>
                      <w:color w:val="0000FF"/>
                    </w:rPr>
                    <w:t>二级标准</w:t>
                  </w:r>
                </w:p>
              </w:tc>
            </w:tr>
            <w:tr w14:paraId="6E90BD89">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065525D9">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0B9998FA">
                  <w:pPr>
                    <w:pStyle w:val="48"/>
                    <w:rPr>
                      <w:sz w:val="24"/>
                      <w:szCs w:val="24"/>
                    </w:rPr>
                  </w:pPr>
                </w:p>
              </w:tc>
              <w:tc>
                <w:tcPr>
                  <w:tcW w:w="1665" w:type="dxa"/>
                  <w:vMerge w:val="continue"/>
                  <w:tcBorders>
                    <w:top w:val="nil"/>
                    <w:left w:val="nil"/>
                    <w:bottom w:val="single" w:color="000000" w:sz="4" w:space="0"/>
                    <w:right w:val="single" w:color="000000" w:sz="4" w:space="0"/>
                  </w:tcBorders>
                  <w:vAlign w:val="center"/>
                </w:tcPr>
                <w:p w14:paraId="1E8E6991">
                  <w:pPr>
                    <w:pStyle w:val="48"/>
                    <w:rPr>
                      <w:sz w:val="24"/>
                      <w:szCs w:val="24"/>
                    </w:rPr>
                  </w:pPr>
                </w:p>
              </w:tc>
              <w:tc>
                <w:tcPr>
                  <w:tcW w:w="1375" w:type="dxa"/>
                  <w:tcBorders>
                    <w:top w:val="single" w:color="000000" w:sz="4" w:space="0"/>
                    <w:left w:val="nil"/>
                    <w:bottom w:val="single" w:color="000000" w:sz="4" w:space="0"/>
                    <w:right w:val="single" w:color="000000" w:sz="4" w:space="0"/>
                  </w:tcBorders>
                  <w:vAlign w:val="center"/>
                </w:tcPr>
                <w:p w14:paraId="5874A2BC">
                  <w:pPr>
                    <w:pStyle w:val="48"/>
                  </w:pPr>
                  <w:r>
                    <w:t>二氧化硫</w:t>
                  </w:r>
                </w:p>
              </w:tc>
              <w:tc>
                <w:tcPr>
                  <w:tcW w:w="2300" w:type="dxa"/>
                  <w:tcBorders>
                    <w:top w:val="single" w:color="000000" w:sz="4" w:space="0"/>
                    <w:left w:val="nil"/>
                    <w:bottom w:val="single" w:color="000000" w:sz="4" w:space="0"/>
                    <w:right w:val="single" w:color="000000" w:sz="4" w:space="0"/>
                  </w:tcBorders>
                  <w:vAlign w:val="center"/>
                </w:tcPr>
                <w:p w14:paraId="0D93F5F2">
                  <w:pPr>
                    <w:pStyle w:val="48"/>
                  </w:pPr>
                  <w:r>
                    <w:t>废气由风机负压导出收集处理，最终通过15m高排气筒排放；控制炉内温度不高于400摄氏度，降低物料中硫化物氧化，石灰石/石膏法脱硫；未收集部分以无组织形式排放（车间沉降效率忽略不计）；</w:t>
                  </w:r>
                </w:p>
              </w:tc>
              <w:tc>
                <w:tcPr>
                  <w:tcW w:w="1740" w:type="dxa"/>
                  <w:tcBorders>
                    <w:top w:val="nil"/>
                    <w:left w:val="nil"/>
                    <w:bottom w:val="single" w:color="000000" w:sz="4" w:space="0"/>
                    <w:right w:val="nil"/>
                  </w:tcBorders>
                  <w:vAlign w:val="center"/>
                </w:tcPr>
                <w:p w14:paraId="004EEAC2">
                  <w:pPr>
                    <w:pStyle w:val="48"/>
                    <w:rPr>
                      <w:color w:val="0000FF"/>
                      <w:sz w:val="24"/>
                      <w:szCs w:val="24"/>
                    </w:rPr>
                  </w:pPr>
                  <w:r>
                    <w:rPr>
                      <w:color w:val="0000FF"/>
                    </w:rPr>
                    <w:t>《大气污染物综合排放标准》（GB16297-1996）表2中15m高排气筒二级标准</w:t>
                  </w:r>
                </w:p>
              </w:tc>
            </w:tr>
            <w:tr w14:paraId="7B1A6D0D">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41C41F4A">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1BF13F1D">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110EFE39">
                  <w:pPr>
                    <w:pStyle w:val="48"/>
                  </w:pPr>
                  <w:r>
                    <w:t>烘干卸料（成品库）</w:t>
                  </w:r>
                </w:p>
              </w:tc>
              <w:tc>
                <w:tcPr>
                  <w:tcW w:w="1375" w:type="dxa"/>
                  <w:tcBorders>
                    <w:top w:val="single" w:color="000000" w:sz="4" w:space="0"/>
                    <w:left w:val="nil"/>
                    <w:bottom w:val="single" w:color="000000" w:sz="4" w:space="0"/>
                    <w:right w:val="single" w:color="000000" w:sz="4" w:space="0"/>
                  </w:tcBorders>
                  <w:vAlign w:val="center"/>
                </w:tcPr>
                <w:p w14:paraId="073B9D83">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15166509">
                  <w:pPr>
                    <w:pStyle w:val="48"/>
                  </w:pPr>
                  <w:r>
                    <w:t>封闭成品库内卸料，颗粒物经成品库沉降后排放。</w:t>
                  </w:r>
                </w:p>
              </w:tc>
              <w:tc>
                <w:tcPr>
                  <w:tcW w:w="1740" w:type="dxa"/>
                  <w:tcBorders>
                    <w:top w:val="single" w:color="000000" w:sz="4" w:space="0"/>
                    <w:left w:val="nil"/>
                    <w:bottom w:val="single" w:color="000000" w:sz="4" w:space="0"/>
                    <w:right w:val="nil"/>
                  </w:tcBorders>
                  <w:vAlign w:val="center"/>
                </w:tcPr>
                <w:p w14:paraId="172ED7D3">
                  <w:pPr>
                    <w:pStyle w:val="48"/>
                  </w:pPr>
                  <w:r>
                    <w:t>-</w:t>
                  </w:r>
                </w:p>
              </w:tc>
            </w:tr>
            <w:tr w14:paraId="71A4A5D6">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3FD67CCA">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227E2EF8">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5DDCB4E9">
                  <w:pPr>
                    <w:pStyle w:val="48"/>
                  </w:pPr>
                  <w:r>
                    <w:t>产品储存和装车</w:t>
                  </w:r>
                </w:p>
              </w:tc>
              <w:tc>
                <w:tcPr>
                  <w:tcW w:w="1375" w:type="dxa"/>
                  <w:tcBorders>
                    <w:top w:val="single" w:color="000000" w:sz="4" w:space="0"/>
                    <w:left w:val="nil"/>
                    <w:bottom w:val="single" w:color="000000" w:sz="4" w:space="0"/>
                    <w:right w:val="single" w:color="000000" w:sz="4" w:space="0"/>
                  </w:tcBorders>
                  <w:vAlign w:val="center"/>
                </w:tcPr>
                <w:p w14:paraId="77154028">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054B45DB">
                  <w:pPr>
                    <w:pStyle w:val="48"/>
                  </w:pPr>
                  <w:r>
                    <w:t>洒水降尘、成品库封闭储存、装车；</w:t>
                  </w:r>
                </w:p>
              </w:tc>
              <w:tc>
                <w:tcPr>
                  <w:tcW w:w="1740" w:type="dxa"/>
                  <w:tcBorders>
                    <w:top w:val="single" w:color="000000" w:sz="4" w:space="0"/>
                    <w:left w:val="nil"/>
                    <w:bottom w:val="single" w:color="000000" w:sz="4" w:space="0"/>
                    <w:right w:val="nil"/>
                  </w:tcBorders>
                  <w:vAlign w:val="center"/>
                </w:tcPr>
                <w:p w14:paraId="33C397D5">
                  <w:pPr>
                    <w:pStyle w:val="48"/>
                  </w:pPr>
                  <w:r>
                    <w:t>-</w:t>
                  </w:r>
                </w:p>
              </w:tc>
            </w:tr>
            <w:tr w14:paraId="53E08623">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547AEC51">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0AC8B6B9">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51167BC5">
                  <w:pPr>
                    <w:pStyle w:val="48"/>
                  </w:pPr>
                  <w:r>
                    <w:t>运输</w:t>
                  </w:r>
                </w:p>
              </w:tc>
              <w:tc>
                <w:tcPr>
                  <w:tcW w:w="1375" w:type="dxa"/>
                  <w:tcBorders>
                    <w:top w:val="single" w:color="000000" w:sz="4" w:space="0"/>
                    <w:left w:val="nil"/>
                    <w:bottom w:val="single" w:color="000000" w:sz="4" w:space="0"/>
                    <w:right w:val="single" w:color="000000" w:sz="4" w:space="0"/>
                  </w:tcBorders>
                  <w:vAlign w:val="center"/>
                </w:tcPr>
                <w:p w14:paraId="669726FB">
                  <w:pPr>
                    <w:pStyle w:val="48"/>
                  </w:pPr>
                  <w:r>
                    <w:t>颗粒物</w:t>
                  </w:r>
                </w:p>
              </w:tc>
              <w:tc>
                <w:tcPr>
                  <w:tcW w:w="2300" w:type="dxa"/>
                  <w:tcBorders>
                    <w:top w:val="single" w:color="000000" w:sz="4" w:space="0"/>
                    <w:left w:val="nil"/>
                    <w:bottom w:val="single" w:color="000000" w:sz="4" w:space="0"/>
                    <w:right w:val="single" w:color="000000" w:sz="4" w:space="0"/>
                  </w:tcBorders>
                  <w:vAlign w:val="center"/>
                </w:tcPr>
                <w:p w14:paraId="4FBF5309">
                  <w:pPr>
                    <w:pStyle w:val="48"/>
                    <w:rPr>
                      <w:kern w:val="0"/>
                    </w:rPr>
                  </w:pPr>
                  <w:r>
                    <w:rPr>
                      <w:kern w:val="0"/>
                    </w:rPr>
                    <w:t>运输车辆进行覆盖，道路洒水抑尘。</w:t>
                  </w:r>
                </w:p>
              </w:tc>
              <w:tc>
                <w:tcPr>
                  <w:tcW w:w="1740" w:type="dxa"/>
                  <w:tcBorders>
                    <w:top w:val="single" w:color="000000" w:sz="4" w:space="0"/>
                    <w:left w:val="nil"/>
                    <w:bottom w:val="single" w:color="000000" w:sz="4" w:space="0"/>
                    <w:right w:val="nil"/>
                  </w:tcBorders>
                  <w:vAlign w:val="center"/>
                </w:tcPr>
                <w:p w14:paraId="79E150AA">
                  <w:pPr>
                    <w:pStyle w:val="48"/>
                  </w:pPr>
                  <w:r>
                    <w:t>-</w:t>
                  </w:r>
                </w:p>
              </w:tc>
            </w:tr>
            <w:tr w14:paraId="72CEF581">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restart"/>
                  <w:tcBorders>
                    <w:top w:val="nil"/>
                    <w:left w:val="nil"/>
                    <w:bottom w:val="single" w:color="000000" w:sz="4" w:space="0"/>
                    <w:right w:val="single" w:color="000000" w:sz="4" w:space="0"/>
                  </w:tcBorders>
                  <w:vAlign w:val="center"/>
                </w:tcPr>
                <w:p w14:paraId="6786DAA2">
                  <w:pPr>
                    <w:pStyle w:val="48"/>
                  </w:pPr>
                  <w:r>
                    <w:t>2</w:t>
                  </w:r>
                </w:p>
              </w:tc>
              <w:tc>
                <w:tcPr>
                  <w:tcW w:w="796" w:type="dxa"/>
                  <w:vMerge w:val="restart"/>
                  <w:tcBorders>
                    <w:top w:val="nil"/>
                    <w:left w:val="nil"/>
                    <w:bottom w:val="single" w:color="000000" w:sz="4" w:space="0"/>
                    <w:right w:val="single" w:color="000000" w:sz="4" w:space="0"/>
                  </w:tcBorders>
                  <w:vAlign w:val="center"/>
                </w:tcPr>
                <w:p w14:paraId="3B7E6499">
                  <w:pPr>
                    <w:pStyle w:val="48"/>
                  </w:pPr>
                  <w:r>
                    <w:t>废水</w:t>
                  </w:r>
                </w:p>
              </w:tc>
              <w:tc>
                <w:tcPr>
                  <w:tcW w:w="1665" w:type="dxa"/>
                  <w:tcBorders>
                    <w:top w:val="single" w:color="000000" w:sz="4" w:space="0"/>
                    <w:left w:val="nil"/>
                    <w:bottom w:val="single" w:color="000000" w:sz="4" w:space="0"/>
                    <w:right w:val="single" w:color="000000" w:sz="4" w:space="0"/>
                  </w:tcBorders>
                  <w:vAlign w:val="center"/>
                </w:tcPr>
                <w:p w14:paraId="7AE6230F">
                  <w:pPr>
                    <w:pStyle w:val="48"/>
                  </w:pPr>
                  <w:r>
                    <w:t>职工生活</w:t>
                  </w:r>
                </w:p>
              </w:tc>
              <w:tc>
                <w:tcPr>
                  <w:tcW w:w="1375" w:type="dxa"/>
                  <w:tcBorders>
                    <w:top w:val="single" w:color="000000" w:sz="4" w:space="0"/>
                    <w:left w:val="nil"/>
                    <w:bottom w:val="single" w:color="000000" w:sz="4" w:space="0"/>
                    <w:right w:val="single" w:color="000000" w:sz="4" w:space="0"/>
                  </w:tcBorders>
                  <w:vAlign w:val="center"/>
                </w:tcPr>
                <w:p w14:paraId="69DC02B6">
                  <w:pPr>
                    <w:pStyle w:val="48"/>
                  </w:pPr>
                  <w:r>
                    <w:t>生活污水</w:t>
                  </w:r>
                </w:p>
              </w:tc>
              <w:tc>
                <w:tcPr>
                  <w:tcW w:w="2300" w:type="dxa"/>
                  <w:tcBorders>
                    <w:top w:val="single" w:color="000000" w:sz="4" w:space="0"/>
                    <w:left w:val="nil"/>
                    <w:bottom w:val="single" w:color="000000" w:sz="4" w:space="0"/>
                    <w:right w:val="single" w:color="000000" w:sz="4" w:space="0"/>
                  </w:tcBorders>
                  <w:vAlign w:val="center"/>
                </w:tcPr>
                <w:p w14:paraId="38610185">
                  <w:pPr>
                    <w:pStyle w:val="48"/>
                    <w:rPr>
                      <w:kern w:val="0"/>
                    </w:rPr>
                  </w:pPr>
                  <w:r>
                    <w:rPr>
                      <w:kern w:val="0"/>
                    </w:rPr>
                    <w:t>依托朝阳县瓦房子镇宏兴锰矿化粪池</w:t>
                  </w:r>
                </w:p>
              </w:tc>
              <w:tc>
                <w:tcPr>
                  <w:tcW w:w="1740" w:type="dxa"/>
                  <w:tcBorders>
                    <w:top w:val="single" w:color="000000" w:sz="4" w:space="0"/>
                    <w:left w:val="nil"/>
                    <w:bottom w:val="single" w:color="000000" w:sz="4" w:space="0"/>
                    <w:right w:val="nil"/>
                  </w:tcBorders>
                  <w:vAlign w:val="center"/>
                </w:tcPr>
                <w:p w14:paraId="7C841963">
                  <w:pPr>
                    <w:pStyle w:val="48"/>
                    <w:rPr>
                      <w:kern w:val="0"/>
                    </w:rPr>
                  </w:pPr>
                  <w:r>
                    <w:t>-</w:t>
                  </w:r>
                </w:p>
              </w:tc>
            </w:tr>
            <w:tr w14:paraId="51E9F775">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08AD5086">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7BF6E57D">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49CEF12F">
                  <w:pPr>
                    <w:pStyle w:val="48"/>
                  </w:pPr>
                  <w:r>
                    <w:t>烘干废气脱硫</w:t>
                  </w:r>
                </w:p>
              </w:tc>
              <w:tc>
                <w:tcPr>
                  <w:tcW w:w="1375" w:type="dxa"/>
                  <w:tcBorders>
                    <w:top w:val="single" w:color="000000" w:sz="4" w:space="0"/>
                    <w:left w:val="nil"/>
                    <w:bottom w:val="single" w:color="000000" w:sz="4" w:space="0"/>
                    <w:right w:val="single" w:color="000000" w:sz="4" w:space="0"/>
                  </w:tcBorders>
                  <w:vAlign w:val="center"/>
                </w:tcPr>
                <w:p w14:paraId="23076CD2">
                  <w:pPr>
                    <w:pStyle w:val="48"/>
                  </w:pPr>
                  <w:r>
                    <w:t>脱硫废水</w:t>
                  </w:r>
                </w:p>
              </w:tc>
              <w:tc>
                <w:tcPr>
                  <w:tcW w:w="2300" w:type="dxa"/>
                  <w:tcBorders>
                    <w:top w:val="single" w:color="000000" w:sz="4" w:space="0"/>
                    <w:left w:val="nil"/>
                    <w:bottom w:val="single" w:color="000000" w:sz="4" w:space="0"/>
                    <w:right w:val="single" w:color="000000" w:sz="4" w:space="0"/>
                  </w:tcBorders>
                  <w:vAlign w:val="center"/>
                </w:tcPr>
                <w:p w14:paraId="6EE67879">
                  <w:pPr>
                    <w:pStyle w:val="48"/>
                    <w:rPr>
                      <w:kern w:val="0"/>
                    </w:rPr>
                  </w:pPr>
                  <w:r>
                    <w:rPr>
                      <w:kern w:val="0"/>
                    </w:rPr>
                    <w:t>石灰石/石膏法脱硫，废水循环使用不外排</w:t>
                  </w:r>
                </w:p>
              </w:tc>
              <w:tc>
                <w:tcPr>
                  <w:tcW w:w="1740" w:type="dxa"/>
                  <w:tcBorders>
                    <w:top w:val="single" w:color="000000" w:sz="4" w:space="0"/>
                    <w:left w:val="nil"/>
                    <w:bottom w:val="single" w:color="000000" w:sz="4" w:space="0"/>
                    <w:right w:val="nil"/>
                  </w:tcBorders>
                  <w:vAlign w:val="center"/>
                </w:tcPr>
                <w:p w14:paraId="1AA89F0A">
                  <w:pPr>
                    <w:pStyle w:val="48"/>
                    <w:rPr>
                      <w:kern w:val="0"/>
                    </w:rPr>
                  </w:pPr>
                  <w:r>
                    <w:t>-</w:t>
                  </w:r>
                </w:p>
              </w:tc>
            </w:tr>
            <w:tr w14:paraId="041D3445">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restart"/>
                  <w:tcBorders>
                    <w:top w:val="nil"/>
                    <w:left w:val="nil"/>
                    <w:bottom w:val="single" w:color="000000" w:sz="4" w:space="0"/>
                    <w:right w:val="single" w:color="000000" w:sz="4" w:space="0"/>
                  </w:tcBorders>
                  <w:vAlign w:val="center"/>
                </w:tcPr>
                <w:p w14:paraId="17C71F85">
                  <w:pPr>
                    <w:pStyle w:val="48"/>
                  </w:pPr>
                  <w:r>
                    <w:t>3</w:t>
                  </w:r>
                </w:p>
              </w:tc>
              <w:tc>
                <w:tcPr>
                  <w:tcW w:w="796" w:type="dxa"/>
                  <w:vMerge w:val="restart"/>
                  <w:tcBorders>
                    <w:top w:val="nil"/>
                    <w:left w:val="nil"/>
                    <w:bottom w:val="single" w:color="000000" w:sz="4" w:space="0"/>
                    <w:right w:val="single" w:color="000000" w:sz="4" w:space="0"/>
                  </w:tcBorders>
                  <w:vAlign w:val="center"/>
                </w:tcPr>
                <w:p w14:paraId="4D10E6E4">
                  <w:pPr>
                    <w:pStyle w:val="48"/>
                  </w:pPr>
                  <w:r>
                    <w:t>噪声</w:t>
                  </w:r>
                </w:p>
              </w:tc>
              <w:tc>
                <w:tcPr>
                  <w:tcW w:w="1665" w:type="dxa"/>
                  <w:tcBorders>
                    <w:top w:val="single" w:color="000000" w:sz="4" w:space="0"/>
                    <w:left w:val="nil"/>
                    <w:bottom w:val="single" w:color="000000" w:sz="4" w:space="0"/>
                    <w:right w:val="single" w:color="000000" w:sz="4" w:space="0"/>
                  </w:tcBorders>
                  <w:vAlign w:val="center"/>
                </w:tcPr>
                <w:p w14:paraId="1C768DCD">
                  <w:pPr>
                    <w:pStyle w:val="48"/>
                  </w:pPr>
                  <w:r>
                    <w:t>机械设备</w:t>
                  </w:r>
                </w:p>
              </w:tc>
              <w:tc>
                <w:tcPr>
                  <w:tcW w:w="1375" w:type="dxa"/>
                  <w:tcBorders>
                    <w:top w:val="single" w:color="000000" w:sz="4" w:space="0"/>
                    <w:left w:val="nil"/>
                    <w:bottom w:val="single" w:color="000000" w:sz="4" w:space="0"/>
                    <w:right w:val="single" w:color="000000" w:sz="4" w:space="0"/>
                  </w:tcBorders>
                  <w:vAlign w:val="center"/>
                </w:tcPr>
                <w:p w14:paraId="0B2AA434">
                  <w:pPr>
                    <w:pStyle w:val="48"/>
                  </w:pPr>
                  <w:r>
                    <w:t>噪声</w:t>
                  </w:r>
                </w:p>
              </w:tc>
              <w:tc>
                <w:tcPr>
                  <w:tcW w:w="2300" w:type="dxa"/>
                  <w:tcBorders>
                    <w:top w:val="single" w:color="000000" w:sz="4" w:space="0"/>
                    <w:left w:val="nil"/>
                    <w:bottom w:val="single" w:color="000000" w:sz="4" w:space="0"/>
                    <w:right w:val="single" w:color="000000" w:sz="4" w:space="0"/>
                  </w:tcBorders>
                  <w:vAlign w:val="center"/>
                </w:tcPr>
                <w:p w14:paraId="7DEA113D">
                  <w:pPr>
                    <w:pStyle w:val="48"/>
                  </w:pPr>
                  <w:r>
                    <w:t xml:space="preserve">厂界加强绿化，选用低噪声设备，采取隔声、减振、消声等降噪措施。 </w:t>
                  </w:r>
                </w:p>
              </w:tc>
              <w:tc>
                <w:tcPr>
                  <w:tcW w:w="1740" w:type="dxa"/>
                  <w:tcBorders>
                    <w:top w:val="single" w:color="000000" w:sz="4" w:space="0"/>
                    <w:left w:val="nil"/>
                    <w:bottom w:val="single" w:color="000000" w:sz="4" w:space="0"/>
                    <w:right w:val="nil"/>
                  </w:tcBorders>
                  <w:vAlign w:val="center"/>
                </w:tcPr>
                <w:p w14:paraId="17A453C3">
                  <w:pPr>
                    <w:pStyle w:val="48"/>
                  </w:pPr>
                  <w:r>
                    <w:t>《工业企业厂界环境噪声排放标准》（GB 12348-2008）</w:t>
                  </w:r>
                </w:p>
                <w:p w14:paraId="162E2A65">
                  <w:pPr>
                    <w:pStyle w:val="48"/>
                  </w:pPr>
                  <w:r>
                    <w:t>3类</w:t>
                  </w:r>
                </w:p>
              </w:tc>
            </w:tr>
            <w:tr w14:paraId="1A8B0C61">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486" w:type="dxa"/>
                  <w:vMerge w:val="continue"/>
                  <w:tcBorders>
                    <w:top w:val="nil"/>
                    <w:left w:val="nil"/>
                    <w:bottom w:val="single" w:color="000000" w:sz="4" w:space="0"/>
                    <w:right w:val="single" w:color="000000" w:sz="4" w:space="0"/>
                  </w:tcBorders>
                  <w:vAlign w:val="center"/>
                </w:tcPr>
                <w:p w14:paraId="6F6AEACB">
                  <w:pPr>
                    <w:pStyle w:val="48"/>
                    <w:rPr>
                      <w:sz w:val="24"/>
                      <w:szCs w:val="24"/>
                    </w:rPr>
                  </w:pPr>
                </w:p>
              </w:tc>
              <w:tc>
                <w:tcPr>
                  <w:tcW w:w="796" w:type="dxa"/>
                  <w:vMerge w:val="continue"/>
                  <w:tcBorders>
                    <w:top w:val="nil"/>
                    <w:left w:val="nil"/>
                    <w:bottom w:val="single" w:color="000000" w:sz="4" w:space="0"/>
                    <w:right w:val="single" w:color="000000" w:sz="4" w:space="0"/>
                  </w:tcBorders>
                  <w:vAlign w:val="center"/>
                </w:tcPr>
                <w:p w14:paraId="73BE62A2">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69DAC87A">
                  <w:pPr>
                    <w:pStyle w:val="48"/>
                  </w:pPr>
                  <w:r>
                    <w:t>运输</w:t>
                  </w:r>
                </w:p>
              </w:tc>
              <w:tc>
                <w:tcPr>
                  <w:tcW w:w="1375" w:type="dxa"/>
                  <w:tcBorders>
                    <w:top w:val="single" w:color="000000" w:sz="4" w:space="0"/>
                    <w:left w:val="nil"/>
                    <w:bottom w:val="single" w:color="000000" w:sz="4" w:space="0"/>
                    <w:right w:val="single" w:color="000000" w:sz="4" w:space="0"/>
                  </w:tcBorders>
                  <w:vAlign w:val="center"/>
                </w:tcPr>
                <w:p w14:paraId="0949D241">
                  <w:pPr>
                    <w:pStyle w:val="48"/>
                  </w:pPr>
                  <w:r>
                    <w:t>噪声</w:t>
                  </w:r>
                </w:p>
              </w:tc>
              <w:tc>
                <w:tcPr>
                  <w:tcW w:w="2300" w:type="dxa"/>
                  <w:tcBorders>
                    <w:top w:val="single" w:color="000000" w:sz="4" w:space="0"/>
                    <w:left w:val="nil"/>
                    <w:bottom w:val="single" w:color="000000" w:sz="4" w:space="0"/>
                    <w:right w:val="single" w:color="000000" w:sz="4" w:space="0"/>
                  </w:tcBorders>
                  <w:vAlign w:val="center"/>
                </w:tcPr>
                <w:p w14:paraId="7013CA99">
                  <w:pPr>
                    <w:pStyle w:val="48"/>
                  </w:pPr>
                  <w:r>
                    <w:t>加强管理，严禁车辆超速超载运输。</w:t>
                  </w:r>
                </w:p>
              </w:tc>
              <w:tc>
                <w:tcPr>
                  <w:tcW w:w="1740" w:type="dxa"/>
                  <w:tcBorders>
                    <w:top w:val="single" w:color="000000" w:sz="4" w:space="0"/>
                    <w:left w:val="nil"/>
                    <w:bottom w:val="single" w:color="000000" w:sz="4" w:space="0"/>
                    <w:right w:val="nil"/>
                  </w:tcBorders>
                  <w:vAlign w:val="center"/>
                </w:tcPr>
                <w:p w14:paraId="42503842">
                  <w:pPr>
                    <w:pStyle w:val="48"/>
                  </w:pPr>
                  <w:r>
                    <w:t>-</w:t>
                  </w:r>
                </w:p>
              </w:tc>
            </w:tr>
            <w:tr w14:paraId="6975FAA5">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6" w:hRule="atLeast"/>
                <w:jc w:val="center"/>
              </w:trPr>
              <w:tc>
                <w:tcPr>
                  <w:tcW w:w="486" w:type="dxa"/>
                  <w:vMerge w:val="continue"/>
                  <w:tcBorders>
                    <w:left w:val="nil"/>
                    <w:right w:val="single" w:color="000000" w:sz="4" w:space="0"/>
                  </w:tcBorders>
                  <w:vAlign w:val="center"/>
                </w:tcPr>
                <w:p w14:paraId="636694E4">
                  <w:pPr>
                    <w:pStyle w:val="48"/>
                    <w:rPr>
                      <w:sz w:val="24"/>
                      <w:szCs w:val="24"/>
                    </w:rPr>
                  </w:pPr>
                </w:p>
              </w:tc>
              <w:tc>
                <w:tcPr>
                  <w:tcW w:w="796" w:type="dxa"/>
                  <w:vMerge w:val="continue"/>
                  <w:tcBorders>
                    <w:left w:val="nil"/>
                    <w:right w:val="single" w:color="000000" w:sz="4" w:space="0"/>
                  </w:tcBorders>
                  <w:vAlign w:val="center"/>
                </w:tcPr>
                <w:p w14:paraId="716ADCBF">
                  <w:pPr>
                    <w:pStyle w:val="48"/>
                    <w:rPr>
                      <w:sz w:val="24"/>
                      <w:szCs w:val="24"/>
                    </w:rPr>
                  </w:pPr>
                </w:p>
              </w:tc>
              <w:tc>
                <w:tcPr>
                  <w:tcW w:w="1665" w:type="dxa"/>
                  <w:vMerge w:val="restart"/>
                  <w:tcBorders>
                    <w:top w:val="single" w:color="000000" w:sz="4" w:space="0"/>
                    <w:left w:val="nil"/>
                    <w:right w:val="single" w:color="000000" w:sz="4" w:space="0"/>
                  </w:tcBorders>
                  <w:vAlign w:val="center"/>
                </w:tcPr>
                <w:p w14:paraId="2BA37723">
                  <w:pPr>
                    <w:pStyle w:val="48"/>
                  </w:pPr>
                  <w:r>
                    <w:t>烘干废气喷淋脱硫</w:t>
                  </w:r>
                </w:p>
              </w:tc>
              <w:tc>
                <w:tcPr>
                  <w:tcW w:w="1375" w:type="dxa"/>
                  <w:tcBorders>
                    <w:top w:val="single" w:color="000000" w:sz="4" w:space="0"/>
                    <w:left w:val="nil"/>
                    <w:bottom w:val="single" w:color="000000" w:sz="4" w:space="0"/>
                    <w:right w:val="single" w:color="000000" w:sz="4" w:space="0"/>
                  </w:tcBorders>
                  <w:vAlign w:val="center"/>
                </w:tcPr>
                <w:p w14:paraId="391E34FC">
                  <w:pPr>
                    <w:pStyle w:val="48"/>
                  </w:pPr>
                  <w:r>
                    <w:t>脱硫石膏</w:t>
                  </w:r>
                </w:p>
              </w:tc>
              <w:tc>
                <w:tcPr>
                  <w:tcW w:w="2300" w:type="dxa"/>
                  <w:vMerge w:val="restart"/>
                  <w:tcBorders>
                    <w:left w:val="nil"/>
                    <w:right w:val="single" w:color="000000" w:sz="4" w:space="0"/>
                  </w:tcBorders>
                  <w:vAlign w:val="center"/>
                </w:tcPr>
                <w:p w14:paraId="56E37506">
                  <w:pPr>
                    <w:pStyle w:val="48"/>
                    <w:rPr>
                      <w:sz w:val="24"/>
                      <w:szCs w:val="24"/>
                    </w:rPr>
                  </w:pPr>
                  <w:r>
                    <w:t>30m</w:t>
                  </w:r>
                  <w:r>
                    <w:rPr>
                      <w:vertAlign w:val="superscript"/>
                    </w:rPr>
                    <w:t>2</w:t>
                  </w:r>
                  <w:r>
                    <w:t>一般固废间1座</w:t>
                  </w:r>
                </w:p>
              </w:tc>
              <w:tc>
                <w:tcPr>
                  <w:tcW w:w="1740" w:type="dxa"/>
                  <w:vMerge w:val="restart"/>
                  <w:tcBorders>
                    <w:left w:val="nil"/>
                    <w:right w:val="nil"/>
                  </w:tcBorders>
                  <w:vAlign w:val="center"/>
                </w:tcPr>
                <w:p w14:paraId="6F0D39F9">
                  <w:pPr>
                    <w:pStyle w:val="48"/>
                    <w:rPr>
                      <w:color w:val="0000FF"/>
                      <w:sz w:val="24"/>
                      <w:szCs w:val="24"/>
                    </w:rPr>
                  </w:pPr>
                  <w:r>
                    <w:rPr>
                      <w:color w:val="0000FF"/>
                    </w:rPr>
                    <w:t>《一般工业固体废物贮存和填埋污染控制标准》（GB18599-2020）</w:t>
                  </w:r>
                </w:p>
              </w:tc>
            </w:tr>
            <w:tr w14:paraId="486B7E83">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486" w:type="dxa"/>
                  <w:vMerge w:val="continue"/>
                  <w:tcBorders>
                    <w:left w:val="nil"/>
                    <w:right w:val="single" w:color="000000" w:sz="4" w:space="0"/>
                  </w:tcBorders>
                  <w:vAlign w:val="center"/>
                </w:tcPr>
                <w:p w14:paraId="6E1D6913">
                  <w:pPr>
                    <w:pStyle w:val="48"/>
                    <w:rPr>
                      <w:sz w:val="24"/>
                      <w:szCs w:val="24"/>
                    </w:rPr>
                  </w:pPr>
                </w:p>
              </w:tc>
              <w:tc>
                <w:tcPr>
                  <w:tcW w:w="796" w:type="dxa"/>
                  <w:vMerge w:val="continue"/>
                  <w:tcBorders>
                    <w:left w:val="nil"/>
                    <w:right w:val="single" w:color="000000" w:sz="4" w:space="0"/>
                  </w:tcBorders>
                  <w:vAlign w:val="center"/>
                </w:tcPr>
                <w:p w14:paraId="7954F5A2">
                  <w:pPr>
                    <w:pStyle w:val="48"/>
                    <w:rPr>
                      <w:sz w:val="24"/>
                      <w:szCs w:val="24"/>
                    </w:rPr>
                  </w:pPr>
                </w:p>
              </w:tc>
              <w:tc>
                <w:tcPr>
                  <w:tcW w:w="1665" w:type="dxa"/>
                  <w:vMerge w:val="continue"/>
                  <w:tcBorders>
                    <w:left w:val="nil"/>
                    <w:bottom w:val="single" w:color="000000" w:sz="4" w:space="0"/>
                    <w:right w:val="single" w:color="000000" w:sz="4" w:space="0"/>
                  </w:tcBorders>
                  <w:vAlign w:val="center"/>
                </w:tcPr>
                <w:p w14:paraId="4B60523E">
                  <w:pPr>
                    <w:pStyle w:val="48"/>
                  </w:pPr>
                </w:p>
              </w:tc>
              <w:tc>
                <w:tcPr>
                  <w:tcW w:w="1375" w:type="dxa"/>
                  <w:tcBorders>
                    <w:top w:val="single" w:color="000000" w:sz="4" w:space="0"/>
                    <w:left w:val="nil"/>
                    <w:bottom w:val="single" w:color="000000" w:sz="4" w:space="0"/>
                    <w:right w:val="single" w:color="000000" w:sz="4" w:space="0"/>
                  </w:tcBorders>
                  <w:vAlign w:val="center"/>
                </w:tcPr>
                <w:p w14:paraId="4940013F">
                  <w:pPr>
                    <w:pStyle w:val="48"/>
                  </w:pPr>
                  <w:r>
                    <w:rPr>
                      <w:color w:val="0000FF"/>
                    </w:rPr>
                    <w:t>沉淀池沉淀</w:t>
                  </w:r>
                </w:p>
              </w:tc>
              <w:tc>
                <w:tcPr>
                  <w:tcW w:w="2300" w:type="dxa"/>
                  <w:vMerge w:val="continue"/>
                  <w:tcBorders>
                    <w:left w:val="nil"/>
                    <w:bottom w:val="single" w:color="000000" w:sz="4" w:space="0"/>
                    <w:right w:val="single" w:color="000000" w:sz="4" w:space="0"/>
                  </w:tcBorders>
                  <w:vAlign w:val="center"/>
                </w:tcPr>
                <w:p w14:paraId="377C96DE">
                  <w:pPr>
                    <w:pStyle w:val="48"/>
                    <w:rPr>
                      <w:sz w:val="24"/>
                      <w:szCs w:val="24"/>
                    </w:rPr>
                  </w:pPr>
                </w:p>
              </w:tc>
              <w:tc>
                <w:tcPr>
                  <w:tcW w:w="1740" w:type="dxa"/>
                  <w:vMerge w:val="continue"/>
                  <w:tcBorders>
                    <w:left w:val="nil"/>
                    <w:bottom w:val="single" w:color="000000" w:sz="4" w:space="0"/>
                    <w:right w:val="nil"/>
                  </w:tcBorders>
                  <w:vAlign w:val="center"/>
                </w:tcPr>
                <w:p w14:paraId="41B49957">
                  <w:pPr>
                    <w:pStyle w:val="48"/>
                    <w:rPr>
                      <w:sz w:val="24"/>
                      <w:szCs w:val="24"/>
                    </w:rPr>
                  </w:pPr>
                </w:p>
              </w:tc>
            </w:tr>
            <w:tr w14:paraId="2FE1F388">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86" w:type="dxa"/>
                  <w:vMerge w:val="continue"/>
                  <w:tcBorders>
                    <w:left w:val="nil"/>
                    <w:right w:val="single" w:color="000000" w:sz="4" w:space="0"/>
                  </w:tcBorders>
                  <w:vAlign w:val="center"/>
                </w:tcPr>
                <w:p w14:paraId="5EE1549C">
                  <w:pPr>
                    <w:pStyle w:val="48"/>
                    <w:rPr>
                      <w:sz w:val="24"/>
                      <w:szCs w:val="24"/>
                    </w:rPr>
                  </w:pPr>
                </w:p>
              </w:tc>
              <w:tc>
                <w:tcPr>
                  <w:tcW w:w="796" w:type="dxa"/>
                  <w:vMerge w:val="continue"/>
                  <w:tcBorders>
                    <w:left w:val="nil"/>
                    <w:right w:val="single" w:color="000000" w:sz="4" w:space="0"/>
                  </w:tcBorders>
                  <w:vAlign w:val="center"/>
                </w:tcPr>
                <w:p w14:paraId="0577C987">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5F7B0640">
                  <w:pPr>
                    <w:pStyle w:val="48"/>
                  </w:pPr>
                  <w:r>
                    <w:t>设备维护保养</w:t>
                  </w:r>
                </w:p>
              </w:tc>
              <w:tc>
                <w:tcPr>
                  <w:tcW w:w="1375" w:type="dxa"/>
                  <w:tcBorders>
                    <w:top w:val="single" w:color="000000" w:sz="4" w:space="0"/>
                    <w:left w:val="nil"/>
                    <w:bottom w:val="single" w:color="000000" w:sz="4" w:space="0"/>
                    <w:right w:val="single" w:color="000000" w:sz="4" w:space="0"/>
                  </w:tcBorders>
                  <w:vAlign w:val="center"/>
                </w:tcPr>
                <w:p w14:paraId="0DABA6A9">
                  <w:pPr>
                    <w:pStyle w:val="48"/>
                  </w:pPr>
                  <w:r>
                    <w:t>废机油、废油桶</w:t>
                  </w:r>
                </w:p>
              </w:tc>
              <w:tc>
                <w:tcPr>
                  <w:tcW w:w="2300" w:type="dxa"/>
                  <w:tcBorders>
                    <w:top w:val="single" w:color="000000" w:sz="4" w:space="0"/>
                    <w:left w:val="nil"/>
                    <w:bottom w:val="single" w:color="000000" w:sz="4" w:space="0"/>
                    <w:right w:val="single" w:color="000000" w:sz="4" w:space="0"/>
                  </w:tcBorders>
                  <w:vAlign w:val="center"/>
                </w:tcPr>
                <w:p w14:paraId="0D2559F8">
                  <w:pPr>
                    <w:pStyle w:val="48"/>
                  </w:pPr>
                  <w:r>
                    <w:t>10m</w:t>
                  </w:r>
                  <w:r>
                    <w:rPr>
                      <w:vertAlign w:val="superscript"/>
                    </w:rPr>
                    <w:t>2</w:t>
                  </w:r>
                  <w:r>
                    <w:t>危废贮存点1座</w:t>
                  </w:r>
                </w:p>
              </w:tc>
              <w:tc>
                <w:tcPr>
                  <w:tcW w:w="1740" w:type="dxa"/>
                  <w:tcBorders>
                    <w:top w:val="single" w:color="000000" w:sz="4" w:space="0"/>
                    <w:left w:val="nil"/>
                    <w:bottom w:val="single" w:color="000000" w:sz="4" w:space="0"/>
                    <w:right w:val="nil"/>
                  </w:tcBorders>
                  <w:vAlign w:val="center"/>
                </w:tcPr>
                <w:p w14:paraId="6CF937E3">
                  <w:pPr>
                    <w:pStyle w:val="48"/>
                  </w:pPr>
                  <w:r>
                    <w:rPr>
                      <w:kern w:val="0"/>
                    </w:rPr>
                    <w:t>《危险废物贮存污染控制标准》（GB 18597-2023）</w:t>
                  </w:r>
                </w:p>
              </w:tc>
            </w:tr>
            <w:tr w14:paraId="159611D4">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486" w:type="dxa"/>
                  <w:vMerge w:val="continue"/>
                  <w:tcBorders>
                    <w:left w:val="nil"/>
                    <w:bottom w:val="single" w:color="000000" w:sz="4" w:space="0"/>
                    <w:right w:val="single" w:color="000000" w:sz="4" w:space="0"/>
                  </w:tcBorders>
                  <w:vAlign w:val="center"/>
                </w:tcPr>
                <w:p w14:paraId="0A4869D2">
                  <w:pPr>
                    <w:pStyle w:val="48"/>
                    <w:rPr>
                      <w:sz w:val="24"/>
                      <w:szCs w:val="24"/>
                    </w:rPr>
                  </w:pPr>
                </w:p>
              </w:tc>
              <w:tc>
                <w:tcPr>
                  <w:tcW w:w="796" w:type="dxa"/>
                  <w:vMerge w:val="continue"/>
                  <w:tcBorders>
                    <w:left w:val="nil"/>
                    <w:bottom w:val="single" w:color="000000" w:sz="4" w:space="0"/>
                    <w:right w:val="single" w:color="000000" w:sz="4" w:space="0"/>
                  </w:tcBorders>
                  <w:vAlign w:val="center"/>
                </w:tcPr>
                <w:p w14:paraId="171066B9">
                  <w:pPr>
                    <w:pStyle w:val="48"/>
                    <w:rPr>
                      <w:sz w:val="24"/>
                      <w:szCs w:val="24"/>
                    </w:rPr>
                  </w:pPr>
                </w:p>
              </w:tc>
              <w:tc>
                <w:tcPr>
                  <w:tcW w:w="1665" w:type="dxa"/>
                  <w:tcBorders>
                    <w:top w:val="single" w:color="000000" w:sz="4" w:space="0"/>
                    <w:left w:val="nil"/>
                    <w:bottom w:val="single" w:color="000000" w:sz="4" w:space="0"/>
                    <w:right w:val="single" w:color="000000" w:sz="4" w:space="0"/>
                  </w:tcBorders>
                  <w:vAlign w:val="center"/>
                </w:tcPr>
                <w:p w14:paraId="6B417AFB">
                  <w:pPr>
                    <w:pStyle w:val="48"/>
                  </w:pPr>
                  <w:r>
                    <w:rPr>
                      <w:kern w:val="0"/>
                    </w:rPr>
                    <w:t>职工生活</w:t>
                  </w:r>
                </w:p>
              </w:tc>
              <w:tc>
                <w:tcPr>
                  <w:tcW w:w="1375" w:type="dxa"/>
                  <w:tcBorders>
                    <w:top w:val="single" w:color="000000" w:sz="4" w:space="0"/>
                    <w:left w:val="nil"/>
                    <w:bottom w:val="single" w:color="000000" w:sz="4" w:space="0"/>
                    <w:right w:val="single" w:color="000000" w:sz="4" w:space="0"/>
                  </w:tcBorders>
                  <w:vAlign w:val="center"/>
                </w:tcPr>
                <w:p w14:paraId="4A17DCBA">
                  <w:pPr>
                    <w:pStyle w:val="48"/>
                  </w:pPr>
                  <w:r>
                    <w:rPr>
                      <w:kern w:val="0"/>
                    </w:rPr>
                    <w:t>生活垃圾</w:t>
                  </w:r>
                </w:p>
              </w:tc>
              <w:tc>
                <w:tcPr>
                  <w:tcW w:w="2300" w:type="dxa"/>
                  <w:tcBorders>
                    <w:top w:val="single" w:color="000000" w:sz="4" w:space="0"/>
                    <w:left w:val="nil"/>
                    <w:bottom w:val="single" w:color="000000" w:sz="4" w:space="0"/>
                    <w:right w:val="single" w:color="000000" w:sz="4" w:space="0"/>
                  </w:tcBorders>
                  <w:vAlign w:val="center"/>
                </w:tcPr>
                <w:p w14:paraId="107BBAFE">
                  <w:pPr>
                    <w:pStyle w:val="48"/>
                    <w:rPr>
                      <w:kern w:val="0"/>
                    </w:rPr>
                  </w:pPr>
                  <w:r>
                    <w:rPr>
                      <w:kern w:val="0"/>
                    </w:rPr>
                    <w:t>生活垃圾箱2个</w:t>
                  </w:r>
                </w:p>
              </w:tc>
              <w:tc>
                <w:tcPr>
                  <w:tcW w:w="1740" w:type="dxa"/>
                  <w:tcBorders>
                    <w:top w:val="single" w:color="000000" w:sz="4" w:space="0"/>
                    <w:left w:val="nil"/>
                    <w:bottom w:val="single" w:color="000000" w:sz="4" w:space="0"/>
                    <w:right w:val="nil"/>
                  </w:tcBorders>
                  <w:vAlign w:val="center"/>
                </w:tcPr>
                <w:p w14:paraId="75C15991">
                  <w:pPr>
                    <w:pStyle w:val="48"/>
                  </w:pPr>
                  <w:r>
                    <w:t>-</w:t>
                  </w:r>
                </w:p>
              </w:tc>
            </w:tr>
            <w:tr w14:paraId="27889C99">
              <w:tblPrEx>
                <w:tblBorders>
                  <w:top w:val="double" w:color="000000" w:sz="2" w:space="0"/>
                  <w:left w:val="none" w:color="auto" w:sz="0" w:space="0"/>
                  <w:bottom w:val="double" w:color="000000" w:sz="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486" w:type="dxa"/>
                  <w:tcBorders>
                    <w:top w:val="single" w:color="000000" w:sz="4" w:space="0"/>
                    <w:left w:val="nil"/>
                    <w:bottom w:val="double" w:color="000000" w:sz="2" w:space="0"/>
                    <w:right w:val="single" w:color="000000" w:sz="4" w:space="0"/>
                  </w:tcBorders>
                  <w:vAlign w:val="center"/>
                </w:tcPr>
                <w:p w14:paraId="3936B920">
                  <w:pPr>
                    <w:pStyle w:val="48"/>
                  </w:pPr>
                  <w:r>
                    <w:t>5</w:t>
                  </w:r>
                </w:p>
              </w:tc>
              <w:tc>
                <w:tcPr>
                  <w:tcW w:w="796" w:type="dxa"/>
                  <w:tcBorders>
                    <w:top w:val="single" w:color="000000" w:sz="4" w:space="0"/>
                    <w:left w:val="nil"/>
                    <w:bottom w:val="double" w:color="000000" w:sz="2" w:space="0"/>
                    <w:right w:val="single" w:color="000000" w:sz="4" w:space="0"/>
                  </w:tcBorders>
                  <w:vAlign w:val="center"/>
                </w:tcPr>
                <w:p w14:paraId="0368C291">
                  <w:pPr>
                    <w:pStyle w:val="48"/>
                  </w:pPr>
                  <w:r>
                    <w:t>地下水土壤</w:t>
                  </w:r>
                </w:p>
              </w:tc>
              <w:tc>
                <w:tcPr>
                  <w:tcW w:w="1665" w:type="dxa"/>
                  <w:tcBorders>
                    <w:top w:val="single" w:color="000000" w:sz="4" w:space="0"/>
                    <w:left w:val="nil"/>
                    <w:bottom w:val="double" w:color="000000" w:sz="2" w:space="0"/>
                    <w:right w:val="single" w:color="000000" w:sz="4" w:space="0"/>
                  </w:tcBorders>
                  <w:vAlign w:val="center"/>
                </w:tcPr>
                <w:p w14:paraId="64FCE228">
                  <w:pPr>
                    <w:pStyle w:val="48"/>
                  </w:pPr>
                  <w:r>
                    <w:t>-</w:t>
                  </w:r>
                </w:p>
              </w:tc>
              <w:tc>
                <w:tcPr>
                  <w:tcW w:w="1375" w:type="dxa"/>
                  <w:tcBorders>
                    <w:top w:val="single" w:color="000000" w:sz="4" w:space="0"/>
                    <w:left w:val="nil"/>
                    <w:bottom w:val="double" w:color="000000" w:sz="2" w:space="0"/>
                    <w:right w:val="single" w:color="000000" w:sz="4" w:space="0"/>
                  </w:tcBorders>
                  <w:vAlign w:val="center"/>
                </w:tcPr>
                <w:p w14:paraId="547CFC2F">
                  <w:pPr>
                    <w:pStyle w:val="48"/>
                  </w:pPr>
                  <w:r>
                    <w:t>-</w:t>
                  </w:r>
                </w:p>
              </w:tc>
              <w:tc>
                <w:tcPr>
                  <w:tcW w:w="2300" w:type="dxa"/>
                  <w:tcBorders>
                    <w:top w:val="single" w:color="000000" w:sz="4" w:space="0"/>
                    <w:left w:val="nil"/>
                    <w:bottom w:val="double" w:color="000000" w:sz="2" w:space="0"/>
                    <w:right w:val="single" w:color="000000" w:sz="4" w:space="0"/>
                  </w:tcBorders>
                  <w:vAlign w:val="center"/>
                </w:tcPr>
                <w:p w14:paraId="59E3873E">
                  <w:pPr>
                    <w:pStyle w:val="48"/>
                    <w:rPr>
                      <w:kern w:val="0"/>
                    </w:rPr>
                  </w:pPr>
                  <w:r>
                    <w:rPr>
                      <w:kern w:val="0"/>
                    </w:rPr>
                    <w:t>危废贮存点做重点防渗，原料库、生产车间、烘干车间、成品库</w:t>
                  </w:r>
                </w:p>
                <w:p w14:paraId="08C82C25">
                  <w:pPr>
                    <w:pStyle w:val="48"/>
                    <w:rPr>
                      <w:sz w:val="24"/>
                      <w:szCs w:val="24"/>
                    </w:rPr>
                  </w:pPr>
                  <w:r>
                    <w:rPr>
                      <w:kern w:val="0"/>
                    </w:rPr>
                    <w:t>做一般防渗，其他区域做简单防渗。</w:t>
                  </w:r>
                </w:p>
              </w:tc>
              <w:tc>
                <w:tcPr>
                  <w:tcW w:w="1740" w:type="dxa"/>
                  <w:tcBorders>
                    <w:top w:val="single" w:color="000000" w:sz="4" w:space="0"/>
                    <w:left w:val="nil"/>
                    <w:bottom w:val="double" w:color="000000" w:sz="2" w:space="0"/>
                    <w:right w:val="nil"/>
                  </w:tcBorders>
                  <w:vAlign w:val="center"/>
                </w:tcPr>
                <w:p w14:paraId="02523A06">
                  <w:pPr>
                    <w:pStyle w:val="48"/>
                  </w:pPr>
                  <w:r>
                    <w:t>-</w:t>
                  </w:r>
                </w:p>
              </w:tc>
            </w:tr>
          </w:tbl>
          <w:p w14:paraId="3EEC57B3">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十二、排污许可</w:t>
            </w:r>
          </w:p>
          <w:p w14:paraId="0BED4EC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关于做好环境影响评价制度与排污许可衔接相关工作的通知》（环办环评[2017]84号），项目应在获得环评审批文件后，按照国家环境保护相关法律法规以及排污许可证申请与核发技术规范要求申请排污许可证。</w:t>
            </w:r>
          </w:p>
          <w:p w14:paraId="29F3556D">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本项目行业类别为废弃资源综合利用中的B4210金属废料和碎屑加工处理，根据《固定污染源排污许可分类管理名录（2019年版）》，本项目为</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三十七、废弃资源综合利用业 42</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，为不含水洗工艺的其他废料和碎屑加工处理，即</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其他</w:t>
            </w:r>
            <w:r>
              <w:rPr>
                <w:rFonts w:hint="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，需要申请排污许可登记管理，但本项目同时涉及通用工序中工业炉窑的简化管理，需要申请取得排污许可证。</w:t>
            </w:r>
          </w:p>
          <w:p w14:paraId="7720EE1E">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十三、自主验收</w:t>
            </w:r>
          </w:p>
          <w:p w14:paraId="455BE597">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项目竣工环境保护验收暂行办法》国环规环评[2017]4号（2017年11月20日）：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14:paraId="7183B2E3">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因此，根据要求朝阳县佳云奇金属材料有限公司是本项目验收的责任主体，应按照要求组织自主验收。</w:t>
            </w:r>
          </w:p>
          <w:p w14:paraId="647290EB">
            <w:pPr>
              <w:pStyle w:val="65"/>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十四、排污口规范化</w:t>
            </w:r>
          </w:p>
          <w:p w14:paraId="1A2E7B4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按照《国家环境保护总局关于修改开展排放口规范化整治工作的通知的决定》（2006年6月5日，国家环境保护总局令第33号），该项目废气排放口、固体废物堆放处必须进行规范化设置。本项目应在各气、固排污口挂牌标识，做到各个排污口（源）的环保标志明显，便于企业管理和公众监督。</w:t>
            </w:r>
          </w:p>
          <w:p w14:paraId="043C794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排污单位建设排放口（源）和固体废物贮存（处置）场图形标志必须符合国家标准《环境保护图形标志—排放口（源）》（GB 15562.1-1995）、《环境保护图形标志 固体废物贮存（处置）场》（GB 15562.2-1995）及其修改单中规定。</w:t>
            </w:r>
          </w:p>
          <w:p w14:paraId="1F05B03A">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标志牌设置应距污染物排放口（源）及固体废物贮存（处置）场或采样、监测点附近且醒目处，并能长久保留。可根据情况分别选择设置立式或平面固定式标志牌，在地面设置标志牌上缘距离地面2米。</w:t>
            </w:r>
          </w:p>
          <w:p w14:paraId="38465838">
            <w:pPr>
              <w:pStyle w:val="65"/>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一般性污染物排放口（源）或固体废物贮存、处置场，设置提示性环境保护图形标志牌。标志牌辅助标志上需要填写的栏目，应由环境保护部门统一组织填写，要求字迹工整，字的颜色与标志牌颜色总体协调。</w:t>
            </w:r>
          </w:p>
          <w:p w14:paraId="7DB32A31">
            <w:pPr>
              <w:pStyle w:val="92"/>
              <w:ind w:left="21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表4-34 环境保护图形符号一览表</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31"/>
              <w:gridCol w:w="1548"/>
              <w:gridCol w:w="1694"/>
              <w:gridCol w:w="1456"/>
              <w:gridCol w:w="3117"/>
            </w:tblGrid>
            <w:tr w14:paraId="490E18DC">
              <w:tblPrEx>
                <w:tblBorders>
                  <w:top w:val="double" w:color="auto" w:sz="2" w:space="0"/>
                  <w:left w:val="none" w:color="auto" w:sz="0" w:space="0"/>
                  <w:bottom w:val="doub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558" w:type="dxa"/>
                  <w:tcBorders>
                    <w:top w:val="double" w:color="auto" w:sz="2" w:space="0"/>
                    <w:left w:val="nil"/>
                    <w:bottom w:val="single" w:color="auto" w:sz="2" w:space="0"/>
                    <w:right w:val="single" w:color="auto" w:sz="2" w:space="0"/>
                  </w:tcBorders>
                  <w:vAlign w:val="center"/>
                </w:tcPr>
                <w:p w14:paraId="5D668F70">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序号</w:t>
                  </w:r>
                </w:p>
              </w:tc>
              <w:tc>
                <w:tcPr>
                  <w:tcW w:w="1367" w:type="dxa"/>
                  <w:tcBorders>
                    <w:top w:val="double" w:color="auto" w:sz="2" w:space="0"/>
                    <w:left w:val="single" w:color="auto" w:sz="2" w:space="0"/>
                    <w:bottom w:val="single" w:color="auto" w:sz="2" w:space="0"/>
                    <w:right w:val="single" w:color="auto" w:sz="2" w:space="0"/>
                  </w:tcBorders>
                  <w:vAlign w:val="center"/>
                </w:tcPr>
                <w:p w14:paraId="42999C6C">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提示图形符号</w:t>
                  </w:r>
                </w:p>
              </w:tc>
              <w:tc>
                <w:tcPr>
                  <w:tcW w:w="1496" w:type="dxa"/>
                  <w:tcBorders>
                    <w:top w:val="double" w:color="auto" w:sz="2" w:space="0"/>
                    <w:left w:val="single" w:color="auto" w:sz="2" w:space="0"/>
                    <w:bottom w:val="single" w:color="auto" w:sz="2" w:space="0"/>
                    <w:right w:val="single" w:color="auto" w:sz="2" w:space="0"/>
                  </w:tcBorders>
                  <w:vAlign w:val="center"/>
                </w:tcPr>
                <w:p w14:paraId="1A12A1D2">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警告图形符号</w:t>
                  </w:r>
                </w:p>
              </w:tc>
              <w:tc>
                <w:tcPr>
                  <w:tcW w:w="1286" w:type="dxa"/>
                  <w:tcBorders>
                    <w:top w:val="double" w:color="auto" w:sz="2" w:space="0"/>
                    <w:left w:val="single" w:color="auto" w:sz="2" w:space="0"/>
                    <w:bottom w:val="single" w:color="auto" w:sz="2" w:space="0"/>
                    <w:right w:val="single" w:color="auto" w:sz="2" w:space="0"/>
                  </w:tcBorders>
                  <w:vAlign w:val="center"/>
                </w:tcPr>
                <w:p w14:paraId="57D6ACCF">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名称</w:t>
                  </w:r>
                </w:p>
              </w:tc>
              <w:tc>
                <w:tcPr>
                  <w:tcW w:w="2753" w:type="dxa"/>
                  <w:tcBorders>
                    <w:top w:val="double" w:color="auto" w:sz="2" w:space="0"/>
                    <w:left w:val="single" w:color="auto" w:sz="2" w:space="0"/>
                    <w:bottom w:val="single" w:color="auto" w:sz="2" w:space="0"/>
                    <w:right w:val="nil"/>
                  </w:tcBorders>
                  <w:vAlign w:val="center"/>
                </w:tcPr>
                <w:p w14:paraId="61B071E4">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功能</w:t>
                  </w:r>
                </w:p>
              </w:tc>
            </w:tr>
            <w:tr w14:paraId="562CC0EC">
              <w:tblPrEx>
                <w:tblBorders>
                  <w:top w:val="double" w:color="auto" w:sz="2" w:space="0"/>
                  <w:left w:val="none" w:color="auto" w:sz="0" w:space="0"/>
                  <w:bottom w:val="doub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06" w:hRule="atLeast"/>
                <w:jc w:val="center"/>
              </w:trPr>
              <w:tc>
                <w:tcPr>
                  <w:tcW w:w="558" w:type="dxa"/>
                  <w:tcBorders>
                    <w:top w:val="single" w:color="auto" w:sz="2" w:space="0"/>
                    <w:left w:val="nil"/>
                    <w:bottom w:val="single" w:color="auto" w:sz="2" w:space="0"/>
                    <w:right w:val="single" w:color="auto" w:sz="2" w:space="0"/>
                  </w:tcBorders>
                  <w:vAlign w:val="center"/>
                </w:tcPr>
                <w:p w14:paraId="3CDC9261">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367" w:type="dxa"/>
                  <w:tcBorders>
                    <w:top w:val="single" w:color="auto" w:sz="2" w:space="0"/>
                    <w:left w:val="single" w:color="auto" w:sz="2" w:space="0"/>
                    <w:bottom w:val="single" w:color="auto" w:sz="2" w:space="0"/>
                    <w:right w:val="single" w:color="auto" w:sz="2" w:space="0"/>
                  </w:tcBorders>
                  <w:vAlign w:val="center"/>
                </w:tcPr>
                <w:p w14:paraId="74E860A3">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789940" cy="789940"/>
                        <wp:effectExtent l="0" t="0" r="0" b="0"/>
                        <wp:docPr id="87946923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69235" name="图片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789940" cy="789940"/>
                                </a:xfrm>
                                <a:prstGeom prst="rect">
                                  <a:avLst/>
                                </a:prstGeom>
                                <a:noFill/>
                                <a:ln>
                                  <a:noFill/>
                                </a:ln>
                              </pic:spPr>
                            </pic:pic>
                          </a:graphicData>
                        </a:graphic>
                      </wp:inline>
                    </w:drawing>
                  </w:r>
                </w:p>
              </w:tc>
              <w:tc>
                <w:tcPr>
                  <w:tcW w:w="1496" w:type="dxa"/>
                  <w:tcBorders>
                    <w:top w:val="single" w:color="auto" w:sz="2" w:space="0"/>
                    <w:left w:val="single" w:color="auto" w:sz="2" w:space="0"/>
                    <w:bottom w:val="single" w:color="auto" w:sz="2" w:space="0"/>
                    <w:right w:val="single" w:color="auto" w:sz="2" w:space="0"/>
                  </w:tcBorders>
                  <w:vAlign w:val="center"/>
                </w:tcPr>
                <w:p w14:paraId="11D03F69">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877570" cy="789940"/>
                        <wp:effectExtent l="0" t="0" r="0" b="0"/>
                        <wp:docPr id="52941967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19679" name="图片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877570" cy="789940"/>
                                </a:xfrm>
                                <a:prstGeom prst="rect">
                                  <a:avLst/>
                                </a:prstGeom>
                                <a:noFill/>
                                <a:ln>
                                  <a:noFill/>
                                </a:ln>
                              </pic:spPr>
                            </pic:pic>
                          </a:graphicData>
                        </a:graphic>
                      </wp:inline>
                    </w:drawing>
                  </w:r>
                </w:p>
              </w:tc>
              <w:tc>
                <w:tcPr>
                  <w:tcW w:w="1286" w:type="dxa"/>
                  <w:tcBorders>
                    <w:top w:val="single" w:color="auto" w:sz="2" w:space="0"/>
                    <w:left w:val="single" w:color="auto" w:sz="2" w:space="0"/>
                    <w:bottom w:val="single" w:color="auto" w:sz="2" w:space="0"/>
                    <w:right w:val="single" w:color="auto" w:sz="2" w:space="0"/>
                  </w:tcBorders>
                  <w:vAlign w:val="center"/>
                </w:tcPr>
                <w:p w14:paraId="7D1D4BB9">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废气排放口</w:t>
                  </w:r>
                </w:p>
              </w:tc>
              <w:tc>
                <w:tcPr>
                  <w:tcW w:w="2753" w:type="dxa"/>
                  <w:tcBorders>
                    <w:top w:val="single" w:color="auto" w:sz="2" w:space="0"/>
                    <w:left w:val="single" w:color="auto" w:sz="2" w:space="0"/>
                    <w:bottom w:val="single" w:color="auto" w:sz="2" w:space="0"/>
                    <w:right w:val="nil"/>
                  </w:tcBorders>
                  <w:vAlign w:val="center"/>
                </w:tcPr>
                <w:p w14:paraId="67EEFB54">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标识废气向大气排放</w:t>
                  </w:r>
                </w:p>
              </w:tc>
            </w:tr>
            <w:tr w14:paraId="0A3FCD55">
              <w:tblPrEx>
                <w:tblBorders>
                  <w:top w:val="double" w:color="auto" w:sz="2" w:space="0"/>
                  <w:left w:val="none" w:color="auto" w:sz="0" w:space="0"/>
                  <w:bottom w:val="doub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41" w:hRule="atLeast"/>
                <w:jc w:val="center"/>
              </w:trPr>
              <w:tc>
                <w:tcPr>
                  <w:tcW w:w="558" w:type="dxa"/>
                  <w:tcBorders>
                    <w:top w:val="single" w:color="auto" w:sz="2" w:space="0"/>
                    <w:left w:val="nil"/>
                    <w:bottom w:val="single" w:color="auto" w:sz="2" w:space="0"/>
                    <w:right w:val="single" w:color="auto" w:sz="2" w:space="0"/>
                  </w:tcBorders>
                  <w:vAlign w:val="center"/>
                </w:tcPr>
                <w:p w14:paraId="0DF1FDCC">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367" w:type="dxa"/>
                  <w:tcBorders>
                    <w:top w:val="single" w:color="auto" w:sz="2" w:space="0"/>
                    <w:left w:val="single" w:color="auto" w:sz="2" w:space="0"/>
                    <w:bottom w:val="single" w:color="auto" w:sz="2" w:space="0"/>
                    <w:right w:val="single" w:color="auto" w:sz="2" w:space="0"/>
                  </w:tcBorders>
                  <w:vAlign w:val="center"/>
                </w:tcPr>
                <w:p w14:paraId="17A22958">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848360" cy="855980"/>
                        <wp:effectExtent l="0" t="0" r="8890" b="1270"/>
                        <wp:docPr id="83600255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02556" name="图片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848360" cy="855980"/>
                                </a:xfrm>
                                <a:prstGeom prst="rect">
                                  <a:avLst/>
                                </a:prstGeom>
                                <a:noFill/>
                                <a:ln>
                                  <a:noFill/>
                                </a:ln>
                              </pic:spPr>
                            </pic:pic>
                          </a:graphicData>
                        </a:graphic>
                      </wp:inline>
                    </w:drawing>
                  </w:r>
                </w:p>
              </w:tc>
              <w:tc>
                <w:tcPr>
                  <w:tcW w:w="1496" w:type="dxa"/>
                  <w:tcBorders>
                    <w:top w:val="single" w:color="auto" w:sz="2" w:space="0"/>
                    <w:left w:val="single" w:color="auto" w:sz="2" w:space="0"/>
                    <w:bottom w:val="single" w:color="auto" w:sz="2" w:space="0"/>
                    <w:right w:val="single" w:color="auto" w:sz="2" w:space="0"/>
                  </w:tcBorders>
                  <w:vAlign w:val="center"/>
                </w:tcPr>
                <w:p w14:paraId="4318CB38">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914400" cy="855980"/>
                        <wp:effectExtent l="0" t="0" r="0" b="1270"/>
                        <wp:docPr id="151544130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41300" name="图片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914400" cy="855980"/>
                                </a:xfrm>
                                <a:prstGeom prst="rect">
                                  <a:avLst/>
                                </a:prstGeom>
                                <a:noFill/>
                                <a:ln>
                                  <a:noFill/>
                                </a:ln>
                              </pic:spPr>
                            </pic:pic>
                          </a:graphicData>
                        </a:graphic>
                      </wp:inline>
                    </w:drawing>
                  </w:r>
                </w:p>
              </w:tc>
              <w:tc>
                <w:tcPr>
                  <w:tcW w:w="1286" w:type="dxa"/>
                  <w:tcBorders>
                    <w:top w:val="single" w:color="auto" w:sz="2" w:space="0"/>
                    <w:left w:val="single" w:color="auto" w:sz="2" w:space="0"/>
                    <w:bottom w:val="single" w:color="auto" w:sz="2" w:space="0"/>
                    <w:right w:val="single" w:color="auto" w:sz="2" w:space="0"/>
                  </w:tcBorders>
                  <w:vAlign w:val="center"/>
                </w:tcPr>
                <w:p w14:paraId="2938EA4D">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一般固体废物</w:t>
                  </w:r>
                </w:p>
              </w:tc>
              <w:tc>
                <w:tcPr>
                  <w:tcW w:w="2753" w:type="dxa"/>
                  <w:tcBorders>
                    <w:top w:val="single" w:color="auto" w:sz="2" w:space="0"/>
                    <w:left w:val="single" w:color="auto" w:sz="2" w:space="0"/>
                    <w:bottom w:val="single" w:color="auto" w:sz="2" w:space="0"/>
                    <w:right w:val="nil"/>
                  </w:tcBorders>
                  <w:vAlign w:val="center"/>
                </w:tcPr>
                <w:p w14:paraId="07816657">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表示一般固体废物贮存场</w:t>
                  </w:r>
                </w:p>
              </w:tc>
            </w:tr>
            <w:tr w14:paraId="2B6671EE">
              <w:tblPrEx>
                <w:tblBorders>
                  <w:top w:val="double" w:color="auto" w:sz="2" w:space="0"/>
                  <w:left w:val="none" w:color="auto" w:sz="0" w:space="0"/>
                  <w:bottom w:val="doub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460" w:hRule="atLeast"/>
                <w:jc w:val="center"/>
              </w:trPr>
              <w:tc>
                <w:tcPr>
                  <w:tcW w:w="558" w:type="dxa"/>
                  <w:tcBorders>
                    <w:top w:val="single" w:color="auto" w:sz="2" w:space="0"/>
                    <w:left w:val="nil"/>
                    <w:bottom w:val="single" w:color="auto" w:sz="2" w:space="0"/>
                    <w:right w:val="single" w:color="auto" w:sz="2" w:space="0"/>
                  </w:tcBorders>
                  <w:vAlign w:val="center"/>
                </w:tcPr>
                <w:p w14:paraId="4CB4F26C">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367" w:type="dxa"/>
                  <w:tcBorders>
                    <w:top w:val="single" w:color="auto" w:sz="2" w:space="0"/>
                    <w:left w:val="single" w:color="auto" w:sz="2" w:space="0"/>
                    <w:bottom w:val="single" w:color="auto" w:sz="2" w:space="0"/>
                    <w:right w:val="single" w:color="auto" w:sz="2" w:space="0"/>
                  </w:tcBorders>
                  <w:vAlign w:val="center"/>
                </w:tcPr>
                <w:p w14:paraId="54C4EA15">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848360" cy="848360"/>
                        <wp:effectExtent l="0" t="0" r="8890" b="8890"/>
                        <wp:docPr id="112237076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70766" name="图片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848360" cy="848360"/>
                                </a:xfrm>
                                <a:prstGeom prst="rect">
                                  <a:avLst/>
                                </a:prstGeom>
                                <a:noFill/>
                                <a:ln>
                                  <a:noFill/>
                                </a:ln>
                              </pic:spPr>
                            </pic:pic>
                          </a:graphicData>
                        </a:graphic>
                      </wp:inline>
                    </w:drawing>
                  </w:r>
                </w:p>
              </w:tc>
              <w:tc>
                <w:tcPr>
                  <w:tcW w:w="1496" w:type="dxa"/>
                  <w:tcBorders>
                    <w:top w:val="single" w:color="auto" w:sz="2" w:space="0"/>
                    <w:left w:val="single" w:color="auto" w:sz="2" w:space="0"/>
                    <w:bottom w:val="single" w:color="auto" w:sz="2" w:space="0"/>
                    <w:right w:val="single" w:color="auto" w:sz="2" w:space="0"/>
                  </w:tcBorders>
                  <w:vAlign w:val="center"/>
                </w:tcPr>
                <w:p w14:paraId="21550118">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951230" cy="848360"/>
                        <wp:effectExtent l="0" t="0" r="1270" b="8890"/>
                        <wp:docPr id="146463466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34667" name="图片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951230" cy="848360"/>
                                </a:xfrm>
                                <a:prstGeom prst="rect">
                                  <a:avLst/>
                                </a:prstGeom>
                                <a:noFill/>
                                <a:ln>
                                  <a:noFill/>
                                </a:ln>
                              </pic:spPr>
                            </pic:pic>
                          </a:graphicData>
                        </a:graphic>
                      </wp:inline>
                    </w:drawing>
                  </w:r>
                </w:p>
              </w:tc>
              <w:tc>
                <w:tcPr>
                  <w:tcW w:w="1286" w:type="dxa"/>
                  <w:tcBorders>
                    <w:top w:val="single" w:color="auto" w:sz="2" w:space="0"/>
                    <w:left w:val="single" w:color="auto" w:sz="2" w:space="0"/>
                    <w:bottom w:val="single" w:color="auto" w:sz="2" w:space="0"/>
                    <w:right w:val="single" w:color="auto" w:sz="2" w:space="0"/>
                  </w:tcBorders>
                  <w:vAlign w:val="center"/>
                </w:tcPr>
                <w:p w14:paraId="5517CAE9">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噪声排放源</w:t>
                  </w:r>
                </w:p>
              </w:tc>
              <w:tc>
                <w:tcPr>
                  <w:tcW w:w="2753" w:type="dxa"/>
                  <w:tcBorders>
                    <w:top w:val="single" w:color="auto" w:sz="2" w:space="0"/>
                    <w:left w:val="single" w:color="auto" w:sz="2" w:space="0"/>
                    <w:bottom w:val="single" w:color="auto" w:sz="2" w:space="0"/>
                    <w:right w:val="nil"/>
                  </w:tcBorders>
                  <w:vAlign w:val="center"/>
                </w:tcPr>
                <w:p w14:paraId="0CD03AA5">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表示噪声向外环境排放</w:t>
                  </w:r>
                </w:p>
              </w:tc>
            </w:tr>
            <w:tr w14:paraId="1C5F2DC4">
              <w:tblPrEx>
                <w:tblBorders>
                  <w:top w:val="double" w:color="auto" w:sz="2" w:space="0"/>
                  <w:left w:val="none" w:color="auto" w:sz="0" w:space="0"/>
                  <w:bottom w:val="doub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22" w:hRule="atLeast"/>
                <w:jc w:val="center"/>
              </w:trPr>
              <w:tc>
                <w:tcPr>
                  <w:tcW w:w="558" w:type="dxa"/>
                  <w:tcBorders>
                    <w:top w:val="single" w:color="auto" w:sz="2" w:space="0"/>
                    <w:left w:val="nil"/>
                    <w:bottom w:val="double" w:color="auto" w:sz="2" w:space="0"/>
                    <w:right w:val="single" w:color="auto" w:sz="2" w:space="0"/>
                  </w:tcBorders>
                  <w:vAlign w:val="center"/>
                </w:tcPr>
                <w:p w14:paraId="142D94D3">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1367" w:type="dxa"/>
                  <w:tcBorders>
                    <w:top w:val="single" w:color="auto" w:sz="2" w:space="0"/>
                    <w:left w:val="single" w:color="auto" w:sz="2" w:space="0"/>
                    <w:bottom w:val="double" w:color="auto" w:sz="2" w:space="0"/>
                    <w:right w:val="single" w:color="auto" w:sz="2" w:space="0"/>
                  </w:tcBorders>
                  <w:vAlign w:val="center"/>
                </w:tcPr>
                <w:p w14:paraId="33B32291">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1496" w:type="dxa"/>
                  <w:tcBorders>
                    <w:top w:val="single" w:color="auto" w:sz="2" w:space="0"/>
                    <w:left w:val="single" w:color="auto" w:sz="2" w:space="0"/>
                    <w:bottom w:val="double" w:color="auto" w:sz="2" w:space="0"/>
                    <w:right w:val="single" w:color="auto" w:sz="2" w:space="0"/>
                  </w:tcBorders>
                  <w:vAlign w:val="center"/>
                </w:tcPr>
                <w:p w14:paraId="7A41EC30">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938530" cy="833755"/>
                        <wp:effectExtent l="0" t="0" r="0" b="4445"/>
                        <wp:docPr id="15598088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08840" name="图片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938530" cy="833755"/>
                                </a:xfrm>
                                <a:prstGeom prst="rect">
                                  <a:avLst/>
                                </a:prstGeom>
                                <a:noFill/>
                                <a:ln>
                                  <a:noFill/>
                                </a:ln>
                              </pic:spPr>
                            </pic:pic>
                          </a:graphicData>
                        </a:graphic>
                      </wp:inline>
                    </w:drawing>
                  </w:r>
                </w:p>
              </w:tc>
              <w:tc>
                <w:tcPr>
                  <w:tcW w:w="1286" w:type="dxa"/>
                  <w:tcBorders>
                    <w:top w:val="single" w:color="auto" w:sz="2" w:space="0"/>
                    <w:left w:val="single" w:color="auto" w:sz="2" w:space="0"/>
                    <w:bottom w:val="double" w:color="auto" w:sz="2" w:space="0"/>
                    <w:right w:val="single" w:color="auto" w:sz="2" w:space="0"/>
                  </w:tcBorders>
                  <w:vAlign w:val="center"/>
                </w:tcPr>
                <w:p w14:paraId="4E0EF3A2">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危险废物</w:t>
                  </w:r>
                </w:p>
              </w:tc>
              <w:tc>
                <w:tcPr>
                  <w:tcW w:w="2753" w:type="dxa"/>
                  <w:tcBorders>
                    <w:top w:val="single" w:color="auto" w:sz="2" w:space="0"/>
                    <w:left w:val="single" w:color="auto" w:sz="2" w:space="0"/>
                    <w:bottom w:val="double" w:color="auto" w:sz="2" w:space="0"/>
                    <w:right w:val="nil"/>
                  </w:tcBorders>
                  <w:vAlign w:val="center"/>
                </w:tcPr>
                <w:p w14:paraId="2EA573FB">
                  <w:pPr>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表示危险废物贮存场所</w:t>
                  </w:r>
                </w:p>
              </w:tc>
            </w:tr>
          </w:tbl>
          <w:p w14:paraId="0A6B79EB">
            <w:pPr>
              <w:pStyle w:val="9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表4-34标志的形状及颜色</w:t>
            </w:r>
          </w:p>
          <w:tbl>
            <w:tblPr>
              <w:tblStyle w:val="35"/>
              <w:tblW w:w="5000" w:type="pct"/>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2111"/>
              <w:gridCol w:w="2112"/>
              <w:gridCol w:w="2112"/>
            </w:tblGrid>
            <w:tr w14:paraId="000C155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1" w:type="dxa"/>
                  <w:tcBorders>
                    <w:top w:val="double" w:color="auto" w:sz="2" w:space="0"/>
                    <w:left w:val="nil"/>
                    <w:bottom w:val="single" w:color="auto" w:sz="4" w:space="0"/>
                    <w:right w:val="single" w:color="auto" w:sz="4" w:space="0"/>
                  </w:tcBorders>
                  <w:vAlign w:val="center"/>
                </w:tcPr>
                <w:p w14:paraId="5830EB4F">
                  <w:pPr>
                    <w:pStyle w:val="48"/>
                  </w:pPr>
                  <w:r>
                    <w:t>类别</w:t>
                  </w:r>
                </w:p>
              </w:tc>
              <w:tc>
                <w:tcPr>
                  <w:tcW w:w="2111" w:type="dxa"/>
                  <w:tcBorders>
                    <w:top w:val="double" w:color="auto" w:sz="2" w:space="0"/>
                    <w:left w:val="single" w:color="auto" w:sz="4" w:space="0"/>
                    <w:bottom w:val="single" w:color="auto" w:sz="4" w:space="0"/>
                    <w:right w:val="single" w:color="auto" w:sz="4" w:space="0"/>
                  </w:tcBorders>
                  <w:vAlign w:val="center"/>
                </w:tcPr>
                <w:p w14:paraId="67C025B7">
                  <w:pPr>
                    <w:pStyle w:val="48"/>
                  </w:pPr>
                  <w:r>
                    <w:t>形状</w:t>
                  </w:r>
                </w:p>
              </w:tc>
              <w:tc>
                <w:tcPr>
                  <w:tcW w:w="2112" w:type="dxa"/>
                  <w:tcBorders>
                    <w:top w:val="double" w:color="auto" w:sz="2" w:space="0"/>
                    <w:left w:val="single" w:color="auto" w:sz="4" w:space="0"/>
                    <w:bottom w:val="single" w:color="auto" w:sz="4" w:space="0"/>
                    <w:right w:val="single" w:color="auto" w:sz="4" w:space="0"/>
                  </w:tcBorders>
                  <w:vAlign w:val="center"/>
                </w:tcPr>
                <w:p w14:paraId="5173CC86">
                  <w:pPr>
                    <w:pStyle w:val="48"/>
                  </w:pPr>
                  <w:r>
                    <w:t>背景颜色</w:t>
                  </w:r>
                </w:p>
              </w:tc>
              <w:tc>
                <w:tcPr>
                  <w:tcW w:w="2112" w:type="dxa"/>
                  <w:tcBorders>
                    <w:top w:val="double" w:color="auto" w:sz="2" w:space="0"/>
                    <w:left w:val="single" w:color="auto" w:sz="4" w:space="0"/>
                    <w:bottom w:val="single" w:color="auto" w:sz="4" w:space="0"/>
                    <w:right w:val="nil"/>
                  </w:tcBorders>
                  <w:vAlign w:val="center"/>
                </w:tcPr>
                <w:p w14:paraId="627A11DC">
                  <w:pPr>
                    <w:pStyle w:val="48"/>
                  </w:pPr>
                  <w:r>
                    <w:t>图形颜色</w:t>
                  </w:r>
                </w:p>
              </w:tc>
            </w:tr>
            <w:tr w14:paraId="6963F67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1" w:type="dxa"/>
                  <w:tcBorders>
                    <w:top w:val="single" w:color="auto" w:sz="4" w:space="0"/>
                    <w:left w:val="nil"/>
                    <w:bottom w:val="single" w:color="auto" w:sz="4" w:space="0"/>
                    <w:right w:val="single" w:color="auto" w:sz="4" w:space="0"/>
                  </w:tcBorders>
                  <w:vAlign w:val="center"/>
                </w:tcPr>
                <w:p w14:paraId="6A9A8995">
                  <w:pPr>
                    <w:pStyle w:val="48"/>
                  </w:pPr>
                  <w:r>
                    <w:t>警告</w:t>
                  </w:r>
                </w:p>
              </w:tc>
              <w:tc>
                <w:tcPr>
                  <w:tcW w:w="2111" w:type="dxa"/>
                  <w:tcBorders>
                    <w:top w:val="single" w:color="auto" w:sz="4" w:space="0"/>
                    <w:left w:val="single" w:color="auto" w:sz="4" w:space="0"/>
                    <w:bottom w:val="single" w:color="auto" w:sz="4" w:space="0"/>
                    <w:right w:val="single" w:color="auto" w:sz="4" w:space="0"/>
                  </w:tcBorders>
                  <w:vAlign w:val="center"/>
                </w:tcPr>
                <w:p w14:paraId="459D0C12">
                  <w:pPr>
                    <w:pStyle w:val="48"/>
                  </w:pPr>
                  <w:r>
                    <w:t>三角形边框</w:t>
                  </w:r>
                </w:p>
              </w:tc>
              <w:tc>
                <w:tcPr>
                  <w:tcW w:w="2112" w:type="dxa"/>
                  <w:tcBorders>
                    <w:top w:val="single" w:color="auto" w:sz="4" w:space="0"/>
                    <w:left w:val="single" w:color="auto" w:sz="4" w:space="0"/>
                    <w:bottom w:val="single" w:color="auto" w:sz="4" w:space="0"/>
                    <w:right w:val="single" w:color="auto" w:sz="4" w:space="0"/>
                  </w:tcBorders>
                  <w:vAlign w:val="center"/>
                </w:tcPr>
                <w:p w14:paraId="34E4E814">
                  <w:pPr>
                    <w:pStyle w:val="48"/>
                  </w:pPr>
                  <w:r>
                    <w:t>黄色</w:t>
                  </w:r>
                </w:p>
              </w:tc>
              <w:tc>
                <w:tcPr>
                  <w:tcW w:w="2112" w:type="dxa"/>
                  <w:tcBorders>
                    <w:top w:val="single" w:color="auto" w:sz="4" w:space="0"/>
                    <w:left w:val="single" w:color="auto" w:sz="4" w:space="0"/>
                    <w:bottom w:val="single" w:color="auto" w:sz="4" w:space="0"/>
                    <w:right w:val="nil"/>
                  </w:tcBorders>
                  <w:vAlign w:val="center"/>
                </w:tcPr>
                <w:p w14:paraId="4CA8236D">
                  <w:pPr>
                    <w:pStyle w:val="48"/>
                  </w:pPr>
                  <w:r>
                    <w:t>黑色</w:t>
                  </w:r>
                </w:p>
              </w:tc>
            </w:tr>
            <w:tr w14:paraId="61AE78A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1" w:type="dxa"/>
                  <w:tcBorders>
                    <w:top w:val="single" w:color="auto" w:sz="4" w:space="0"/>
                    <w:left w:val="nil"/>
                    <w:bottom w:val="double" w:color="auto" w:sz="2" w:space="0"/>
                    <w:right w:val="single" w:color="auto" w:sz="4" w:space="0"/>
                  </w:tcBorders>
                  <w:vAlign w:val="center"/>
                </w:tcPr>
                <w:p w14:paraId="3AF34CAF">
                  <w:pPr>
                    <w:pStyle w:val="48"/>
                  </w:pPr>
                  <w:r>
                    <w:t>提示标志</w:t>
                  </w:r>
                </w:p>
              </w:tc>
              <w:tc>
                <w:tcPr>
                  <w:tcW w:w="2111" w:type="dxa"/>
                  <w:tcBorders>
                    <w:top w:val="single" w:color="auto" w:sz="4" w:space="0"/>
                    <w:left w:val="single" w:color="auto" w:sz="4" w:space="0"/>
                    <w:bottom w:val="double" w:color="auto" w:sz="2" w:space="0"/>
                    <w:right w:val="single" w:color="auto" w:sz="4" w:space="0"/>
                  </w:tcBorders>
                  <w:vAlign w:val="center"/>
                </w:tcPr>
                <w:p w14:paraId="22D1AF6A">
                  <w:pPr>
                    <w:pStyle w:val="48"/>
                  </w:pPr>
                  <w:r>
                    <w:t>正方形边框</w:t>
                  </w:r>
                </w:p>
              </w:tc>
              <w:tc>
                <w:tcPr>
                  <w:tcW w:w="2112" w:type="dxa"/>
                  <w:tcBorders>
                    <w:top w:val="single" w:color="auto" w:sz="4" w:space="0"/>
                    <w:left w:val="single" w:color="auto" w:sz="4" w:space="0"/>
                    <w:bottom w:val="double" w:color="auto" w:sz="2" w:space="0"/>
                    <w:right w:val="single" w:color="auto" w:sz="4" w:space="0"/>
                  </w:tcBorders>
                  <w:vAlign w:val="center"/>
                </w:tcPr>
                <w:p w14:paraId="6143472E">
                  <w:pPr>
                    <w:pStyle w:val="48"/>
                  </w:pPr>
                  <w:r>
                    <w:t>绿色</w:t>
                  </w:r>
                </w:p>
              </w:tc>
              <w:tc>
                <w:tcPr>
                  <w:tcW w:w="2112" w:type="dxa"/>
                  <w:tcBorders>
                    <w:top w:val="single" w:color="auto" w:sz="4" w:space="0"/>
                    <w:left w:val="single" w:color="auto" w:sz="4" w:space="0"/>
                    <w:bottom w:val="double" w:color="auto" w:sz="2" w:space="0"/>
                    <w:right w:val="nil"/>
                  </w:tcBorders>
                  <w:vAlign w:val="center"/>
                </w:tcPr>
                <w:p w14:paraId="6D0E8919">
                  <w:pPr>
                    <w:pStyle w:val="48"/>
                  </w:pPr>
                  <w:r>
                    <w:t>白色</w:t>
                  </w:r>
                </w:p>
              </w:tc>
            </w:tr>
          </w:tbl>
          <w:p w14:paraId="7D582A3C">
            <w:pPr>
              <w:rPr>
                <w:rFonts w:eastAsiaTheme="minorEastAsia"/>
                <w:color w:val="000000" w:themeColor="text1"/>
                <w:sz w:val="24"/>
                <w14:textFill>
                  <w14:solidFill>
                    <w14:schemeClr w14:val="tx1"/>
                  </w14:solidFill>
                </w14:textFill>
              </w:rPr>
            </w:pPr>
          </w:p>
        </w:tc>
      </w:tr>
    </w:tbl>
    <w:p w14:paraId="0AE549C0">
      <w:pPr>
        <w:pStyle w:val="65"/>
        <w:ind w:firstLine="480"/>
        <w:rPr>
          <w:color w:val="000000" w:themeColor="text1"/>
          <w14:textFill>
            <w14:solidFill>
              <w14:schemeClr w14:val="tx1"/>
            </w14:solidFill>
          </w14:textFill>
        </w:rPr>
      </w:pPr>
    </w:p>
    <w:p w14:paraId="194B06D8">
      <w:pPr>
        <w:pStyle w:val="32"/>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五、环境保护措施监督检查清单</w:t>
      </w:r>
    </w:p>
    <w:tbl>
      <w:tblPr>
        <w:tblStyle w:val="35"/>
        <w:tblW w:w="88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865"/>
        <w:gridCol w:w="1260"/>
        <w:gridCol w:w="2982"/>
        <w:gridCol w:w="1728"/>
      </w:tblGrid>
      <w:tr w14:paraId="769AD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tcBorders>
              <w:top w:val="single" w:color="auto" w:sz="8" w:space="0"/>
              <w:left w:val="single" w:color="auto" w:sz="8" w:space="0"/>
              <w:bottom w:val="single" w:color="auto" w:sz="4" w:space="0"/>
              <w:right w:val="single" w:color="auto" w:sz="4" w:space="0"/>
            </w:tcBorders>
          </w:tcPr>
          <w:p w14:paraId="6E5259DE">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内容</w:t>
            </w:r>
          </w:p>
          <w:p w14:paraId="684E8BD6">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要素</w:t>
            </w:r>
          </w:p>
        </w:tc>
        <w:tc>
          <w:tcPr>
            <w:tcW w:w="1865" w:type="dxa"/>
            <w:tcBorders>
              <w:top w:val="single" w:color="auto" w:sz="8" w:space="0"/>
              <w:left w:val="single" w:color="auto" w:sz="4" w:space="0"/>
              <w:bottom w:val="single" w:color="auto" w:sz="4" w:space="0"/>
              <w:right w:val="single" w:color="auto" w:sz="4" w:space="0"/>
            </w:tcBorders>
            <w:vAlign w:val="center"/>
          </w:tcPr>
          <w:p w14:paraId="28578A0E">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排放口（编号、名称）/污染源</w:t>
            </w:r>
          </w:p>
        </w:tc>
        <w:tc>
          <w:tcPr>
            <w:tcW w:w="1260" w:type="dxa"/>
            <w:tcBorders>
              <w:top w:val="single" w:color="auto" w:sz="8" w:space="0"/>
              <w:left w:val="single" w:color="auto" w:sz="4" w:space="0"/>
              <w:bottom w:val="single" w:color="auto" w:sz="4" w:space="0"/>
              <w:right w:val="single" w:color="auto" w:sz="4" w:space="0"/>
            </w:tcBorders>
            <w:vAlign w:val="center"/>
          </w:tcPr>
          <w:p w14:paraId="4157F17C">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污染物</w:t>
            </w:r>
          </w:p>
          <w:p w14:paraId="65D7F6F0">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项目</w:t>
            </w:r>
          </w:p>
        </w:tc>
        <w:tc>
          <w:tcPr>
            <w:tcW w:w="2982" w:type="dxa"/>
            <w:tcBorders>
              <w:top w:val="single" w:color="auto" w:sz="8" w:space="0"/>
              <w:left w:val="single" w:color="auto" w:sz="4" w:space="0"/>
              <w:bottom w:val="single" w:color="auto" w:sz="4" w:space="0"/>
              <w:right w:val="single" w:color="auto" w:sz="4" w:space="0"/>
            </w:tcBorders>
            <w:vAlign w:val="center"/>
          </w:tcPr>
          <w:p w14:paraId="29294DAD">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环境保护措施</w:t>
            </w:r>
          </w:p>
        </w:tc>
        <w:tc>
          <w:tcPr>
            <w:tcW w:w="1728" w:type="dxa"/>
            <w:tcBorders>
              <w:top w:val="single" w:color="auto" w:sz="8" w:space="0"/>
              <w:left w:val="single" w:color="auto" w:sz="4" w:space="0"/>
              <w:bottom w:val="single" w:color="auto" w:sz="4" w:space="0"/>
              <w:right w:val="single" w:color="auto" w:sz="8" w:space="0"/>
            </w:tcBorders>
            <w:vAlign w:val="center"/>
          </w:tcPr>
          <w:p w14:paraId="30959C52">
            <w:pPr>
              <w:pStyle w:val="129"/>
              <w:jc w:val="center"/>
              <w:rPr>
                <w:rFonts w:eastAsiaTheme="minorEastAsia"/>
                <w:b/>
                <w:bCs/>
                <w:color w:val="000000" w:themeColor="text1"/>
                <w:sz w:val="24"/>
                <w:szCs w:val="24"/>
                <w14:textFill>
                  <w14:solidFill>
                    <w14:schemeClr w14:val="tx1"/>
                  </w14:solidFill>
                </w14:textFill>
              </w:rPr>
            </w:pPr>
            <w:r>
              <w:rPr>
                <w:rFonts w:eastAsiaTheme="minorEastAsia"/>
                <w:b/>
                <w:bCs/>
                <w:color w:val="000000" w:themeColor="text1"/>
                <w:sz w:val="24"/>
                <w:szCs w:val="24"/>
                <w14:textFill>
                  <w14:solidFill>
                    <w14:schemeClr w14:val="tx1"/>
                  </w14:solidFill>
                </w14:textFill>
              </w:rPr>
              <w:t>执行标准</w:t>
            </w:r>
          </w:p>
        </w:tc>
      </w:tr>
      <w:tr w14:paraId="27436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restart"/>
            <w:tcBorders>
              <w:top w:val="single" w:color="auto" w:sz="4" w:space="0"/>
              <w:left w:val="single" w:color="auto" w:sz="8" w:space="0"/>
              <w:bottom w:val="single" w:color="auto" w:sz="4" w:space="0"/>
              <w:right w:val="single" w:color="auto" w:sz="4" w:space="0"/>
            </w:tcBorders>
            <w:vAlign w:val="center"/>
          </w:tcPr>
          <w:p w14:paraId="2C69C1AB">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大气</w:t>
            </w:r>
          </w:p>
          <w:p w14:paraId="70379A67">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环境</w:t>
            </w:r>
          </w:p>
        </w:tc>
        <w:tc>
          <w:tcPr>
            <w:tcW w:w="1865" w:type="dxa"/>
            <w:tcBorders>
              <w:top w:val="single" w:color="auto" w:sz="4" w:space="0"/>
              <w:left w:val="single" w:color="auto" w:sz="4" w:space="0"/>
              <w:bottom w:val="single" w:color="auto" w:sz="4" w:space="0"/>
              <w:right w:val="single" w:color="auto" w:sz="4" w:space="0"/>
            </w:tcBorders>
            <w:vAlign w:val="center"/>
          </w:tcPr>
          <w:p w14:paraId="202B6718">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原料入库及储存</w:t>
            </w:r>
          </w:p>
        </w:tc>
        <w:tc>
          <w:tcPr>
            <w:tcW w:w="1260" w:type="dxa"/>
            <w:tcBorders>
              <w:top w:val="single" w:color="auto" w:sz="4" w:space="0"/>
              <w:left w:val="single" w:color="auto" w:sz="4" w:space="0"/>
              <w:bottom w:val="single" w:color="auto" w:sz="4" w:space="0"/>
              <w:right w:val="single" w:color="auto" w:sz="4" w:space="0"/>
            </w:tcBorders>
            <w:vAlign w:val="center"/>
          </w:tcPr>
          <w:p w14:paraId="3C1EB8FE">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01ABC7BC">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洒水降尘、原料库封闭储存；</w:t>
            </w:r>
          </w:p>
        </w:tc>
        <w:tc>
          <w:tcPr>
            <w:tcW w:w="1728" w:type="dxa"/>
            <w:vMerge w:val="restart"/>
            <w:tcBorders>
              <w:top w:val="single" w:color="auto" w:sz="4" w:space="0"/>
              <w:left w:val="single" w:color="auto" w:sz="4" w:space="0"/>
              <w:right w:val="single" w:color="auto" w:sz="8" w:space="0"/>
            </w:tcBorders>
            <w:vAlign w:val="center"/>
          </w:tcPr>
          <w:p w14:paraId="361A3A82">
            <w:pPr>
              <w:pStyle w:val="135"/>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《大气污染物综合排放标准》（GB 16297-1996）</w:t>
            </w:r>
          </w:p>
        </w:tc>
      </w:tr>
      <w:tr w14:paraId="5BC6D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5F714460">
            <w:pPr>
              <w:widowControl/>
              <w:rPr>
                <w:rFonts w:eastAsiaTheme="minorEastAsia"/>
                <w:color w:val="000000" w:themeColor="text1"/>
                <w:sz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17590459">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投料废气</w:t>
            </w:r>
          </w:p>
        </w:tc>
        <w:tc>
          <w:tcPr>
            <w:tcW w:w="1260" w:type="dxa"/>
            <w:tcBorders>
              <w:top w:val="single" w:color="auto" w:sz="4" w:space="0"/>
              <w:left w:val="single" w:color="auto" w:sz="4" w:space="0"/>
              <w:bottom w:val="single" w:color="auto" w:sz="4" w:space="0"/>
              <w:right w:val="single" w:color="auto" w:sz="4" w:space="0"/>
            </w:tcBorders>
            <w:vAlign w:val="center"/>
          </w:tcPr>
          <w:p w14:paraId="4D088C45">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5BFA06E9">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上料口设置在原料库内，上料口上方设置集气罩收集，收集废气通过布袋除尘器处理后经15m高排气筒排放DA002。未收集部分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w:t>
            </w:r>
          </w:p>
        </w:tc>
        <w:tc>
          <w:tcPr>
            <w:tcW w:w="1728" w:type="dxa"/>
            <w:vMerge w:val="continue"/>
            <w:tcBorders>
              <w:left w:val="single" w:color="auto" w:sz="4" w:space="0"/>
              <w:right w:val="single" w:color="auto" w:sz="8" w:space="0"/>
            </w:tcBorders>
            <w:vAlign w:val="center"/>
          </w:tcPr>
          <w:p w14:paraId="21E7FC4D">
            <w:pPr>
              <w:widowControl/>
              <w:rPr>
                <w:rFonts w:eastAsiaTheme="minorEastAsia"/>
                <w:color w:val="000000" w:themeColor="text1"/>
                <w:kern w:val="0"/>
                <w:sz w:val="24"/>
                <w14:textFill>
                  <w14:solidFill>
                    <w14:schemeClr w14:val="tx1"/>
                  </w14:solidFill>
                </w14:textFill>
              </w:rPr>
            </w:pPr>
          </w:p>
        </w:tc>
      </w:tr>
      <w:tr w14:paraId="3C1D22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7783ABE8">
            <w:pPr>
              <w:widowControl/>
              <w:rPr>
                <w:rFonts w:eastAsiaTheme="minorEastAsia"/>
                <w:color w:val="000000" w:themeColor="text1"/>
                <w:sz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1166E296">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混料废气</w:t>
            </w:r>
          </w:p>
        </w:tc>
        <w:tc>
          <w:tcPr>
            <w:tcW w:w="1260" w:type="dxa"/>
            <w:tcBorders>
              <w:top w:val="single" w:color="auto" w:sz="4" w:space="0"/>
              <w:left w:val="single" w:color="auto" w:sz="4" w:space="0"/>
              <w:bottom w:val="single" w:color="auto" w:sz="4" w:space="0"/>
              <w:right w:val="single" w:color="auto" w:sz="4" w:space="0"/>
            </w:tcBorders>
            <w:vAlign w:val="center"/>
          </w:tcPr>
          <w:p w14:paraId="330F5F59">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6FC99E6A">
            <w:pPr>
              <w:pStyle w:val="129"/>
              <w:jc w:val="center"/>
              <w:rPr>
                <w:rFonts w:eastAsiaTheme="minorEastAsia"/>
                <w:color w:val="000000" w:themeColor="text1"/>
                <w14:textFill>
                  <w14:solidFill>
                    <w14:schemeClr w14:val="tx1"/>
                  </w14:solidFill>
                </w14:textFill>
              </w:rPr>
            </w:pPr>
            <w:r>
              <w:rPr>
                <w:rFonts w:eastAsiaTheme="minorEastAsia"/>
                <w:color w:val="000000" w:themeColor="text1"/>
                <w:kern w:val="0"/>
                <w14:textFill>
                  <w14:solidFill>
                    <w14:schemeClr w14:val="tx1"/>
                  </w14:solidFill>
                </w14:textFill>
              </w:rPr>
              <w:t>封闭传送带通过软连接封闭进料口及出料口，且出料为湿料，</w:t>
            </w:r>
            <w:r>
              <w:rPr>
                <w:rFonts w:eastAsiaTheme="minorEastAsia"/>
                <w:color w:val="000000" w:themeColor="text1"/>
                <w14:textFill>
                  <w14:solidFill>
                    <w14:schemeClr w14:val="tx1"/>
                  </w14:solidFill>
                </w14:textFill>
              </w:rPr>
              <w:t>混料</w:t>
            </w:r>
            <w:r>
              <w:rPr>
                <w:rFonts w:eastAsiaTheme="minorEastAsia"/>
                <w:color w:val="000000" w:themeColor="text1"/>
                <w:kern w:val="0"/>
                <w14:textFill>
                  <w14:solidFill>
                    <w14:schemeClr w14:val="tx1"/>
                  </w14:solidFill>
                </w14:textFill>
              </w:rPr>
              <w:t>过程设备封闭，</w:t>
            </w:r>
            <w:r>
              <w:rPr>
                <w:rFonts w:eastAsiaTheme="minorEastAsia"/>
                <w:color w:val="000000" w:themeColor="text1"/>
                <w14:textFill>
                  <w14:solidFill>
                    <w14:schemeClr w14:val="tx1"/>
                  </w14:solidFill>
                </w14:textFill>
              </w:rPr>
              <w:t>混料机上方设置集气罩收集，收集废气通过布袋除尘器处理后经15m高排气筒DA002排放。未收集部分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w:t>
            </w:r>
          </w:p>
        </w:tc>
        <w:tc>
          <w:tcPr>
            <w:tcW w:w="1728" w:type="dxa"/>
            <w:vMerge w:val="continue"/>
            <w:tcBorders>
              <w:left w:val="single" w:color="auto" w:sz="4" w:space="0"/>
              <w:right w:val="single" w:color="auto" w:sz="8" w:space="0"/>
            </w:tcBorders>
            <w:vAlign w:val="center"/>
          </w:tcPr>
          <w:p w14:paraId="24CF347B">
            <w:pPr>
              <w:widowControl/>
              <w:rPr>
                <w:rFonts w:eastAsiaTheme="minorEastAsia"/>
                <w:color w:val="000000" w:themeColor="text1"/>
                <w:kern w:val="0"/>
                <w:sz w:val="24"/>
                <w14:textFill>
                  <w14:solidFill>
                    <w14:schemeClr w14:val="tx1"/>
                  </w14:solidFill>
                </w14:textFill>
              </w:rPr>
            </w:pPr>
          </w:p>
        </w:tc>
      </w:tr>
      <w:tr w14:paraId="27EDA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44CC332A">
            <w:pPr>
              <w:widowControl/>
              <w:rPr>
                <w:rFonts w:eastAsiaTheme="minorEastAsia"/>
                <w:color w:val="000000" w:themeColor="text1"/>
                <w:sz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68D3AA4C">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造球废气</w:t>
            </w:r>
          </w:p>
        </w:tc>
        <w:tc>
          <w:tcPr>
            <w:tcW w:w="1260" w:type="dxa"/>
            <w:tcBorders>
              <w:top w:val="single" w:color="auto" w:sz="4" w:space="0"/>
              <w:left w:val="single" w:color="auto" w:sz="4" w:space="0"/>
              <w:bottom w:val="single" w:color="auto" w:sz="4" w:space="0"/>
              <w:right w:val="single" w:color="auto" w:sz="4" w:space="0"/>
            </w:tcBorders>
            <w:vAlign w:val="center"/>
          </w:tcPr>
          <w:p w14:paraId="1B390FDC">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77223420">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kern w:val="0"/>
                <w14:textFill>
                  <w14:solidFill>
                    <w14:schemeClr w14:val="tx1"/>
                  </w14:solidFill>
                </w14:textFill>
              </w:rPr>
              <w:t>封闭传送带通过软连接封闭进料口及出料口，进出料均为湿料，</w:t>
            </w:r>
            <w:r>
              <w:rPr>
                <w:rFonts w:eastAsiaTheme="minorEastAsia"/>
                <w:color w:val="000000" w:themeColor="text1"/>
                <w14:textFill>
                  <w14:solidFill>
                    <w14:schemeClr w14:val="tx1"/>
                  </w14:solidFill>
                </w14:textFill>
              </w:rPr>
              <w:t>造球机上方设置集气罩收集，收集废气通过布袋除尘器处理后经15m高排气筒DA002排放。未收集部分</w:t>
            </w:r>
            <w:r>
              <w:rPr>
                <w:rFonts w:hint="eastAsia" w:eastAsiaTheme="minorEastAsia"/>
                <w:color w:val="000000" w:themeColor="text1"/>
                <w:lang w:val="en-US" w:eastAsia="zh-CN"/>
                <w14:textFill>
                  <w14:solidFill>
                    <w14:schemeClr w14:val="tx1"/>
                  </w14:solidFill>
                </w14:textFill>
              </w:rPr>
              <w:t>经过</w:t>
            </w:r>
            <w:r>
              <w:rPr>
                <w:rFonts w:eastAsiaTheme="minorEastAsia"/>
                <w:color w:val="000000" w:themeColor="text1"/>
                <w14:textFill>
                  <w14:solidFill>
                    <w14:schemeClr w14:val="tx1"/>
                  </w14:solidFill>
                </w14:textFill>
              </w:rPr>
              <w:t>车间沉降后无组织排放。</w:t>
            </w:r>
          </w:p>
        </w:tc>
        <w:tc>
          <w:tcPr>
            <w:tcW w:w="1728" w:type="dxa"/>
            <w:vMerge w:val="continue"/>
            <w:tcBorders>
              <w:left w:val="single" w:color="auto" w:sz="4" w:space="0"/>
              <w:right w:val="single" w:color="auto" w:sz="8" w:space="0"/>
            </w:tcBorders>
            <w:vAlign w:val="center"/>
          </w:tcPr>
          <w:p w14:paraId="76369B38">
            <w:pPr>
              <w:widowControl/>
              <w:rPr>
                <w:rFonts w:eastAsiaTheme="minorEastAsia"/>
                <w:color w:val="000000" w:themeColor="text1"/>
                <w:kern w:val="0"/>
                <w:sz w:val="24"/>
                <w14:textFill>
                  <w14:solidFill>
                    <w14:schemeClr w14:val="tx1"/>
                  </w14:solidFill>
                </w14:textFill>
              </w:rPr>
            </w:pPr>
          </w:p>
        </w:tc>
      </w:tr>
      <w:tr w14:paraId="713E8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641C5E78">
            <w:pPr>
              <w:widowControl/>
              <w:rPr>
                <w:rFonts w:eastAsiaTheme="minorEastAsia"/>
                <w:color w:val="000000" w:themeColor="text1"/>
                <w:sz w:val="24"/>
                <w14:textFill>
                  <w14:solidFill>
                    <w14:schemeClr w14:val="tx1"/>
                  </w14:solidFill>
                </w14:textFill>
              </w:rPr>
            </w:pPr>
          </w:p>
        </w:tc>
        <w:tc>
          <w:tcPr>
            <w:tcW w:w="1865" w:type="dxa"/>
            <w:vMerge w:val="restart"/>
            <w:tcBorders>
              <w:top w:val="single" w:color="auto" w:sz="4" w:space="0"/>
              <w:left w:val="single" w:color="auto" w:sz="4" w:space="0"/>
              <w:right w:val="single" w:color="auto" w:sz="4" w:space="0"/>
            </w:tcBorders>
            <w:vAlign w:val="center"/>
          </w:tcPr>
          <w:p w14:paraId="2F6102DA">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烘干废气</w:t>
            </w:r>
          </w:p>
        </w:tc>
        <w:tc>
          <w:tcPr>
            <w:tcW w:w="1260" w:type="dxa"/>
            <w:tcBorders>
              <w:top w:val="single" w:color="auto" w:sz="4" w:space="0"/>
              <w:left w:val="single" w:color="auto" w:sz="4" w:space="0"/>
              <w:bottom w:val="single" w:color="auto" w:sz="4" w:space="0"/>
              <w:right w:val="single" w:color="auto" w:sz="4" w:space="0"/>
            </w:tcBorders>
            <w:vAlign w:val="center"/>
          </w:tcPr>
          <w:p w14:paraId="37B73632">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氮氧化物</w:t>
            </w:r>
          </w:p>
        </w:tc>
        <w:tc>
          <w:tcPr>
            <w:tcW w:w="2982" w:type="dxa"/>
            <w:tcBorders>
              <w:top w:val="single" w:color="auto" w:sz="4" w:space="0"/>
              <w:left w:val="single" w:color="auto" w:sz="4" w:space="0"/>
              <w:bottom w:val="single" w:color="auto" w:sz="4" w:space="0"/>
              <w:right w:val="single" w:color="auto" w:sz="4" w:space="0"/>
            </w:tcBorders>
            <w:vAlign w:val="center"/>
          </w:tcPr>
          <w:p w14:paraId="0AA6DD35">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废气由风机负压导出收集处理，最终通过15m高排气筒排放；未收集部分以无组织形式排放（车间沉降效率忽略不计）；</w:t>
            </w:r>
          </w:p>
        </w:tc>
        <w:tc>
          <w:tcPr>
            <w:tcW w:w="1728" w:type="dxa"/>
            <w:tcBorders>
              <w:top w:val="single" w:color="auto" w:sz="4" w:space="0"/>
              <w:left w:val="single" w:color="auto" w:sz="4" w:space="0"/>
              <w:right w:val="single" w:color="auto" w:sz="8" w:space="0"/>
            </w:tcBorders>
            <w:vAlign w:val="center"/>
          </w:tcPr>
          <w:p w14:paraId="3E80E0D8">
            <w:pPr>
              <w:widowControl/>
              <w:rPr>
                <w:rFonts w:eastAsiaTheme="minorEastAsia"/>
                <w:color w:val="0000FF"/>
                <w:kern w:val="0"/>
                <w:sz w:val="24"/>
              </w:rPr>
            </w:pPr>
            <w:r>
              <w:rPr>
                <w:rFonts w:eastAsiaTheme="minorEastAsia"/>
                <w:color w:val="0000FF"/>
              </w:rPr>
              <w:t>《大气污染物综合排放标准》（GB16297-1996）表2中15m高排气筒二级标准</w:t>
            </w:r>
          </w:p>
        </w:tc>
      </w:tr>
      <w:tr w14:paraId="2C790B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06C81E82">
            <w:pPr>
              <w:widowControl/>
              <w:rPr>
                <w:rFonts w:eastAsiaTheme="minorEastAsia"/>
                <w:color w:val="000000" w:themeColor="text1"/>
                <w:sz w:val="24"/>
                <w14:textFill>
                  <w14:solidFill>
                    <w14:schemeClr w14:val="tx1"/>
                  </w14:solidFill>
                </w14:textFill>
              </w:rPr>
            </w:pPr>
          </w:p>
        </w:tc>
        <w:tc>
          <w:tcPr>
            <w:tcW w:w="1865" w:type="dxa"/>
            <w:vMerge w:val="continue"/>
            <w:tcBorders>
              <w:left w:val="single" w:color="auto" w:sz="4" w:space="0"/>
              <w:right w:val="single" w:color="auto" w:sz="4" w:space="0"/>
            </w:tcBorders>
            <w:vAlign w:val="center"/>
          </w:tcPr>
          <w:p w14:paraId="46471574">
            <w:pPr>
              <w:pStyle w:val="129"/>
              <w:jc w:val="center"/>
              <w:rPr>
                <w:rFonts w:eastAsiaTheme="minorEastAsia"/>
                <w:color w:val="000000" w:themeColor="text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00ECDC5">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42F8D51C">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废气由风机负压导出收集处理，通过布袋除尘器，最终通过15m高排气筒排放；未收集部分通过车间排放以无组织形式排放；</w:t>
            </w:r>
          </w:p>
        </w:tc>
        <w:tc>
          <w:tcPr>
            <w:tcW w:w="1728" w:type="dxa"/>
            <w:tcBorders>
              <w:left w:val="single" w:color="auto" w:sz="4" w:space="0"/>
              <w:right w:val="single" w:color="auto" w:sz="8" w:space="0"/>
            </w:tcBorders>
            <w:vAlign w:val="center"/>
          </w:tcPr>
          <w:p w14:paraId="5F146524">
            <w:pPr>
              <w:widowControl/>
              <w:rPr>
                <w:rFonts w:eastAsiaTheme="minorEastAsia"/>
                <w:color w:val="0000FF"/>
                <w:kern w:val="0"/>
                <w:sz w:val="24"/>
              </w:rPr>
            </w:pPr>
            <w:r>
              <w:rPr>
                <w:rFonts w:eastAsiaTheme="minorEastAsia"/>
                <w:color w:val="0000FF"/>
              </w:rPr>
              <w:t>《工业炉窑大气污染物排放标准》</w:t>
            </w:r>
            <w:r>
              <w:rPr>
                <w:rFonts w:hint="eastAsia" w:eastAsiaTheme="minorEastAsia"/>
                <w:color w:val="0000FF"/>
              </w:rPr>
              <w:t>（</w:t>
            </w:r>
            <w:r>
              <w:rPr>
                <w:rFonts w:eastAsiaTheme="minorEastAsia"/>
                <w:color w:val="0000FF"/>
              </w:rPr>
              <w:t>GB 9078-1996</w:t>
            </w:r>
            <w:r>
              <w:rPr>
                <w:rFonts w:hint="eastAsia" w:eastAsiaTheme="minorEastAsia"/>
                <w:color w:val="0000FF"/>
              </w:rPr>
              <w:t>）</w:t>
            </w:r>
            <w:r>
              <w:rPr>
                <w:rFonts w:eastAsiaTheme="minorEastAsia"/>
                <w:color w:val="0000FF"/>
              </w:rPr>
              <w:t>表2中</w:t>
            </w:r>
            <w:r>
              <w:rPr>
                <w:rFonts w:hint="eastAsia" w:eastAsiaTheme="minorEastAsia"/>
                <w:color w:val="0000FF"/>
              </w:rPr>
              <w:t>“</w:t>
            </w:r>
            <w:r>
              <w:rPr>
                <w:rFonts w:eastAsiaTheme="minorEastAsia"/>
                <w:color w:val="0000FF"/>
              </w:rPr>
              <w:t>干燥炉、窑</w:t>
            </w:r>
            <w:r>
              <w:rPr>
                <w:rFonts w:hint="eastAsia" w:eastAsiaTheme="minorEastAsia"/>
                <w:color w:val="0000FF"/>
              </w:rPr>
              <w:t>”</w:t>
            </w:r>
            <w:r>
              <w:rPr>
                <w:rFonts w:eastAsiaTheme="minorEastAsia"/>
                <w:color w:val="0000FF"/>
              </w:rPr>
              <w:t>二级标准</w:t>
            </w:r>
          </w:p>
        </w:tc>
      </w:tr>
      <w:tr w14:paraId="27531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3AB4ECB6">
            <w:pPr>
              <w:widowControl/>
              <w:rPr>
                <w:rFonts w:eastAsiaTheme="minorEastAsia"/>
                <w:color w:val="000000" w:themeColor="text1"/>
                <w:sz w:val="24"/>
                <w14:textFill>
                  <w14:solidFill>
                    <w14:schemeClr w14:val="tx1"/>
                  </w14:solidFill>
                </w14:textFill>
              </w:rPr>
            </w:pPr>
          </w:p>
        </w:tc>
        <w:tc>
          <w:tcPr>
            <w:tcW w:w="1865" w:type="dxa"/>
            <w:vMerge w:val="continue"/>
            <w:tcBorders>
              <w:left w:val="single" w:color="auto" w:sz="4" w:space="0"/>
              <w:bottom w:val="single" w:color="auto" w:sz="4" w:space="0"/>
              <w:right w:val="single" w:color="auto" w:sz="4" w:space="0"/>
            </w:tcBorders>
            <w:vAlign w:val="center"/>
          </w:tcPr>
          <w:p w14:paraId="49E9CF5E">
            <w:pPr>
              <w:pStyle w:val="129"/>
              <w:jc w:val="center"/>
              <w:rPr>
                <w:rFonts w:eastAsiaTheme="minorEastAsia"/>
                <w:color w:val="000000" w:themeColor="text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9C52D67">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2982" w:type="dxa"/>
            <w:tcBorders>
              <w:top w:val="single" w:color="auto" w:sz="4" w:space="0"/>
              <w:left w:val="single" w:color="auto" w:sz="4" w:space="0"/>
              <w:bottom w:val="single" w:color="auto" w:sz="4" w:space="0"/>
              <w:right w:val="single" w:color="auto" w:sz="4" w:space="0"/>
            </w:tcBorders>
            <w:vAlign w:val="center"/>
          </w:tcPr>
          <w:p w14:paraId="0C6BA39C">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废气由风机负压导出收集处理，最终通过15m高排气筒排放；控制炉内温度不高于400摄氏度，降低物料中硫化物氧化，石灰石/石膏法脱硫；未收集部分以无组织形式排放（车间沉降效率忽略不计）；</w:t>
            </w:r>
          </w:p>
        </w:tc>
        <w:tc>
          <w:tcPr>
            <w:tcW w:w="1728" w:type="dxa"/>
            <w:tcBorders>
              <w:left w:val="single" w:color="auto" w:sz="4" w:space="0"/>
              <w:bottom w:val="single" w:color="auto" w:sz="4" w:space="0"/>
              <w:right w:val="single" w:color="auto" w:sz="8" w:space="0"/>
            </w:tcBorders>
            <w:vAlign w:val="center"/>
          </w:tcPr>
          <w:p w14:paraId="18704D53">
            <w:pPr>
              <w:widowControl/>
              <w:rPr>
                <w:rFonts w:eastAsiaTheme="minorEastAsia"/>
                <w:color w:val="0000FF"/>
                <w:kern w:val="0"/>
                <w:sz w:val="24"/>
              </w:rPr>
            </w:pPr>
            <w:r>
              <w:rPr>
                <w:rFonts w:eastAsiaTheme="minorEastAsia"/>
                <w:color w:val="0000FF"/>
              </w:rPr>
              <w:t>《大气污染物综合排放标准》（GB16297-1996）表2中15m高排气筒二级标准</w:t>
            </w:r>
          </w:p>
        </w:tc>
      </w:tr>
      <w:tr w14:paraId="2C1DA8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3ACE9A8A">
            <w:pPr>
              <w:widowControl/>
              <w:rPr>
                <w:rFonts w:eastAsiaTheme="minorEastAsia"/>
                <w:color w:val="000000" w:themeColor="text1"/>
                <w:sz w:val="24"/>
                <w14:textFill>
                  <w14:solidFill>
                    <w14:schemeClr w14:val="tx1"/>
                  </w14:solidFill>
                </w14:textFill>
              </w:rPr>
            </w:pPr>
          </w:p>
        </w:tc>
        <w:tc>
          <w:tcPr>
            <w:tcW w:w="1865" w:type="dxa"/>
            <w:tcBorders>
              <w:left w:val="single" w:color="auto" w:sz="4" w:space="0"/>
              <w:bottom w:val="single" w:color="auto" w:sz="4" w:space="0"/>
              <w:right w:val="single" w:color="auto" w:sz="4" w:space="0"/>
            </w:tcBorders>
            <w:vAlign w:val="center"/>
          </w:tcPr>
          <w:p w14:paraId="230B793A">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烘干卸料（成品库）</w:t>
            </w:r>
          </w:p>
        </w:tc>
        <w:tc>
          <w:tcPr>
            <w:tcW w:w="1260" w:type="dxa"/>
            <w:tcBorders>
              <w:top w:val="single" w:color="auto" w:sz="4" w:space="0"/>
              <w:left w:val="single" w:color="auto" w:sz="4" w:space="0"/>
              <w:bottom w:val="single" w:color="auto" w:sz="4" w:space="0"/>
              <w:right w:val="single" w:color="auto" w:sz="4" w:space="0"/>
            </w:tcBorders>
            <w:vAlign w:val="center"/>
          </w:tcPr>
          <w:p w14:paraId="0A36586D">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61EB0378">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封闭成品库内卸料，颗粒物经成品库沉降后排放。</w:t>
            </w:r>
          </w:p>
        </w:tc>
        <w:tc>
          <w:tcPr>
            <w:tcW w:w="1728" w:type="dxa"/>
            <w:tcBorders>
              <w:left w:val="single" w:color="auto" w:sz="4" w:space="0"/>
              <w:bottom w:val="single" w:color="auto" w:sz="4" w:space="0"/>
              <w:right w:val="single" w:color="auto" w:sz="8" w:space="0"/>
            </w:tcBorders>
            <w:vAlign w:val="center"/>
          </w:tcPr>
          <w:p w14:paraId="0FF10370">
            <w:pPr>
              <w:pStyle w:val="48"/>
              <w:rPr>
                <w:color w:val="0000FF"/>
                <w:kern w:val="0"/>
              </w:rPr>
            </w:pPr>
            <w:r>
              <w:rPr>
                <w:color w:val="0000FF"/>
              </w:rPr>
              <w:t>《大气污染物综合排放标准》（GB 16297-1996）</w:t>
            </w:r>
          </w:p>
        </w:tc>
      </w:tr>
      <w:tr w14:paraId="03F63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08CE1F77">
            <w:pPr>
              <w:widowControl/>
              <w:rPr>
                <w:rFonts w:eastAsiaTheme="minorEastAsia"/>
                <w:color w:val="000000" w:themeColor="text1"/>
                <w:sz w:val="24"/>
                <w14:textFill>
                  <w14:solidFill>
                    <w14:schemeClr w14:val="tx1"/>
                  </w14:solidFill>
                </w14:textFill>
              </w:rPr>
            </w:pPr>
          </w:p>
        </w:tc>
        <w:tc>
          <w:tcPr>
            <w:tcW w:w="1865" w:type="dxa"/>
            <w:tcBorders>
              <w:left w:val="single" w:color="auto" w:sz="4" w:space="0"/>
              <w:bottom w:val="single" w:color="auto" w:sz="4" w:space="0"/>
              <w:right w:val="single" w:color="auto" w:sz="4" w:space="0"/>
            </w:tcBorders>
            <w:vAlign w:val="center"/>
          </w:tcPr>
          <w:p w14:paraId="6699C004">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产品储存和装车</w:t>
            </w:r>
          </w:p>
        </w:tc>
        <w:tc>
          <w:tcPr>
            <w:tcW w:w="1260" w:type="dxa"/>
            <w:tcBorders>
              <w:top w:val="single" w:color="auto" w:sz="4" w:space="0"/>
              <w:left w:val="single" w:color="auto" w:sz="4" w:space="0"/>
              <w:bottom w:val="single" w:color="auto" w:sz="4" w:space="0"/>
              <w:right w:val="single" w:color="auto" w:sz="4" w:space="0"/>
            </w:tcBorders>
            <w:vAlign w:val="center"/>
          </w:tcPr>
          <w:p w14:paraId="3368449A">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421C980B">
            <w:pPr>
              <w:pStyle w:val="129"/>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洒水降尘、成品库封闭储存、装车；</w:t>
            </w:r>
          </w:p>
        </w:tc>
        <w:tc>
          <w:tcPr>
            <w:tcW w:w="1728" w:type="dxa"/>
            <w:tcBorders>
              <w:left w:val="single" w:color="auto" w:sz="4" w:space="0"/>
              <w:bottom w:val="single" w:color="auto" w:sz="4" w:space="0"/>
              <w:right w:val="single" w:color="auto" w:sz="8" w:space="0"/>
            </w:tcBorders>
            <w:vAlign w:val="center"/>
          </w:tcPr>
          <w:p w14:paraId="5E01BE81">
            <w:pPr>
              <w:pStyle w:val="48"/>
              <w:rPr>
                <w:color w:val="0000FF"/>
                <w:kern w:val="0"/>
              </w:rPr>
            </w:pPr>
            <w:r>
              <w:rPr>
                <w:color w:val="0000FF"/>
              </w:rPr>
              <w:t>《大气污染物综合排放标准》（GB 16297-1996）</w:t>
            </w:r>
          </w:p>
        </w:tc>
      </w:tr>
      <w:tr w14:paraId="61426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170BB22B">
            <w:pPr>
              <w:widowControl/>
              <w:rPr>
                <w:rFonts w:eastAsiaTheme="minorEastAsia"/>
                <w:color w:val="000000" w:themeColor="text1"/>
                <w:sz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36BEE4D4">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运输</w:t>
            </w:r>
          </w:p>
        </w:tc>
        <w:tc>
          <w:tcPr>
            <w:tcW w:w="1260" w:type="dxa"/>
            <w:tcBorders>
              <w:top w:val="single" w:color="auto" w:sz="4" w:space="0"/>
              <w:left w:val="single" w:color="auto" w:sz="4" w:space="0"/>
              <w:bottom w:val="single" w:color="auto" w:sz="4" w:space="0"/>
              <w:right w:val="single" w:color="auto" w:sz="4" w:space="0"/>
            </w:tcBorders>
            <w:vAlign w:val="center"/>
          </w:tcPr>
          <w:p w14:paraId="545D5E40">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颗粒物</w:t>
            </w:r>
          </w:p>
        </w:tc>
        <w:tc>
          <w:tcPr>
            <w:tcW w:w="2982" w:type="dxa"/>
            <w:tcBorders>
              <w:top w:val="single" w:color="auto" w:sz="4" w:space="0"/>
              <w:left w:val="single" w:color="auto" w:sz="4" w:space="0"/>
              <w:bottom w:val="single" w:color="auto" w:sz="4" w:space="0"/>
              <w:right w:val="single" w:color="auto" w:sz="4" w:space="0"/>
            </w:tcBorders>
            <w:vAlign w:val="center"/>
          </w:tcPr>
          <w:p w14:paraId="1CF590CC">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运输车辆进行覆盖，道路洒水抑尘。</w:t>
            </w:r>
          </w:p>
        </w:tc>
        <w:tc>
          <w:tcPr>
            <w:tcW w:w="1728" w:type="dxa"/>
            <w:tcBorders>
              <w:top w:val="single" w:color="auto" w:sz="4" w:space="0"/>
              <w:left w:val="single" w:color="auto" w:sz="4" w:space="0"/>
              <w:bottom w:val="single" w:color="auto" w:sz="4" w:space="0"/>
              <w:right w:val="single" w:color="auto" w:sz="8" w:space="0"/>
            </w:tcBorders>
            <w:vAlign w:val="center"/>
          </w:tcPr>
          <w:p w14:paraId="13C0A9E5">
            <w:pPr>
              <w:widowControl/>
              <w:jc w:val="center"/>
              <w:rPr>
                <w:rFonts w:eastAsiaTheme="minorEastAsia"/>
                <w:color w:val="000000" w:themeColor="text1"/>
                <w:kern w:val="0"/>
                <w:sz w:val="24"/>
                <w14:textFill>
                  <w14:solidFill>
                    <w14:schemeClr w14:val="tx1"/>
                  </w14:solidFill>
                </w14:textFill>
              </w:rPr>
            </w:pPr>
            <w:r>
              <w:rPr>
                <w:rFonts w:eastAsiaTheme="minorEastAsia"/>
                <w:color w:val="000000" w:themeColor="text1"/>
                <w:sz w:val="24"/>
                <w14:textFill>
                  <w14:solidFill>
                    <w14:schemeClr w14:val="tx1"/>
                  </w14:solidFill>
                </w14:textFill>
              </w:rPr>
              <w:t>/</w:t>
            </w:r>
          </w:p>
        </w:tc>
      </w:tr>
      <w:tr w14:paraId="0A0A9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1" w:type="dxa"/>
            <w:vMerge w:val="restart"/>
            <w:tcBorders>
              <w:top w:val="single" w:color="auto" w:sz="4" w:space="0"/>
              <w:left w:val="single" w:color="auto" w:sz="8" w:space="0"/>
              <w:right w:val="single" w:color="auto" w:sz="4" w:space="0"/>
            </w:tcBorders>
            <w:vAlign w:val="center"/>
          </w:tcPr>
          <w:p w14:paraId="4BEDD604">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地表水环境</w:t>
            </w:r>
          </w:p>
        </w:tc>
        <w:tc>
          <w:tcPr>
            <w:tcW w:w="1865" w:type="dxa"/>
            <w:tcBorders>
              <w:top w:val="single" w:color="auto" w:sz="4" w:space="0"/>
              <w:left w:val="single" w:color="auto" w:sz="4" w:space="0"/>
              <w:bottom w:val="single" w:color="auto" w:sz="4" w:space="0"/>
              <w:right w:val="single" w:color="auto" w:sz="4" w:space="0"/>
            </w:tcBorders>
            <w:vAlign w:val="center"/>
          </w:tcPr>
          <w:p w14:paraId="7E383E7A">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职工生活</w:t>
            </w:r>
          </w:p>
        </w:tc>
        <w:tc>
          <w:tcPr>
            <w:tcW w:w="1260" w:type="dxa"/>
            <w:tcBorders>
              <w:top w:val="single" w:color="auto" w:sz="4" w:space="0"/>
              <w:left w:val="single" w:color="auto" w:sz="4" w:space="0"/>
              <w:bottom w:val="single" w:color="auto" w:sz="4" w:space="0"/>
              <w:right w:val="single" w:color="auto" w:sz="4" w:space="0"/>
            </w:tcBorders>
            <w:vAlign w:val="center"/>
          </w:tcPr>
          <w:p w14:paraId="4EC1C528">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生活污水</w:t>
            </w:r>
          </w:p>
        </w:tc>
        <w:tc>
          <w:tcPr>
            <w:tcW w:w="2982" w:type="dxa"/>
            <w:tcBorders>
              <w:top w:val="single" w:color="auto" w:sz="4" w:space="0"/>
              <w:left w:val="single" w:color="auto" w:sz="4" w:space="0"/>
              <w:bottom w:val="single" w:color="auto" w:sz="4" w:space="0"/>
              <w:right w:val="single" w:color="auto" w:sz="4" w:space="0"/>
            </w:tcBorders>
            <w:vAlign w:val="center"/>
          </w:tcPr>
          <w:p w14:paraId="7AB56CAA">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kern w:val="0"/>
                <w14:textFill>
                  <w14:solidFill>
                    <w14:schemeClr w14:val="tx1"/>
                  </w14:solidFill>
                </w14:textFill>
              </w:rPr>
              <w:t>依托朝阳县瓦房子镇宏兴锰矿化粪池</w:t>
            </w:r>
          </w:p>
        </w:tc>
        <w:tc>
          <w:tcPr>
            <w:tcW w:w="1728" w:type="dxa"/>
            <w:tcBorders>
              <w:top w:val="single" w:color="auto" w:sz="4" w:space="0"/>
              <w:left w:val="single" w:color="auto" w:sz="4" w:space="0"/>
              <w:bottom w:val="single" w:color="auto" w:sz="4" w:space="0"/>
              <w:right w:val="single" w:color="auto" w:sz="8" w:space="0"/>
            </w:tcBorders>
            <w:vAlign w:val="center"/>
          </w:tcPr>
          <w:p w14:paraId="1D16AD7F">
            <w:pPr>
              <w:pStyle w:val="135"/>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w:t>
            </w:r>
          </w:p>
        </w:tc>
      </w:tr>
      <w:tr w14:paraId="74323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1" w:type="dxa"/>
            <w:vMerge w:val="continue"/>
            <w:tcBorders>
              <w:left w:val="single" w:color="auto" w:sz="8" w:space="0"/>
              <w:bottom w:val="single" w:color="auto" w:sz="4" w:space="0"/>
              <w:right w:val="single" w:color="auto" w:sz="4" w:space="0"/>
            </w:tcBorders>
            <w:vAlign w:val="center"/>
          </w:tcPr>
          <w:p w14:paraId="547B0B1E">
            <w:pPr>
              <w:pStyle w:val="129"/>
              <w:jc w:val="center"/>
              <w:rPr>
                <w:rFonts w:eastAsiaTheme="minorEastAsia"/>
                <w:color w:val="000000" w:themeColor="text1"/>
                <w:sz w:val="24"/>
                <w:szCs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0F666647">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烘干废气脱硫</w:t>
            </w:r>
          </w:p>
        </w:tc>
        <w:tc>
          <w:tcPr>
            <w:tcW w:w="1260" w:type="dxa"/>
            <w:tcBorders>
              <w:top w:val="single" w:color="auto" w:sz="4" w:space="0"/>
              <w:left w:val="single" w:color="auto" w:sz="4" w:space="0"/>
              <w:bottom w:val="single" w:color="auto" w:sz="4" w:space="0"/>
              <w:right w:val="single" w:color="auto" w:sz="4" w:space="0"/>
            </w:tcBorders>
            <w:vAlign w:val="center"/>
          </w:tcPr>
          <w:p w14:paraId="666E663E">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脱硫废水</w:t>
            </w:r>
          </w:p>
        </w:tc>
        <w:tc>
          <w:tcPr>
            <w:tcW w:w="2982" w:type="dxa"/>
            <w:tcBorders>
              <w:top w:val="single" w:color="auto" w:sz="4" w:space="0"/>
              <w:left w:val="single" w:color="auto" w:sz="4" w:space="0"/>
              <w:bottom w:val="single" w:color="auto" w:sz="4" w:space="0"/>
              <w:right w:val="single" w:color="auto" w:sz="4" w:space="0"/>
            </w:tcBorders>
            <w:vAlign w:val="center"/>
          </w:tcPr>
          <w:p w14:paraId="3455380F">
            <w:pPr>
              <w:pStyle w:val="129"/>
              <w:jc w:val="center"/>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石灰石/石膏法脱硫，废水循环使用不外排</w:t>
            </w:r>
          </w:p>
        </w:tc>
        <w:tc>
          <w:tcPr>
            <w:tcW w:w="1728" w:type="dxa"/>
            <w:tcBorders>
              <w:top w:val="single" w:color="auto" w:sz="4" w:space="0"/>
              <w:left w:val="single" w:color="auto" w:sz="4" w:space="0"/>
              <w:bottom w:val="single" w:color="auto" w:sz="4" w:space="0"/>
              <w:right w:val="single" w:color="auto" w:sz="8" w:space="0"/>
            </w:tcBorders>
            <w:vAlign w:val="center"/>
          </w:tcPr>
          <w:p w14:paraId="445461A1">
            <w:pPr>
              <w:pStyle w:val="135"/>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w:t>
            </w:r>
          </w:p>
        </w:tc>
      </w:tr>
      <w:tr w14:paraId="1B9ED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restart"/>
            <w:tcBorders>
              <w:top w:val="single" w:color="auto" w:sz="4" w:space="0"/>
              <w:left w:val="single" w:color="auto" w:sz="8" w:space="0"/>
              <w:bottom w:val="single" w:color="auto" w:sz="4" w:space="0"/>
              <w:right w:val="single" w:color="auto" w:sz="4" w:space="0"/>
            </w:tcBorders>
            <w:vAlign w:val="center"/>
          </w:tcPr>
          <w:p w14:paraId="447EAED4">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声环境</w:t>
            </w:r>
          </w:p>
        </w:tc>
        <w:tc>
          <w:tcPr>
            <w:tcW w:w="1865" w:type="dxa"/>
            <w:tcBorders>
              <w:top w:val="single" w:color="auto" w:sz="4" w:space="0"/>
              <w:left w:val="single" w:color="auto" w:sz="4" w:space="0"/>
              <w:bottom w:val="single" w:color="auto" w:sz="4" w:space="0"/>
              <w:right w:val="single" w:color="auto" w:sz="4" w:space="0"/>
            </w:tcBorders>
            <w:vAlign w:val="center"/>
          </w:tcPr>
          <w:p w14:paraId="4B05C7AB">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机械设备</w:t>
            </w:r>
          </w:p>
        </w:tc>
        <w:tc>
          <w:tcPr>
            <w:tcW w:w="1260" w:type="dxa"/>
            <w:tcBorders>
              <w:top w:val="single" w:color="auto" w:sz="4" w:space="0"/>
              <w:left w:val="single" w:color="auto" w:sz="4" w:space="0"/>
              <w:bottom w:val="single" w:color="auto" w:sz="4" w:space="0"/>
              <w:right w:val="single" w:color="auto" w:sz="4" w:space="0"/>
            </w:tcBorders>
            <w:vAlign w:val="center"/>
          </w:tcPr>
          <w:p w14:paraId="37C9BDFE">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噪声</w:t>
            </w:r>
          </w:p>
        </w:tc>
        <w:tc>
          <w:tcPr>
            <w:tcW w:w="2982" w:type="dxa"/>
            <w:tcBorders>
              <w:top w:val="single" w:color="auto" w:sz="4" w:space="0"/>
              <w:left w:val="single" w:color="auto" w:sz="4" w:space="0"/>
              <w:bottom w:val="single" w:color="auto" w:sz="4" w:space="0"/>
              <w:right w:val="single" w:color="auto" w:sz="4" w:space="0"/>
            </w:tcBorders>
            <w:vAlign w:val="center"/>
          </w:tcPr>
          <w:p w14:paraId="518A8F11">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 xml:space="preserve">厂界加强绿化，选用低噪声设备，采取隔声、减振、消声等降噪措施。 </w:t>
            </w:r>
          </w:p>
        </w:tc>
        <w:tc>
          <w:tcPr>
            <w:tcW w:w="1728" w:type="dxa"/>
            <w:tcBorders>
              <w:top w:val="single" w:color="auto" w:sz="4" w:space="0"/>
              <w:left w:val="single" w:color="auto" w:sz="4" w:space="0"/>
              <w:bottom w:val="single" w:color="auto" w:sz="4" w:space="0"/>
              <w:right w:val="single" w:color="auto" w:sz="8" w:space="0"/>
            </w:tcBorders>
            <w:vAlign w:val="center"/>
          </w:tcPr>
          <w:p w14:paraId="4B9F5831">
            <w:pPr>
              <w:pStyle w:val="48"/>
            </w:pPr>
            <w:r>
              <w:t>《工业企业厂界环境噪声排放标准》（GB 12348-2008）</w:t>
            </w:r>
          </w:p>
          <w:p w14:paraId="3B07218C">
            <w:pPr>
              <w:pStyle w:val="48"/>
            </w:pPr>
            <w:r>
              <w:t>3类标准</w:t>
            </w:r>
          </w:p>
        </w:tc>
      </w:tr>
      <w:tr w14:paraId="52C34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37D9A673">
            <w:pPr>
              <w:widowControl/>
              <w:rPr>
                <w:rFonts w:eastAsiaTheme="minorEastAsia"/>
                <w:color w:val="000000" w:themeColor="text1"/>
                <w:sz w:val="24"/>
                <w14:textFill>
                  <w14:solidFill>
                    <w14:schemeClr w14:val="tx1"/>
                  </w14:solidFill>
                </w14:textFill>
              </w:rPr>
            </w:pPr>
          </w:p>
        </w:tc>
        <w:tc>
          <w:tcPr>
            <w:tcW w:w="1865" w:type="dxa"/>
            <w:tcBorders>
              <w:top w:val="single" w:color="auto" w:sz="4" w:space="0"/>
              <w:left w:val="single" w:color="auto" w:sz="4" w:space="0"/>
              <w:bottom w:val="single" w:color="auto" w:sz="4" w:space="0"/>
              <w:right w:val="single" w:color="auto" w:sz="4" w:space="0"/>
            </w:tcBorders>
            <w:vAlign w:val="center"/>
          </w:tcPr>
          <w:p w14:paraId="33D355E8">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运输</w:t>
            </w:r>
          </w:p>
        </w:tc>
        <w:tc>
          <w:tcPr>
            <w:tcW w:w="1260" w:type="dxa"/>
            <w:tcBorders>
              <w:top w:val="single" w:color="auto" w:sz="4" w:space="0"/>
              <w:left w:val="single" w:color="auto" w:sz="4" w:space="0"/>
              <w:bottom w:val="single" w:color="auto" w:sz="4" w:space="0"/>
              <w:right w:val="single" w:color="auto" w:sz="4" w:space="0"/>
            </w:tcBorders>
            <w:vAlign w:val="center"/>
          </w:tcPr>
          <w:p w14:paraId="4D936DBD">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噪声</w:t>
            </w:r>
          </w:p>
        </w:tc>
        <w:tc>
          <w:tcPr>
            <w:tcW w:w="2982" w:type="dxa"/>
            <w:tcBorders>
              <w:top w:val="single" w:color="auto" w:sz="4" w:space="0"/>
              <w:left w:val="single" w:color="auto" w:sz="4" w:space="0"/>
              <w:bottom w:val="single" w:color="auto" w:sz="4" w:space="0"/>
              <w:right w:val="single" w:color="auto" w:sz="4" w:space="0"/>
            </w:tcBorders>
            <w:vAlign w:val="center"/>
          </w:tcPr>
          <w:p w14:paraId="2BE5B7F0">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14:textFill>
                  <w14:solidFill>
                    <w14:schemeClr w14:val="tx1"/>
                  </w14:solidFill>
                </w14:textFill>
              </w:rPr>
              <w:t>加强管理，严禁车辆超速超载运输。</w:t>
            </w:r>
          </w:p>
        </w:tc>
        <w:tc>
          <w:tcPr>
            <w:tcW w:w="1728" w:type="dxa"/>
            <w:tcBorders>
              <w:top w:val="single" w:color="auto" w:sz="4" w:space="0"/>
              <w:left w:val="single" w:color="auto" w:sz="4" w:space="0"/>
              <w:bottom w:val="single" w:color="auto" w:sz="4" w:space="0"/>
              <w:right w:val="single" w:color="auto" w:sz="8" w:space="0"/>
            </w:tcBorders>
            <w:vAlign w:val="center"/>
          </w:tcPr>
          <w:p w14:paraId="26CE4895">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w:t>
            </w:r>
          </w:p>
        </w:tc>
      </w:tr>
      <w:tr w14:paraId="09A69D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71" w:type="dxa"/>
            <w:vMerge w:val="restart"/>
            <w:tcBorders>
              <w:top w:val="single" w:color="auto" w:sz="4" w:space="0"/>
              <w:left w:val="single" w:color="auto" w:sz="8" w:space="0"/>
              <w:bottom w:val="single" w:color="auto" w:sz="4" w:space="0"/>
              <w:right w:val="single" w:color="auto" w:sz="4" w:space="0"/>
            </w:tcBorders>
            <w:vAlign w:val="center"/>
          </w:tcPr>
          <w:p w14:paraId="27816267">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固体</w:t>
            </w:r>
          </w:p>
          <w:p w14:paraId="29A8C669">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废物</w:t>
            </w:r>
          </w:p>
        </w:tc>
        <w:tc>
          <w:tcPr>
            <w:tcW w:w="6107" w:type="dxa"/>
            <w:gridSpan w:val="3"/>
            <w:tcBorders>
              <w:top w:val="single" w:color="auto" w:sz="4" w:space="0"/>
              <w:left w:val="single" w:color="auto" w:sz="4" w:space="0"/>
              <w:bottom w:val="single" w:color="auto" w:sz="4" w:space="0"/>
              <w:right w:val="single" w:color="auto" w:sz="4" w:space="0"/>
            </w:tcBorders>
            <w:vAlign w:val="center"/>
          </w:tcPr>
          <w:p w14:paraId="4AD07E70">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30m</w:t>
            </w:r>
            <w:r>
              <w:rPr>
                <w:rFonts w:eastAsiaTheme="minorEastAsia"/>
                <w:color w:val="000000" w:themeColor="text1"/>
                <w:sz w:val="24"/>
                <w:szCs w:val="24"/>
                <w:vertAlign w:val="superscript"/>
                <w14:textFill>
                  <w14:solidFill>
                    <w14:schemeClr w14:val="tx1"/>
                  </w14:solidFill>
                </w14:textFill>
              </w:rPr>
              <w:t>2</w:t>
            </w:r>
            <w:r>
              <w:rPr>
                <w:rFonts w:eastAsiaTheme="minorEastAsia"/>
                <w:color w:val="000000" w:themeColor="text1"/>
                <w:sz w:val="24"/>
                <w:szCs w:val="24"/>
                <w14:textFill>
                  <w14:solidFill>
                    <w14:schemeClr w14:val="tx1"/>
                  </w14:solidFill>
                </w14:textFill>
              </w:rPr>
              <w:t>一般固废间1座，用于暂存脱硫石膏、</w:t>
            </w:r>
            <w:r>
              <w:rPr>
                <w:rFonts w:eastAsiaTheme="minorEastAsia"/>
                <w:color w:val="0000FF"/>
                <w:sz w:val="24"/>
                <w:szCs w:val="24"/>
              </w:rPr>
              <w:t>沉淀池沉淀。</w:t>
            </w:r>
          </w:p>
        </w:tc>
        <w:tc>
          <w:tcPr>
            <w:tcW w:w="1728" w:type="dxa"/>
            <w:tcBorders>
              <w:top w:val="single" w:color="auto" w:sz="4" w:space="0"/>
              <w:left w:val="single" w:color="auto" w:sz="4" w:space="0"/>
              <w:bottom w:val="single" w:color="auto" w:sz="4" w:space="0"/>
              <w:right w:val="single" w:color="auto" w:sz="8" w:space="0"/>
            </w:tcBorders>
            <w:vAlign w:val="center"/>
          </w:tcPr>
          <w:p w14:paraId="3B8F75CA">
            <w:pPr>
              <w:pStyle w:val="129"/>
              <w:jc w:val="center"/>
              <w:rPr>
                <w:rFonts w:eastAsiaTheme="minorEastAsia"/>
                <w:color w:val="000000" w:themeColor="text1"/>
                <w:sz w:val="24"/>
                <w:szCs w:val="24"/>
                <w14:textFill>
                  <w14:solidFill>
                    <w14:schemeClr w14:val="tx1"/>
                  </w14:solidFill>
                </w14:textFill>
              </w:rPr>
            </w:pPr>
            <w:r>
              <w:rPr>
                <w:rFonts w:eastAsiaTheme="minorEastAsia"/>
                <w:color w:val="0000FF"/>
              </w:rPr>
              <w:t>《一般工业固体废物贮存和填埋污染控制标准》（GB18599-2020）</w:t>
            </w:r>
          </w:p>
        </w:tc>
      </w:tr>
      <w:tr w14:paraId="33592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58018084">
            <w:pPr>
              <w:widowControl/>
              <w:rPr>
                <w:rFonts w:eastAsiaTheme="minorEastAsia"/>
                <w:color w:val="000000" w:themeColor="text1"/>
                <w:sz w:val="24"/>
                <w14:textFill>
                  <w14:solidFill>
                    <w14:schemeClr w14:val="tx1"/>
                  </w14:solidFill>
                </w14:textFill>
              </w:rPr>
            </w:pPr>
          </w:p>
        </w:tc>
        <w:tc>
          <w:tcPr>
            <w:tcW w:w="6107" w:type="dxa"/>
            <w:gridSpan w:val="3"/>
            <w:tcBorders>
              <w:top w:val="single" w:color="auto" w:sz="4" w:space="0"/>
              <w:left w:val="single" w:color="auto" w:sz="4" w:space="0"/>
              <w:bottom w:val="single" w:color="auto" w:sz="4" w:space="0"/>
              <w:right w:val="single" w:color="auto" w:sz="4" w:space="0"/>
            </w:tcBorders>
            <w:vAlign w:val="center"/>
          </w:tcPr>
          <w:p w14:paraId="4CAC3220">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10m</w:t>
            </w:r>
            <w:r>
              <w:rPr>
                <w:rFonts w:eastAsiaTheme="minorEastAsia"/>
                <w:color w:val="000000" w:themeColor="text1"/>
                <w:sz w:val="24"/>
                <w:szCs w:val="24"/>
                <w:vertAlign w:val="superscript"/>
                <w14:textFill>
                  <w14:solidFill>
                    <w14:schemeClr w14:val="tx1"/>
                  </w14:solidFill>
                </w14:textFill>
              </w:rPr>
              <w:t>2</w:t>
            </w:r>
            <w:r>
              <w:rPr>
                <w:rFonts w:eastAsiaTheme="minorEastAsia"/>
                <w:color w:val="000000" w:themeColor="text1"/>
                <w:sz w:val="24"/>
                <w:szCs w:val="24"/>
                <w14:textFill>
                  <w14:solidFill>
                    <w14:schemeClr w14:val="tx1"/>
                  </w14:solidFill>
                </w14:textFill>
              </w:rPr>
              <w:t>危废贮存点1座，用于暂存废机油、废油桶。</w:t>
            </w:r>
          </w:p>
        </w:tc>
        <w:tc>
          <w:tcPr>
            <w:tcW w:w="1728" w:type="dxa"/>
            <w:tcBorders>
              <w:top w:val="single" w:color="auto" w:sz="4" w:space="0"/>
              <w:left w:val="single" w:color="auto" w:sz="4" w:space="0"/>
              <w:bottom w:val="single" w:color="auto" w:sz="4" w:space="0"/>
              <w:right w:val="single" w:color="auto" w:sz="8" w:space="0"/>
            </w:tcBorders>
            <w:vAlign w:val="center"/>
          </w:tcPr>
          <w:p w14:paraId="050BDE3B">
            <w:pPr>
              <w:pStyle w:val="129"/>
              <w:jc w:val="center"/>
              <w:rPr>
                <w:rFonts w:eastAsiaTheme="minorEastAsia"/>
                <w:color w:val="000000" w:themeColor="text1"/>
                <w:sz w:val="24"/>
                <w:szCs w:val="24"/>
                <w14:textFill>
                  <w14:solidFill>
                    <w14:schemeClr w14:val="tx1"/>
                  </w14:solidFill>
                </w14:textFill>
              </w:rPr>
            </w:pPr>
            <w:r>
              <w:rPr>
                <w:rStyle w:val="86"/>
                <w:rFonts w:eastAsiaTheme="minorEastAsia"/>
                <w:color w:val="0000FF"/>
              </w:rPr>
              <w:t>《危险废物贮存污染控制标准》（GB 18597-2023</w:t>
            </w:r>
            <w:r>
              <w:rPr>
                <w:rFonts w:eastAsiaTheme="minorEastAsia"/>
                <w:color w:val="000000" w:themeColor="text1"/>
                <w:sz w:val="24"/>
                <w:szCs w:val="24"/>
                <w14:textFill>
                  <w14:solidFill>
                    <w14:schemeClr w14:val="tx1"/>
                  </w14:solidFill>
                </w14:textFill>
              </w:rPr>
              <w:t>）</w:t>
            </w:r>
          </w:p>
        </w:tc>
      </w:tr>
      <w:tr w14:paraId="263CC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71" w:type="dxa"/>
            <w:vMerge w:val="continue"/>
            <w:tcBorders>
              <w:top w:val="single" w:color="auto" w:sz="4" w:space="0"/>
              <w:left w:val="single" w:color="auto" w:sz="8" w:space="0"/>
              <w:bottom w:val="single" w:color="auto" w:sz="4" w:space="0"/>
              <w:right w:val="single" w:color="auto" w:sz="4" w:space="0"/>
            </w:tcBorders>
            <w:vAlign w:val="center"/>
          </w:tcPr>
          <w:p w14:paraId="7D3DC8C4">
            <w:pPr>
              <w:widowControl/>
              <w:rPr>
                <w:rFonts w:eastAsiaTheme="minorEastAsia"/>
                <w:color w:val="000000" w:themeColor="text1"/>
                <w:sz w:val="24"/>
                <w14:textFill>
                  <w14:solidFill>
                    <w14:schemeClr w14:val="tx1"/>
                  </w14:solidFill>
                </w14:textFill>
              </w:rPr>
            </w:pPr>
          </w:p>
        </w:tc>
        <w:tc>
          <w:tcPr>
            <w:tcW w:w="6107" w:type="dxa"/>
            <w:gridSpan w:val="3"/>
            <w:tcBorders>
              <w:top w:val="single" w:color="auto" w:sz="4" w:space="0"/>
              <w:left w:val="single" w:color="auto" w:sz="4" w:space="0"/>
              <w:bottom w:val="single" w:color="auto" w:sz="4" w:space="0"/>
              <w:right w:val="single" w:color="auto" w:sz="4" w:space="0"/>
            </w:tcBorders>
            <w:vAlign w:val="center"/>
          </w:tcPr>
          <w:p w14:paraId="464BF8DF">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生活垃圾箱2个（新建），用于暂存生活垃圾。</w:t>
            </w:r>
          </w:p>
        </w:tc>
        <w:tc>
          <w:tcPr>
            <w:tcW w:w="1728" w:type="dxa"/>
            <w:tcBorders>
              <w:top w:val="single" w:color="auto" w:sz="4" w:space="0"/>
              <w:left w:val="single" w:color="auto" w:sz="4" w:space="0"/>
              <w:bottom w:val="single" w:color="auto" w:sz="4" w:space="0"/>
              <w:right w:val="single" w:color="auto" w:sz="8" w:space="0"/>
            </w:tcBorders>
            <w:vAlign w:val="center"/>
          </w:tcPr>
          <w:p w14:paraId="6B974B9D">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w:t>
            </w:r>
          </w:p>
        </w:tc>
      </w:tr>
      <w:tr w14:paraId="0AF8E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971" w:type="dxa"/>
            <w:tcBorders>
              <w:top w:val="single" w:color="auto" w:sz="4" w:space="0"/>
              <w:left w:val="single" w:color="auto" w:sz="8" w:space="0"/>
              <w:bottom w:val="single" w:color="auto" w:sz="4" w:space="0"/>
              <w:right w:val="single" w:color="auto" w:sz="4" w:space="0"/>
            </w:tcBorders>
            <w:vAlign w:val="center"/>
          </w:tcPr>
          <w:p w14:paraId="049C4330">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土壤及地下水</w:t>
            </w:r>
          </w:p>
          <w:p w14:paraId="79CA4D38">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污染防治措施</w:t>
            </w:r>
          </w:p>
        </w:tc>
        <w:tc>
          <w:tcPr>
            <w:tcW w:w="7835" w:type="dxa"/>
            <w:gridSpan w:val="4"/>
            <w:tcBorders>
              <w:top w:val="single" w:color="auto" w:sz="4" w:space="0"/>
              <w:left w:val="single" w:color="auto" w:sz="4" w:space="0"/>
              <w:bottom w:val="single" w:color="auto" w:sz="4" w:space="0"/>
              <w:right w:val="single" w:color="auto" w:sz="8" w:space="0"/>
            </w:tcBorders>
            <w:vAlign w:val="center"/>
          </w:tcPr>
          <w:p w14:paraId="610153CE">
            <w:pPr>
              <w:pStyle w:val="129"/>
              <w:jc w:val="left"/>
              <w:rPr>
                <w:rFonts w:eastAsiaTheme="minorEastAsia"/>
                <w:color w:val="000000" w:themeColor="text1"/>
                <w:kern w:val="0"/>
                <w:sz w:val="24"/>
                <w:szCs w:val="24"/>
                <w14:textFill>
                  <w14:solidFill>
                    <w14:schemeClr w14:val="tx1"/>
                  </w14:solidFill>
                </w14:textFill>
              </w:rPr>
            </w:pPr>
            <w:r>
              <w:rPr>
                <w:rFonts w:eastAsiaTheme="minorEastAsia"/>
                <w:color w:val="000000" w:themeColor="text1"/>
                <w:kern w:val="0"/>
                <w:sz w:val="24"/>
                <w:szCs w:val="24"/>
                <w14:textFill>
                  <w14:solidFill>
                    <w14:schemeClr w14:val="tx1"/>
                  </w14:solidFill>
                </w14:textFill>
              </w:rPr>
              <w:t>危废贮存点做重点防渗，原料库、生产车间、烘干车间、成品库做一般防渗，其他区域做简单防渗。</w:t>
            </w:r>
          </w:p>
        </w:tc>
      </w:tr>
      <w:tr w14:paraId="1C33F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71" w:type="dxa"/>
            <w:tcBorders>
              <w:top w:val="single" w:color="auto" w:sz="4" w:space="0"/>
              <w:left w:val="single" w:color="auto" w:sz="8" w:space="0"/>
              <w:bottom w:val="single" w:color="auto" w:sz="4" w:space="0"/>
              <w:right w:val="single" w:color="auto" w:sz="4" w:space="0"/>
            </w:tcBorders>
            <w:vAlign w:val="center"/>
          </w:tcPr>
          <w:p w14:paraId="09AC75E2">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生态保护措施</w:t>
            </w:r>
          </w:p>
        </w:tc>
        <w:tc>
          <w:tcPr>
            <w:tcW w:w="7835" w:type="dxa"/>
            <w:gridSpan w:val="4"/>
            <w:tcBorders>
              <w:top w:val="single" w:color="auto" w:sz="4" w:space="0"/>
              <w:left w:val="single" w:color="auto" w:sz="4" w:space="0"/>
              <w:bottom w:val="single" w:color="auto" w:sz="4" w:space="0"/>
              <w:right w:val="single" w:color="auto" w:sz="8" w:space="0"/>
            </w:tcBorders>
            <w:vAlign w:val="center"/>
          </w:tcPr>
          <w:p w14:paraId="38331EDE">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w:t>
            </w:r>
          </w:p>
        </w:tc>
      </w:tr>
      <w:tr w14:paraId="5849B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Borders>
              <w:top w:val="single" w:color="auto" w:sz="4" w:space="0"/>
              <w:left w:val="single" w:color="auto" w:sz="8" w:space="0"/>
              <w:bottom w:val="single" w:color="auto" w:sz="4" w:space="0"/>
              <w:right w:val="single" w:color="auto" w:sz="4" w:space="0"/>
            </w:tcBorders>
            <w:vAlign w:val="center"/>
          </w:tcPr>
          <w:p w14:paraId="102D3D26">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环境风险防范措施</w:t>
            </w:r>
          </w:p>
        </w:tc>
        <w:tc>
          <w:tcPr>
            <w:tcW w:w="7835" w:type="dxa"/>
            <w:gridSpan w:val="4"/>
            <w:tcBorders>
              <w:top w:val="single" w:color="auto" w:sz="4" w:space="0"/>
              <w:left w:val="single" w:color="auto" w:sz="4" w:space="0"/>
              <w:bottom w:val="single" w:color="auto" w:sz="4" w:space="0"/>
              <w:right w:val="single" w:color="auto" w:sz="8" w:space="0"/>
            </w:tcBorders>
            <w:vAlign w:val="center"/>
          </w:tcPr>
          <w:p w14:paraId="328F99BF">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a 应及时收集本单位产生的危险废物，并按照类别分别置于防渗漏、防锐器穿透的专用包装物或者密闭的容器内；</w:t>
            </w:r>
          </w:p>
          <w:p w14:paraId="4A09FE0A">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b 危险废物使用专用包装物、容器，应当有明显的警示标志和警示说明；</w:t>
            </w:r>
          </w:p>
          <w:p w14:paraId="7C63B4AC">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c 危废贮存点必须具有暂时贮存设施、设备，不得露天存放危险废物，危废暂时贮存的时间必须符合相关规定要求；</w:t>
            </w:r>
          </w:p>
          <w:p w14:paraId="18173208">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d 固体废物分类收集、暂存过程中，如贮存、运输方式不当，则会对贮存地及沿途的环境造成影响。</w:t>
            </w:r>
          </w:p>
          <w:p w14:paraId="4CE72703">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本环评要求使用防渗漏、防遗撒的专用运送工具，按照本单位确定的内部危废运送时间、路线，将危废收集，暂存在建设单位废物暂存间，定期委托具有相应资质的单位处理。运送工具应在单位指定的地点及时消毒灭菌和清洁；</w:t>
            </w:r>
          </w:p>
          <w:p w14:paraId="5AD06A37">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e 危险废物发生泄漏、着火后，要及时分析、检测现场环境及危害程度，如着火要检测、分析火势蔓延的可能性和着火产生的有毒有害气体对人员的危害程度；</w:t>
            </w:r>
          </w:p>
          <w:p w14:paraId="0887AECE">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f 发生泄漏着火事故后，及时控制致灾源；通过采取有效的控制措施迅速排除现场隐患，消除危害。建设单位是项目环境风险责任主体，必须建立健全环境管理体系，强化环境安全管理。</w:t>
            </w:r>
          </w:p>
        </w:tc>
      </w:tr>
      <w:tr w14:paraId="3917F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92" w:hRule="atLeast"/>
          <w:jc w:val="center"/>
        </w:trPr>
        <w:tc>
          <w:tcPr>
            <w:tcW w:w="971" w:type="dxa"/>
            <w:tcBorders>
              <w:top w:val="single" w:color="auto" w:sz="4" w:space="0"/>
              <w:left w:val="single" w:color="auto" w:sz="8" w:space="0"/>
              <w:bottom w:val="single" w:color="auto" w:sz="8" w:space="0"/>
              <w:right w:val="single" w:color="auto" w:sz="4" w:space="0"/>
            </w:tcBorders>
            <w:vAlign w:val="center"/>
          </w:tcPr>
          <w:p w14:paraId="1F8E2E25">
            <w:pPr>
              <w:pStyle w:val="129"/>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其他环境管理要求</w:t>
            </w:r>
          </w:p>
        </w:tc>
        <w:tc>
          <w:tcPr>
            <w:tcW w:w="7835" w:type="dxa"/>
            <w:gridSpan w:val="4"/>
            <w:tcBorders>
              <w:top w:val="single" w:color="auto" w:sz="4" w:space="0"/>
              <w:left w:val="single" w:color="auto" w:sz="4" w:space="0"/>
              <w:bottom w:val="single" w:color="auto" w:sz="8" w:space="0"/>
              <w:right w:val="single" w:color="auto" w:sz="8" w:space="0"/>
            </w:tcBorders>
            <w:vAlign w:val="center"/>
          </w:tcPr>
          <w:p w14:paraId="2C8D057A">
            <w:pPr>
              <w:pStyle w:val="12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按照《国家环境保护总局关于修改开展排放口规范化整治工作的通知的决定》（2006年6月5日，国家环境保护总局令第33号），该项目废气排放口、固体废物堆放处必须进行规范化设置，必须符合国家标准《环境保护图形标志—排放口（源）》（GB 15562.1-1995）、《环境保护图形标志 固体废物贮存（处置）场》（GB 15562.2-1995）及其修改单中规定。</w:t>
            </w:r>
          </w:p>
        </w:tc>
      </w:tr>
    </w:tbl>
    <w:p w14:paraId="6670C238">
      <w:pPr>
        <w:pStyle w:val="65"/>
        <w:ind w:firstLine="0" w:firstLineChars="0"/>
        <w:rPr>
          <w:color w:val="000000" w:themeColor="text1"/>
          <w14:textFill>
            <w14:solidFill>
              <w14:schemeClr w14:val="tx1"/>
            </w14:solidFill>
          </w14:textFill>
        </w:rPr>
      </w:pPr>
    </w:p>
    <w:p w14:paraId="0ED7D901">
      <w:pPr>
        <w:pStyle w:val="32"/>
        <w:pageBreakBefore/>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六、结论</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5B3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4" w:hRule="atLeast"/>
        </w:trPr>
        <w:tc>
          <w:tcPr>
            <w:tcW w:w="8296" w:type="dxa"/>
          </w:tcPr>
          <w:p w14:paraId="09ACBC1B">
            <w:pPr>
              <w:pStyle w:val="65"/>
              <w:spacing w:before="156"/>
              <w:ind w:firstLine="480"/>
              <w:rPr>
                <w:rFonts w:eastAsiaTheme="minorEastAsia"/>
                <w:color w:val="auto"/>
                <w:sz w:val="21"/>
              </w:rPr>
            </w:pPr>
            <w:r>
              <w:rPr>
                <w:rFonts w:eastAsiaTheme="minorEastAsia"/>
                <w:color w:val="auto"/>
              </w:rPr>
              <w:t>朝阳县佳云奇金属材料有限公司固体废物加工再利用项目位于辽宁省朝阳市朝阳县瓦房子镇上三家子村（朝阳县瓦房子镇宏兴锰矿厂区内），租用朝阳县瓦房子镇宏兴锰矿场地，不新增用地，占地均位于朝阳县瓦房子镇工业园区内。本项目符合国家产业政策，项目用地为工业用地，选址合理。项目在运营期产生的废气、废水、噪声、固废及风险经采取措施后满足达标排放要求，对周围环境影响较小，不会改变区域环境质量现状；建设单位在认真落实环评报告中提出的各项污染防治对策和措施后，并保证其稳定运行达标排放，项目建设不会对大气、水、声环境造成明显不利影响，且风险可控。建设项目在确保各类污染物稳定达标排放的前提下，从环境保护角度分析，该项目建设可行。</w:t>
            </w:r>
          </w:p>
          <w:p w14:paraId="42B908E3">
            <w:pPr>
              <w:pStyle w:val="65"/>
              <w:spacing w:before="156"/>
              <w:ind w:firstLine="0" w:firstLineChars="0"/>
              <w:rPr>
                <w:rFonts w:eastAsiaTheme="minorEastAsia"/>
                <w:color w:val="auto"/>
              </w:rPr>
            </w:pPr>
          </w:p>
          <w:p w14:paraId="4F96C554">
            <w:pPr>
              <w:pStyle w:val="65"/>
              <w:spacing w:before="156"/>
              <w:ind w:firstLine="0" w:firstLineChars="0"/>
              <w:rPr>
                <w:rFonts w:eastAsiaTheme="minorEastAsia"/>
                <w:color w:val="auto"/>
              </w:rPr>
            </w:pPr>
          </w:p>
          <w:p w14:paraId="661D11B0">
            <w:pPr>
              <w:pStyle w:val="65"/>
              <w:ind w:firstLine="0" w:firstLineChars="0"/>
              <w:rPr>
                <w:rFonts w:eastAsiaTheme="minorEastAsia"/>
                <w:color w:val="auto"/>
              </w:rPr>
            </w:pPr>
          </w:p>
          <w:p w14:paraId="043C758B">
            <w:pPr>
              <w:pStyle w:val="65"/>
              <w:ind w:firstLine="0" w:firstLineChars="0"/>
              <w:rPr>
                <w:rFonts w:eastAsiaTheme="minorEastAsia"/>
                <w:color w:val="auto"/>
              </w:rPr>
            </w:pPr>
          </w:p>
          <w:p w14:paraId="1E75F87D">
            <w:pPr>
              <w:pStyle w:val="65"/>
              <w:ind w:firstLine="0" w:firstLineChars="0"/>
              <w:rPr>
                <w:rFonts w:eastAsiaTheme="minorEastAsia"/>
                <w:color w:val="auto"/>
              </w:rPr>
            </w:pPr>
          </w:p>
          <w:p w14:paraId="2ECAA695">
            <w:pPr>
              <w:pStyle w:val="65"/>
              <w:ind w:firstLine="0" w:firstLineChars="0"/>
              <w:rPr>
                <w:rFonts w:eastAsiaTheme="minorEastAsia"/>
                <w:color w:val="auto"/>
              </w:rPr>
            </w:pPr>
          </w:p>
          <w:p w14:paraId="2F656D6F">
            <w:pPr>
              <w:pStyle w:val="65"/>
              <w:ind w:firstLine="0" w:firstLineChars="0"/>
              <w:rPr>
                <w:rFonts w:eastAsiaTheme="minorEastAsia"/>
                <w:color w:val="auto"/>
              </w:rPr>
            </w:pPr>
          </w:p>
          <w:p w14:paraId="612403DA">
            <w:pPr>
              <w:pStyle w:val="65"/>
              <w:ind w:firstLine="0" w:firstLineChars="0"/>
              <w:rPr>
                <w:rFonts w:eastAsiaTheme="minorEastAsia"/>
                <w:color w:val="auto"/>
              </w:rPr>
            </w:pPr>
          </w:p>
          <w:p w14:paraId="3DB4BBCE">
            <w:pPr>
              <w:pStyle w:val="65"/>
              <w:ind w:firstLine="0" w:firstLineChars="0"/>
              <w:rPr>
                <w:rFonts w:eastAsiaTheme="minorEastAsia"/>
                <w:color w:val="auto"/>
              </w:rPr>
            </w:pPr>
          </w:p>
          <w:p w14:paraId="5995A01B">
            <w:pPr>
              <w:pStyle w:val="65"/>
              <w:ind w:firstLine="0" w:firstLineChars="0"/>
              <w:rPr>
                <w:rFonts w:eastAsiaTheme="minorEastAsia"/>
                <w:color w:val="auto"/>
              </w:rPr>
            </w:pPr>
          </w:p>
          <w:p w14:paraId="5C2C1694">
            <w:pPr>
              <w:pStyle w:val="65"/>
              <w:ind w:firstLine="0" w:firstLineChars="0"/>
              <w:rPr>
                <w:rFonts w:eastAsiaTheme="minorEastAsia"/>
                <w:color w:val="auto"/>
              </w:rPr>
            </w:pPr>
          </w:p>
          <w:p w14:paraId="226B25C0">
            <w:pPr>
              <w:pStyle w:val="65"/>
              <w:ind w:firstLine="0" w:firstLineChars="0"/>
              <w:rPr>
                <w:rFonts w:eastAsiaTheme="minorEastAsia"/>
                <w:color w:val="auto"/>
              </w:rPr>
            </w:pPr>
          </w:p>
          <w:p w14:paraId="03940581">
            <w:pPr>
              <w:pStyle w:val="65"/>
              <w:ind w:firstLine="0" w:firstLineChars="0"/>
              <w:rPr>
                <w:rFonts w:eastAsiaTheme="minorEastAsia"/>
                <w:color w:val="auto"/>
              </w:rPr>
            </w:pPr>
          </w:p>
          <w:p w14:paraId="60A3D5AA">
            <w:pPr>
              <w:pStyle w:val="65"/>
              <w:ind w:firstLine="0" w:firstLineChars="0"/>
              <w:rPr>
                <w:rFonts w:eastAsiaTheme="minorEastAsia"/>
                <w:color w:val="auto"/>
              </w:rPr>
            </w:pPr>
          </w:p>
          <w:p w14:paraId="0848D69E">
            <w:pPr>
              <w:pStyle w:val="65"/>
              <w:ind w:firstLine="0" w:firstLineChars="0"/>
              <w:rPr>
                <w:rFonts w:eastAsiaTheme="minorEastAsia"/>
                <w:color w:val="auto"/>
              </w:rPr>
            </w:pPr>
          </w:p>
          <w:p w14:paraId="6D5E288A">
            <w:pPr>
              <w:pStyle w:val="65"/>
              <w:ind w:firstLine="0" w:firstLineChars="0"/>
              <w:rPr>
                <w:rFonts w:eastAsiaTheme="minorEastAsia"/>
                <w:color w:val="auto"/>
              </w:rPr>
            </w:pPr>
          </w:p>
          <w:p w14:paraId="5046185D">
            <w:pPr>
              <w:pStyle w:val="65"/>
              <w:ind w:firstLine="0" w:firstLineChars="0"/>
              <w:rPr>
                <w:rFonts w:eastAsiaTheme="minorEastAsia"/>
                <w:color w:val="auto"/>
              </w:rPr>
            </w:pPr>
          </w:p>
          <w:p w14:paraId="2C2186B9">
            <w:pPr>
              <w:pStyle w:val="65"/>
              <w:ind w:firstLine="0" w:firstLineChars="0"/>
              <w:rPr>
                <w:rFonts w:eastAsiaTheme="minorEastAsia"/>
                <w:color w:val="auto"/>
              </w:rPr>
            </w:pPr>
          </w:p>
          <w:p w14:paraId="1D3A2001">
            <w:pPr>
              <w:pStyle w:val="65"/>
              <w:ind w:firstLine="0" w:firstLineChars="0"/>
              <w:rPr>
                <w:rFonts w:eastAsiaTheme="minorEastAsia"/>
                <w:color w:val="auto"/>
              </w:rPr>
            </w:pPr>
          </w:p>
          <w:p w14:paraId="59EA9410">
            <w:pPr>
              <w:pStyle w:val="65"/>
              <w:ind w:firstLine="0" w:firstLineChars="0"/>
              <w:rPr>
                <w:rFonts w:eastAsiaTheme="minorEastAsia"/>
                <w:color w:val="auto"/>
              </w:rPr>
            </w:pPr>
          </w:p>
          <w:p w14:paraId="173F1184">
            <w:pPr>
              <w:pStyle w:val="65"/>
              <w:ind w:firstLine="0" w:firstLineChars="0"/>
              <w:rPr>
                <w:rFonts w:eastAsiaTheme="minorEastAsia"/>
                <w:color w:val="auto"/>
              </w:rPr>
            </w:pPr>
          </w:p>
          <w:p w14:paraId="698FB76A">
            <w:pPr>
              <w:pStyle w:val="65"/>
              <w:ind w:firstLine="0" w:firstLineChars="0"/>
              <w:rPr>
                <w:rFonts w:eastAsiaTheme="minorEastAsia"/>
                <w:color w:val="auto"/>
              </w:rPr>
            </w:pPr>
          </w:p>
          <w:p w14:paraId="497C3BC4">
            <w:pPr>
              <w:pStyle w:val="65"/>
              <w:spacing w:before="156"/>
              <w:ind w:firstLine="0" w:firstLineChars="0"/>
              <w:jc w:val="center"/>
              <w:rPr>
                <w:rFonts w:eastAsiaTheme="minorEastAsia"/>
                <w:b/>
                <w:bCs/>
                <w:color w:val="auto"/>
              </w:rPr>
            </w:pPr>
            <w:r>
              <w:rPr>
                <w:rFonts w:eastAsiaTheme="minorEastAsia"/>
                <w:b/>
                <w:bCs/>
                <w:color w:val="auto"/>
              </w:rPr>
              <w:t>附表、附件、附图</w:t>
            </w:r>
          </w:p>
          <w:p w14:paraId="3E0DBB60">
            <w:pPr>
              <w:pStyle w:val="65"/>
              <w:widowControl/>
              <w:ind w:firstLine="480"/>
              <w:rPr>
                <w:rFonts w:eastAsiaTheme="minorEastAsia"/>
                <w:color w:val="auto"/>
              </w:rPr>
            </w:pPr>
            <w:r>
              <w:rPr>
                <w:rFonts w:eastAsiaTheme="minorEastAsia"/>
                <w:color w:val="auto"/>
              </w:rPr>
              <w:t>一、附表</w:t>
            </w:r>
          </w:p>
          <w:p w14:paraId="2FDA1E4E">
            <w:pPr>
              <w:pStyle w:val="65"/>
              <w:widowControl/>
              <w:ind w:firstLine="480"/>
              <w:rPr>
                <w:rFonts w:eastAsiaTheme="minorEastAsia"/>
                <w:color w:val="auto"/>
              </w:rPr>
            </w:pPr>
            <w:r>
              <w:rPr>
                <w:rFonts w:eastAsiaTheme="minorEastAsia"/>
                <w:color w:val="auto"/>
              </w:rPr>
              <w:t>附表1</w:t>
            </w:r>
          </w:p>
          <w:p w14:paraId="5DC9544D">
            <w:pPr>
              <w:pStyle w:val="65"/>
              <w:widowControl/>
              <w:ind w:firstLine="480"/>
              <w:rPr>
                <w:rFonts w:eastAsiaTheme="minorEastAsia"/>
                <w:color w:val="auto"/>
              </w:rPr>
            </w:pPr>
            <w:r>
              <w:rPr>
                <w:rFonts w:eastAsiaTheme="minorEastAsia"/>
                <w:color w:val="auto"/>
              </w:rPr>
              <w:t>二、附件</w:t>
            </w:r>
          </w:p>
          <w:p w14:paraId="0FB3F022">
            <w:pPr>
              <w:pStyle w:val="65"/>
              <w:widowControl/>
              <w:ind w:firstLine="480"/>
              <w:rPr>
                <w:rFonts w:eastAsiaTheme="minorEastAsia"/>
                <w:color w:val="auto"/>
              </w:rPr>
            </w:pPr>
            <w:r>
              <w:rPr>
                <w:rFonts w:eastAsiaTheme="minorEastAsia"/>
                <w:color w:val="auto"/>
              </w:rPr>
              <w:t>附件1 环评委托书</w:t>
            </w:r>
          </w:p>
          <w:p w14:paraId="050FF9E2">
            <w:pPr>
              <w:pStyle w:val="65"/>
              <w:widowControl/>
              <w:ind w:firstLine="480"/>
              <w:rPr>
                <w:rFonts w:eastAsiaTheme="minorEastAsia"/>
                <w:color w:val="auto"/>
              </w:rPr>
            </w:pPr>
            <w:r>
              <w:rPr>
                <w:rFonts w:eastAsiaTheme="minorEastAsia"/>
                <w:color w:val="auto"/>
              </w:rPr>
              <w:t>附件2立项文件</w:t>
            </w:r>
          </w:p>
          <w:p w14:paraId="50F2090D">
            <w:pPr>
              <w:pStyle w:val="65"/>
              <w:widowControl/>
              <w:ind w:firstLine="480"/>
              <w:rPr>
                <w:rFonts w:eastAsiaTheme="minorEastAsia"/>
                <w:color w:val="auto"/>
              </w:rPr>
            </w:pPr>
            <w:r>
              <w:rPr>
                <w:rFonts w:eastAsiaTheme="minorEastAsia"/>
                <w:color w:val="auto"/>
              </w:rPr>
              <w:t>附件3营业执照</w:t>
            </w:r>
          </w:p>
          <w:p w14:paraId="7052092B">
            <w:pPr>
              <w:pStyle w:val="65"/>
              <w:widowControl/>
              <w:ind w:firstLine="480"/>
              <w:rPr>
                <w:rFonts w:eastAsiaTheme="minorEastAsia"/>
                <w:color w:val="auto"/>
              </w:rPr>
            </w:pPr>
            <w:r>
              <w:rPr>
                <w:rFonts w:eastAsiaTheme="minorEastAsia"/>
                <w:color w:val="auto"/>
              </w:rPr>
              <w:t>附件4土地使用合同</w:t>
            </w:r>
          </w:p>
          <w:p w14:paraId="1636A179">
            <w:pPr>
              <w:pStyle w:val="65"/>
              <w:widowControl/>
              <w:ind w:firstLine="480"/>
              <w:rPr>
                <w:rFonts w:eastAsiaTheme="minorEastAsia"/>
                <w:color w:val="auto"/>
              </w:rPr>
            </w:pPr>
            <w:r>
              <w:rPr>
                <w:rFonts w:eastAsiaTheme="minorEastAsia"/>
                <w:color w:val="auto"/>
              </w:rPr>
              <w:t>附件5规划环评审查意见</w:t>
            </w:r>
          </w:p>
          <w:p w14:paraId="48DD5355">
            <w:pPr>
              <w:pStyle w:val="65"/>
              <w:widowControl/>
              <w:ind w:firstLine="480"/>
              <w:rPr>
                <w:rFonts w:eastAsiaTheme="minorEastAsia"/>
                <w:color w:val="auto"/>
              </w:rPr>
            </w:pPr>
            <w:r>
              <w:rPr>
                <w:rFonts w:eastAsiaTheme="minorEastAsia"/>
                <w:color w:val="auto"/>
              </w:rPr>
              <w:t>附件6 园区规划批复</w:t>
            </w:r>
          </w:p>
          <w:p w14:paraId="6DD2BC71">
            <w:pPr>
              <w:pStyle w:val="65"/>
              <w:widowControl/>
              <w:ind w:firstLine="480"/>
              <w:rPr>
                <w:rFonts w:eastAsiaTheme="minorEastAsia"/>
                <w:color w:val="auto"/>
              </w:rPr>
            </w:pPr>
            <w:r>
              <w:rPr>
                <w:rFonts w:eastAsiaTheme="minorEastAsia"/>
                <w:color w:val="auto"/>
              </w:rPr>
              <w:t>附件7未占用生态保护红线的证明</w:t>
            </w:r>
          </w:p>
          <w:p w14:paraId="48942FB7">
            <w:pPr>
              <w:pStyle w:val="65"/>
              <w:widowControl/>
              <w:ind w:firstLine="480"/>
              <w:rPr>
                <w:rFonts w:eastAsiaTheme="minorEastAsia"/>
                <w:color w:val="auto"/>
              </w:rPr>
            </w:pPr>
            <w:r>
              <w:rPr>
                <w:rFonts w:eastAsiaTheme="minorEastAsia"/>
                <w:color w:val="auto"/>
              </w:rPr>
              <w:t>附件8本项目原料来源企业资料（朝阳县瓦房子镇宏兴锰矿）</w:t>
            </w:r>
          </w:p>
          <w:p w14:paraId="77F75246">
            <w:pPr>
              <w:pStyle w:val="65"/>
              <w:widowControl/>
              <w:ind w:firstLine="480"/>
              <w:rPr>
                <w:rFonts w:eastAsiaTheme="minorEastAsia"/>
                <w:color w:val="auto"/>
              </w:rPr>
            </w:pPr>
            <w:r>
              <w:rPr>
                <w:rFonts w:eastAsiaTheme="minorEastAsia"/>
                <w:color w:val="auto"/>
              </w:rPr>
              <w:t>附件9本项目原料来源企业资料（葫芦岛市八家子经济开发区安胜矿产品综合利用有限公司）</w:t>
            </w:r>
          </w:p>
          <w:p w14:paraId="661C3C9E">
            <w:pPr>
              <w:pStyle w:val="65"/>
              <w:widowControl/>
              <w:ind w:firstLine="480"/>
              <w:rPr>
                <w:rFonts w:eastAsiaTheme="minorEastAsia"/>
                <w:color w:val="auto"/>
              </w:rPr>
            </w:pPr>
            <w:r>
              <w:rPr>
                <w:rFonts w:eastAsiaTheme="minorEastAsia"/>
                <w:color w:val="auto"/>
              </w:rPr>
              <w:t>附件10本项目原料来源企业资料（辽宁鑫方成新材料有限公司）</w:t>
            </w:r>
          </w:p>
          <w:p w14:paraId="644E5688">
            <w:pPr>
              <w:pStyle w:val="65"/>
              <w:widowControl/>
              <w:ind w:firstLine="480"/>
              <w:rPr>
                <w:rFonts w:eastAsiaTheme="minorEastAsia"/>
                <w:color w:val="auto"/>
              </w:rPr>
            </w:pPr>
            <w:r>
              <w:rPr>
                <w:rFonts w:eastAsiaTheme="minorEastAsia"/>
                <w:color w:val="auto"/>
              </w:rPr>
              <w:t>附件11高炉煤气成分分析单</w:t>
            </w:r>
          </w:p>
          <w:p w14:paraId="2C5A9725">
            <w:pPr>
              <w:pStyle w:val="65"/>
              <w:widowControl/>
              <w:ind w:firstLine="480"/>
              <w:rPr>
                <w:rFonts w:eastAsiaTheme="minorEastAsia"/>
                <w:color w:val="auto"/>
              </w:rPr>
            </w:pPr>
            <w:r>
              <w:rPr>
                <w:rFonts w:eastAsiaTheme="minorEastAsia"/>
                <w:color w:val="auto"/>
              </w:rPr>
              <w:t>附件 12原料成分分析单</w:t>
            </w:r>
          </w:p>
          <w:p w14:paraId="2A6523F6">
            <w:pPr>
              <w:pStyle w:val="65"/>
              <w:widowControl/>
              <w:ind w:firstLine="480"/>
              <w:rPr>
                <w:rFonts w:eastAsiaTheme="minorEastAsia"/>
                <w:color w:val="auto"/>
              </w:rPr>
            </w:pPr>
            <w:r>
              <w:rPr>
                <w:rFonts w:eastAsiaTheme="minorEastAsia"/>
                <w:color w:val="auto"/>
              </w:rPr>
              <w:t>附件 13 原料购买合同</w:t>
            </w:r>
          </w:p>
          <w:p w14:paraId="05214CB8">
            <w:pPr>
              <w:pStyle w:val="65"/>
              <w:widowControl/>
              <w:ind w:firstLine="480"/>
              <w:rPr>
                <w:rFonts w:eastAsiaTheme="minorEastAsia"/>
                <w:color w:val="auto"/>
              </w:rPr>
            </w:pPr>
            <w:r>
              <w:rPr>
                <w:rFonts w:eastAsiaTheme="minorEastAsia"/>
                <w:color w:val="auto"/>
              </w:rPr>
              <w:t>附件 14 产品销售合同</w:t>
            </w:r>
          </w:p>
          <w:p w14:paraId="6988D2BB">
            <w:pPr>
              <w:pStyle w:val="65"/>
              <w:widowControl/>
              <w:ind w:firstLine="480"/>
              <w:rPr>
                <w:rFonts w:eastAsiaTheme="minorEastAsia"/>
                <w:color w:val="auto"/>
              </w:rPr>
            </w:pPr>
            <w:r>
              <w:rPr>
                <w:rFonts w:eastAsiaTheme="minorEastAsia"/>
                <w:color w:val="auto"/>
              </w:rPr>
              <w:t>附件15检测报告</w:t>
            </w:r>
          </w:p>
          <w:p w14:paraId="4109505C">
            <w:pPr>
              <w:pStyle w:val="65"/>
              <w:widowControl/>
              <w:ind w:firstLine="480"/>
              <w:rPr>
                <w:rFonts w:eastAsiaTheme="minorEastAsia"/>
                <w:color w:val="auto"/>
              </w:rPr>
            </w:pPr>
            <w:r>
              <w:rPr>
                <w:rFonts w:eastAsiaTheme="minorEastAsia"/>
                <w:color w:val="auto"/>
              </w:rPr>
              <w:t>附件16</w:t>
            </w:r>
            <w:r>
              <w:rPr>
                <w:rFonts w:hint="eastAsia" w:eastAsiaTheme="minorEastAsia"/>
                <w:color w:val="auto"/>
              </w:rPr>
              <w:t>“</w:t>
            </w:r>
            <w:r>
              <w:rPr>
                <w:rFonts w:eastAsiaTheme="minorEastAsia"/>
                <w:color w:val="auto"/>
              </w:rPr>
              <w:t>三线一单</w:t>
            </w:r>
            <w:r>
              <w:rPr>
                <w:rFonts w:hint="eastAsia" w:eastAsiaTheme="minorEastAsia"/>
                <w:color w:val="auto"/>
              </w:rPr>
              <w:t>”</w:t>
            </w:r>
            <w:r>
              <w:rPr>
                <w:rFonts w:eastAsiaTheme="minorEastAsia"/>
                <w:color w:val="auto"/>
              </w:rPr>
              <w:t>查询结果</w:t>
            </w:r>
          </w:p>
          <w:p w14:paraId="1D5CC000">
            <w:pPr>
              <w:pStyle w:val="65"/>
              <w:widowControl/>
              <w:ind w:firstLine="480"/>
              <w:rPr>
                <w:rFonts w:eastAsiaTheme="minorEastAsia"/>
                <w:color w:val="auto"/>
              </w:rPr>
            </w:pPr>
            <w:r>
              <w:rPr>
                <w:rFonts w:eastAsiaTheme="minorEastAsia"/>
                <w:color w:val="auto"/>
              </w:rPr>
              <w:t>三、附图</w:t>
            </w:r>
          </w:p>
          <w:p w14:paraId="0A3E8D08">
            <w:pPr>
              <w:pStyle w:val="65"/>
              <w:widowControl/>
              <w:ind w:firstLine="480"/>
              <w:rPr>
                <w:rFonts w:eastAsiaTheme="minorEastAsia"/>
                <w:color w:val="auto"/>
              </w:rPr>
            </w:pPr>
            <w:r>
              <w:rPr>
                <w:rFonts w:eastAsiaTheme="minorEastAsia"/>
                <w:color w:val="auto"/>
              </w:rPr>
              <w:t>附图一 项目地理位置图</w:t>
            </w:r>
          </w:p>
          <w:p w14:paraId="1CB514E5">
            <w:pPr>
              <w:pStyle w:val="65"/>
              <w:widowControl/>
              <w:ind w:firstLine="480"/>
              <w:rPr>
                <w:rFonts w:eastAsiaTheme="minorEastAsia"/>
                <w:color w:val="auto"/>
              </w:rPr>
            </w:pPr>
            <w:r>
              <w:rPr>
                <w:rFonts w:eastAsiaTheme="minorEastAsia"/>
                <w:color w:val="auto"/>
              </w:rPr>
              <w:t>附图二 项目与朝阳市生态保护红线关系图</w:t>
            </w:r>
          </w:p>
          <w:p w14:paraId="69EF5660">
            <w:pPr>
              <w:pStyle w:val="65"/>
              <w:widowControl/>
              <w:ind w:firstLine="480"/>
              <w:rPr>
                <w:rFonts w:eastAsiaTheme="minorEastAsia"/>
                <w:color w:val="auto"/>
              </w:rPr>
            </w:pPr>
            <w:r>
              <w:rPr>
                <w:rFonts w:eastAsiaTheme="minorEastAsia"/>
                <w:color w:val="auto"/>
              </w:rPr>
              <w:t>附图三 项目与朝阳市环境管控单元关系图</w:t>
            </w:r>
          </w:p>
          <w:p w14:paraId="1DD1A221">
            <w:pPr>
              <w:pStyle w:val="65"/>
              <w:widowControl/>
              <w:ind w:firstLine="480"/>
              <w:rPr>
                <w:rFonts w:eastAsiaTheme="minorEastAsia"/>
                <w:color w:val="auto"/>
              </w:rPr>
            </w:pPr>
            <w:r>
              <w:rPr>
                <w:rFonts w:eastAsiaTheme="minorEastAsia"/>
                <w:color w:val="auto"/>
              </w:rPr>
              <w:t>附图四 项目调查范围及调查范围内环境保护目标图</w:t>
            </w:r>
          </w:p>
          <w:p w14:paraId="0E458C21">
            <w:pPr>
              <w:pStyle w:val="65"/>
              <w:widowControl/>
              <w:ind w:firstLine="480"/>
              <w:rPr>
                <w:rFonts w:eastAsiaTheme="minorEastAsia"/>
                <w:color w:val="auto"/>
              </w:rPr>
            </w:pPr>
            <w:r>
              <w:rPr>
                <w:rFonts w:eastAsiaTheme="minorEastAsia"/>
                <w:color w:val="auto"/>
              </w:rPr>
              <w:t>附图五 项目平面布置图</w:t>
            </w:r>
          </w:p>
          <w:p w14:paraId="1D1D940C">
            <w:pPr>
              <w:pStyle w:val="65"/>
              <w:widowControl/>
              <w:ind w:firstLine="480"/>
              <w:rPr>
                <w:rFonts w:eastAsiaTheme="minorEastAsia"/>
                <w:color w:val="auto"/>
              </w:rPr>
            </w:pPr>
            <w:r>
              <w:rPr>
                <w:rFonts w:eastAsiaTheme="minorEastAsia"/>
                <w:color w:val="auto"/>
              </w:rPr>
              <w:t>附图六 项目车间设备位置图</w:t>
            </w:r>
          </w:p>
          <w:p w14:paraId="12C563D5">
            <w:pPr>
              <w:pStyle w:val="65"/>
              <w:widowControl/>
              <w:ind w:firstLine="480"/>
              <w:rPr>
                <w:rFonts w:eastAsiaTheme="minorEastAsia"/>
                <w:color w:val="auto"/>
              </w:rPr>
            </w:pPr>
            <w:r>
              <w:rPr>
                <w:rFonts w:eastAsiaTheme="minorEastAsia"/>
                <w:color w:val="auto"/>
              </w:rPr>
              <w:t>附图七 项目在规划园区的位置图</w:t>
            </w:r>
          </w:p>
          <w:p w14:paraId="3993A331">
            <w:pPr>
              <w:pStyle w:val="65"/>
              <w:widowControl/>
              <w:ind w:firstLine="480"/>
              <w:rPr>
                <w:rFonts w:eastAsiaTheme="minorEastAsia"/>
                <w:color w:val="auto"/>
              </w:rPr>
            </w:pPr>
            <w:r>
              <w:rPr>
                <w:rFonts w:eastAsiaTheme="minorEastAsia"/>
                <w:color w:val="auto"/>
              </w:rPr>
              <w:t>附图八 项目四至范围图</w:t>
            </w:r>
          </w:p>
          <w:p w14:paraId="6FE86D35">
            <w:pPr>
              <w:pStyle w:val="65"/>
              <w:widowControl/>
              <w:ind w:firstLine="480"/>
              <w:rPr>
                <w:rFonts w:eastAsiaTheme="minorEastAsia"/>
                <w:color w:val="auto"/>
              </w:rPr>
            </w:pPr>
            <w:r>
              <w:rPr>
                <w:rFonts w:eastAsiaTheme="minorEastAsia"/>
                <w:color w:val="auto"/>
              </w:rPr>
              <w:t>附图九 项目分区防渗图</w:t>
            </w:r>
          </w:p>
          <w:p w14:paraId="42B2855C">
            <w:pPr>
              <w:pStyle w:val="65"/>
              <w:widowControl/>
              <w:ind w:firstLine="480"/>
              <w:rPr>
                <w:rFonts w:eastAsiaTheme="minorEastAsia"/>
                <w:color w:val="auto"/>
              </w:rPr>
            </w:pPr>
          </w:p>
        </w:tc>
      </w:tr>
    </w:tbl>
    <w:p w14:paraId="4FD5630B">
      <w:pPr>
        <w:pStyle w:val="65"/>
        <w:ind w:firstLine="480"/>
        <w:rPr>
          <w:color w:val="000000" w:themeColor="text1"/>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p>
    <w:p w14:paraId="484573FD">
      <w:pPr>
        <w:pStyle w:val="31"/>
        <w:adjustRightInd w:val="0"/>
        <w:snapToGrid w:val="0"/>
        <w:spacing w:before="0" w:beforeAutospacing="0" w:after="0" w:afterAutospacing="0"/>
        <w:outlineLvl w:val="0"/>
        <w:rPr>
          <w:rFonts w:ascii="Times New Roman" w:hAnsi="Times New Roman"/>
          <w:b/>
          <w:bCs/>
          <w:color w:val="0000FF"/>
          <w:sz w:val="32"/>
          <w:szCs w:val="32"/>
        </w:rPr>
      </w:pPr>
      <w:r>
        <w:rPr>
          <w:rFonts w:ascii="Times New Roman" w:hAnsi="Times New Roman"/>
          <w:b/>
          <w:bCs/>
          <w:color w:val="0000FF"/>
          <w:sz w:val="32"/>
          <w:szCs w:val="32"/>
        </w:rPr>
        <w:t>附表 1</w:t>
      </w:r>
    </w:p>
    <w:p w14:paraId="2B7F8654">
      <w:pPr>
        <w:pStyle w:val="31"/>
        <w:adjustRightInd w:val="0"/>
        <w:snapToGrid w:val="0"/>
        <w:spacing w:before="0" w:beforeAutospacing="0" w:after="0" w:afterAutospacing="0"/>
        <w:jc w:val="center"/>
        <w:outlineLvl w:val="0"/>
        <w:rPr>
          <w:rFonts w:ascii="Times New Roman" w:hAnsi="Times New Roman"/>
          <w:color w:val="0000FF"/>
          <w:sz w:val="38"/>
          <w:szCs w:val="38"/>
        </w:rPr>
      </w:pPr>
      <w:r>
        <w:rPr>
          <w:rFonts w:ascii="Times New Roman" w:hAnsi="Times New Roman"/>
          <w:color w:val="0000FF"/>
          <w:sz w:val="38"/>
          <w:szCs w:val="38"/>
        </w:rPr>
        <w:t>建设项目污染物排放量汇总表</w:t>
      </w:r>
    </w:p>
    <w:tbl>
      <w:tblPr>
        <w:tblStyle w:val="35"/>
        <w:tblW w:w="0" w:type="auto"/>
        <w:tblInd w:w="8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708"/>
        <w:gridCol w:w="875"/>
        <w:gridCol w:w="1535"/>
        <w:gridCol w:w="1276"/>
        <w:gridCol w:w="1701"/>
        <w:gridCol w:w="1559"/>
        <w:gridCol w:w="1447"/>
        <w:gridCol w:w="1740"/>
        <w:gridCol w:w="1359"/>
      </w:tblGrid>
      <w:tr w14:paraId="1EEBE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tcBorders>
              <w:top w:val="single" w:color="auto" w:sz="8" w:space="0"/>
              <w:left w:val="single" w:color="auto" w:sz="8" w:space="0"/>
              <w:bottom w:val="single" w:color="auto" w:sz="4" w:space="0"/>
              <w:right w:val="single" w:color="auto" w:sz="4" w:space="0"/>
            </w:tcBorders>
            <w:tcMar>
              <w:top w:w="0" w:type="dxa"/>
              <w:left w:w="28" w:type="dxa"/>
              <w:bottom w:w="0" w:type="dxa"/>
              <w:right w:w="28" w:type="dxa"/>
            </w:tcMar>
            <w:vAlign w:val="center"/>
          </w:tcPr>
          <w:p w14:paraId="5651210D">
            <w:pPr>
              <w:pStyle w:val="80"/>
              <w:spacing w:beforeLines="0" w:afterLines="0"/>
              <w:jc w:val="right"/>
              <w:rPr>
                <w:rFonts w:ascii="Times New Roman" w:hAnsi="Times New Roman" w:cs="Times New Roman"/>
                <w:color w:val="0000FF"/>
                <w:spacing w:val="-6"/>
                <w:kern w:val="21"/>
              </w:rPr>
            </w:pPr>
            <w:r>
              <w:rPr>
                <w:rFonts w:ascii="Times New Roman" w:hAnsi="Times New Roman" w:cs="Times New Roman"/>
                <w:color w:val="0000FF"/>
                <w:spacing w:val="-6"/>
                <w:kern w:val="21"/>
              </w:rPr>
              <w:t>项目</w:t>
            </w:r>
          </w:p>
          <w:p w14:paraId="016DD614">
            <w:pPr>
              <w:pStyle w:val="80"/>
              <w:spacing w:beforeLines="0" w:afterLines="0"/>
              <w:jc w:val="left"/>
              <w:rPr>
                <w:rFonts w:ascii="Times New Roman" w:hAnsi="Times New Roman" w:cs="Times New Roman"/>
                <w:color w:val="0000FF"/>
                <w:spacing w:val="-6"/>
                <w:kern w:val="21"/>
              </w:rPr>
            </w:pPr>
            <w:r>
              <w:rPr>
                <w:rFonts w:ascii="Times New Roman" w:hAnsi="Times New Roman" w:cs="Times New Roman"/>
                <w:color w:val="0000FF"/>
                <w:spacing w:val="-6"/>
                <w:kern w:val="21"/>
              </w:rPr>
              <w:t>分类</w:t>
            </w:r>
          </w:p>
        </w:tc>
        <w:tc>
          <w:tcPr>
            <w:tcW w:w="1583" w:type="dxa"/>
            <w:gridSpan w:val="2"/>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6DBA7562">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污染物名称</w:t>
            </w:r>
          </w:p>
        </w:tc>
        <w:tc>
          <w:tcPr>
            <w:tcW w:w="1535"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253632AE">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现有工程</w:t>
            </w:r>
          </w:p>
          <w:p w14:paraId="2B4308D1">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排放量（固体废物产生量）</w:t>
            </w:r>
            <w:r>
              <w:rPr>
                <w:rFonts w:hint="eastAsia" w:hAnsi="宋体" w:eastAsia="宋体" w:cs="宋体"/>
                <w:color w:val="0000FF"/>
                <w:spacing w:val="-6"/>
                <w:kern w:val="21"/>
              </w:rPr>
              <w:t>①</w:t>
            </w:r>
          </w:p>
        </w:tc>
        <w:tc>
          <w:tcPr>
            <w:tcW w:w="1276"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45B5F7F7">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现有工程</w:t>
            </w:r>
          </w:p>
          <w:p w14:paraId="70F6A7DA">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许可排放量</w:t>
            </w:r>
          </w:p>
          <w:p w14:paraId="41925054">
            <w:pPr>
              <w:pStyle w:val="80"/>
              <w:spacing w:beforeLines="0" w:afterLines="0"/>
              <w:rPr>
                <w:rFonts w:ascii="Times New Roman" w:hAnsi="Times New Roman" w:cs="Times New Roman"/>
                <w:color w:val="0000FF"/>
                <w:spacing w:val="-6"/>
                <w:kern w:val="21"/>
              </w:rPr>
            </w:pPr>
            <w:r>
              <w:rPr>
                <w:rFonts w:hint="eastAsia" w:hAnsi="宋体" w:eastAsia="宋体" w:cs="宋体"/>
                <w:color w:val="0000FF"/>
                <w:spacing w:val="-6"/>
                <w:kern w:val="21"/>
              </w:rPr>
              <w:t>②</w:t>
            </w:r>
          </w:p>
        </w:tc>
        <w:tc>
          <w:tcPr>
            <w:tcW w:w="1701"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2520835B">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在建工程</w:t>
            </w:r>
          </w:p>
          <w:p w14:paraId="6B5BEF8E">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排放量（固体废物产生量）</w:t>
            </w:r>
            <w:r>
              <w:rPr>
                <w:rFonts w:hint="eastAsia" w:hAnsi="宋体" w:eastAsia="宋体" w:cs="宋体"/>
                <w:color w:val="0000FF"/>
                <w:spacing w:val="-6"/>
                <w:kern w:val="21"/>
              </w:rPr>
              <w:t>③</w:t>
            </w:r>
          </w:p>
        </w:tc>
        <w:tc>
          <w:tcPr>
            <w:tcW w:w="1559"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41020EF3">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本项目</w:t>
            </w:r>
          </w:p>
          <w:p w14:paraId="07045D91">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排放量（固体废物产生量）</w:t>
            </w:r>
            <w:r>
              <w:rPr>
                <w:rFonts w:hint="eastAsia" w:hAnsi="宋体" w:eastAsia="宋体" w:cs="宋体"/>
                <w:color w:val="0000FF"/>
                <w:spacing w:val="-6"/>
                <w:kern w:val="21"/>
              </w:rPr>
              <w:t>④</w:t>
            </w:r>
          </w:p>
        </w:tc>
        <w:tc>
          <w:tcPr>
            <w:tcW w:w="1447"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4D863C9F">
            <w:pPr>
              <w:pStyle w:val="80"/>
              <w:spacing w:beforeLines="0" w:afterLines="0"/>
              <w:rPr>
                <w:rFonts w:ascii="Times New Roman" w:hAnsi="Times New Roman" w:cs="Times New Roman"/>
                <w:color w:val="0000FF"/>
                <w:spacing w:val="-16"/>
                <w:kern w:val="21"/>
              </w:rPr>
            </w:pPr>
            <w:r>
              <w:rPr>
                <w:rFonts w:ascii="Times New Roman" w:hAnsi="Times New Roman" w:cs="Times New Roman"/>
                <w:color w:val="0000FF"/>
                <w:spacing w:val="-16"/>
                <w:kern w:val="21"/>
              </w:rPr>
              <w:t>以新带老削减量</w:t>
            </w:r>
          </w:p>
          <w:p w14:paraId="31D07B66">
            <w:pPr>
              <w:pStyle w:val="80"/>
              <w:spacing w:beforeLines="0" w:afterLines="0"/>
              <w:rPr>
                <w:rFonts w:ascii="Times New Roman" w:hAnsi="Times New Roman" w:cs="Times New Roman"/>
                <w:color w:val="0000FF"/>
                <w:spacing w:val="-16"/>
                <w:kern w:val="21"/>
              </w:rPr>
            </w:pPr>
            <w:r>
              <w:rPr>
                <w:rFonts w:ascii="Times New Roman" w:hAnsi="Times New Roman" w:cs="Times New Roman"/>
                <w:color w:val="0000FF"/>
                <w:spacing w:val="-16"/>
                <w:kern w:val="21"/>
              </w:rPr>
              <w:t>（新建项目不填）</w:t>
            </w:r>
            <w:r>
              <w:rPr>
                <w:rFonts w:hint="eastAsia" w:hAnsi="宋体" w:eastAsia="宋体" w:cs="宋体"/>
                <w:color w:val="0000FF"/>
                <w:spacing w:val="-16"/>
                <w:kern w:val="21"/>
              </w:rPr>
              <w:t>⑤</w:t>
            </w:r>
          </w:p>
        </w:tc>
        <w:tc>
          <w:tcPr>
            <w:tcW w:w="1740" w:type="dxa"/>
            <w:tcBorders>
              <w:top w:val="single" w:color="auto" w:sz="8" w:space="0"/>
              <w:left w:val="single" w:color="auto" w:sz="4" w:space="0"/>
              <w:bottom w:val="single" w:color="auto" w:sz="4" w:space="0"/>
              <w:right w:val="single" w:color="auto" w:sz="4" w:space="0"/>
            </w:tcBorders>
            <w:tcMar>
              <w:top w:w="0" w:type="dxa"/>
              <w:left w:w="28" w:type="dxa"/>
              <w:bottom w:w="0" w:type="dxa"/>
              <w:right w:w="28" w:type="dxa"/>
            </w:tcMar>
            <w:vAlign w:val="center"/>
          </w:tcPr>
          <w:p w14:paraId="261AD784">
            <w:pPr>
              <w:pStyle w:val="80"/>
              <w:spacing w:beforeLines="0" w:afterLines="0"/>
              <w:rPr>
                <w:rFonts w:ascii="Times New Roman" w:hAnsi="Times New Roman" w:cs="Times New Roman"/>
                <w:color w:val="0000FF"/>
                <w:spacing w:val="-16"/>
                <w:kern w:val="21"/>
              </w:rPr>
            </w:pPr>
            <w:r>
              <w:rPr>
                <w:rFonts w:ascii="Times New Roman" w:hAnsi="Times New Roman" w:cs="Times New Roman"/>
                <w:color w:val="0000FF"/>
                <w:spacing w:val="-16"/>
                <w:kern w:val="21"/>
              </w:rPr>
              <w:t>本项目建成后</w:t>
            </w:r>
          </w:p>
          <w:p w14:paraId="6ECAA629">
            <w:pPr>
              <w:pStyle w:val="80"/>
              <w:spacing w:beforeLines="0" w:afterLines="0"/>
              <w:rPr>
                <w:rFonts w:ascii="Times New Roman" w:hAnsi="Times New Roman" w:cs="Times New Roman"/>
                <w:color w:val="0000FF"/>
                <w:spacing w:val="-16"/>
                <w:kern w:val="21"/>
              </w:rPr>
            </w:pPr>
            <w:r>
              <w:rPr>
                <w:rFonts w:ascii="Times New Roman" w:hAnsi="Times New Roman" w:cs="Times New Roman"/>
                <w:color w:val="0000FF"/>
                <w:spacing w:val="-16"/>
                <w:kern w:val="21"/>
              </w:rPr>
              <w:t>全厂排放量（固体废物产生量）</w:t>
            </w:r>
            <w:r>
              <w:rPr>
                <w:rFonts w:hint="eastAsia" w:hAnsi="宋体" w:eastAsia="宋体" w:cs="宋体"/>
                <w:color w:val="0000FF"/>
                <w:spacing w:val="-16"/>
                <w:kern w:val="21"/>
              </w:rPr>
              <w:t>⑥</w:t>
            </w:r>
          </w:p>
        </w:tc>
        <w:tc>
          <w:tcPr>
            <w:tcW w:w="1359" w:type="dxa"/>
            <w:tcBorders>
              <w:top w:val="single" w:color="auto" w:sz="8" w:space="0"/>
              <w:left w:val="single" w:color="auto" w:sz="4" w:space="0"/>
              <w:bottom w:val="single" w:color="auto" w:sz="4" w:space="0"/>
              <w:right w:val="single" w:color="auto" w:sz="8" w:space="0"/>
            </w:tcBorders>
            <w:tcMar>
              <w:top w:w="0" w:type="dxa"/>
              <w:left w:w="28" w:type="dxa"/>
              <w:bottom w:w="0" w:type="dxa"/>
              <w:right w:w="28" w:type="dxa"/>
            </w:tcMar>
            <w:vAlign w:val="center"/>
          </w:tcPr>
          <w:p w14:paraId="6F557079">
            <w:pPr>
              <w:pStyle w:val="80"/>
              <w:spacing w:beforeLines="0" w:afterLines="0"/>
              <w:rPr>
                <w:rFonts w:ascii="Times New Roman" w:hAnsi="Times New Roman" w:cs="Times New Roman"/>
                <w:color w:val="0000FF"/>
                <w:spacing w:val="-6"/>
                <w:kern w:val="21"/>
              </w:rPr>
            </w:pPr>
            <w:r>
              <w:rPr>
                <w:rFonts w:ascii="Times New Roman" w:hAnsi="Times New Roman" w:cs="Times New Roman"/>
                <w:color w:val="0000FF"/>
                <w:spacing w:val="-6"/>
                <w:kern w:val="21"/>
              </w:rPr>
              <w:t>变化量</w:t>
            </w:r>
          </w:p>
          <w:p w14:paraId="3BC8BC48">
            <w:pPr>
              <w:pStyle w:val="80"/>
              <w:spacing w:beforeLines="0" w:afterLines="0"/>
              <w:rPr>
                <w:rFonts w:ascii="Times New Roman" w:hAnsi="Times New Roman" w:cs="Times New Roman"/>
                <w:color w:val="0000FF"/>
                <w:spacing w:val="-6"/>
                <w:kern w:val="21"/>
              </w:rPr>
            </w:pPr>
            <w:r>
              <w:rPr>
                <w:rFonts w:hint="eastAsia" w:hAnsi="宋体" w:eastAsia="宋体" w:cs="宋体"/>
                <w:color w:val="0000FF"/>
                <w:spacing w:val="-6"/>
                <w:kern w:val="21"/>
              </w:rPr>
              <w:t>⑦</w:t>
            </w:r>
          </w:p>
        </w:tc>
      </w:tr>
      <w:tr w14:paraId="4E43E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restart"/>
            <w:tcBorders>
              <w:top w:val="single" w:color="auto" w:sz="4" w:space="0"/>
              <w:left w:val="single" w:color="auto" w:sz="8" w:space="0"/>
              <w:bottom w:val="single" w:color="auto" w:sz="4" w:space="0"/>
              <w:right w:val="single" w:color="auto" w:sz="4" w:space="0"/>
            </w:tcBorders>
            <w:vAlign w:val="center"/>
          </w:tcPr>
          <w:p w14:paraId="5AF2EBDC">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废气</w:t>
            </w:r>
          </w:p>
        </w:tc>
        <w:tc>
          <w:tcPr>
            <w:tcW w:w="708" w:type="dxa"/>
            <w:vMerge w:val="restart"/>
            <w:tcBorders>
              <w:top w:val="single" w:color="auto" w:sz="4" w:space="0"/>
              <w:left w:val="single" w:color="auto" w:sz="4" w:space="0"/>
              <w:right w:val="single" w:color="auto" w:sz="4" w:space="0"/>
            </w:tcBorders>
            <w:vAlign w:val="center"/>
          </w:tcPr>
          <w:p w14:paraId="344F4D16">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颗粒物</w:t>
            </w:r>
          </w:p>
        </w:tc>
        <w:tc>
          <w:tcPr>
            <w:tcW w:w="875" w:type="dxa"/>
            <w:tcBorders>
              <w:top w:val="single" w:color="auto" w:sz="4" w:space="0"/>
              <w:left w:val="single" w:color="auto" w:sz="4" w:space="0"/>
              <w:right w:val="single" w:color="auto" w:sz="4" w:space="0"/>
            </w:tcBorders>
            <w:vAlign w:val="center"/>
          </w:tcPr>
          <w:p w14:paraId="614D09A0">
            <w:pPr>
              <w:pStyle w:val="80"/>
              <w:spacing w:beforeLines="0" w:afterLines="0"/>
              <w:rPr>
                <w:rFonts w:ascii="Times New Roman" w:hAnsi="Times New Roman" w:cs="Times New Roman"/>
                <w:color w:val="0000FF"/>
                <w:kern w:val="21"/>
              </w:rPr>
            </w:pPr>
            <w:r>
              <w:rPr>
                <w:rFonts w:ascii="Times New Roman" w:hAnsi="Times New Roman" w:cs="Times New Roman"/>
                <w:bCs/>
                <w:color w:val="0000FF"/>
              </w:rPr>
              <w:t>DA001</w:t>
            </w:r>
          </w:p>
        </w:tc>
        <w:tc>
          <w:tcPr>
            <w:tcW w:w="1535" w:type="dxa"/>
            <w:tcBorders>
              <w:top w:val="single" w:color="auto" w:sz="4" w:space="0"/>
              <w:left w:val="single" w:color="auto" w:sz="4" w:space="0"/>
              <w:bottom w:val="single" w:color="auto" w:sz="4" w:space="0"/>
              <w:right w:val="single" w:color="auto" w:sz="4" w:space="0"/>
            </w:tcBorders>
            <w:vAlign w:val="center"/>
          </w:tcPr>
          <w:p w14:paraId="637727A6">
            <w:pPr>
              <w:jc w:val="center"/>
              <w:rPr>
                <w:rFonts w:eastAsiaTheme="minorEastAsia"/>
                <w:color w:val="0000FF"/>
                <w:kern w:val="21"/>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6D38F40D">
            <w:pPr>
              <w:jc w:val="center"/>
              <w:rPr>
                <w:rFonts w:eastAsiaTheme="minorEastAsia"/>
                <w:color w:val="0000FF"/>
                <w:kern w:val="21"/>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3CF79461">
            <w:pPr>
              <w:jc w:val="center"/>
              <w:rPr>
                <w:rFonts w:eastAsiaTheme="minorEastAsia"/>
                <w:color w:val="0000FF"/>
                <w:kern w:val="21"/>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0104183F">
            <w:pPr>
              <w:adjustRightInd w:val="0"/>
              <w:snapToGrid w:val="0"/>
              <w:jc w:val="center"/>
              <w:rPr>
                <w:rFonts w:eastAsiaTheme="minorEastAsia"/>
                <w:color w:val="0000FF"/>
                <w:kern w:val="21"/>
                <w:highlight w:val="yellow"/>
              </w:rPr>
            </w:pPr>
            <w:r>
              <w:rPr>
                <w:rFonts w:eastAsiaTheme="minorEastAsia"/>
                <w:color w:val="0000FF"/>
                <w:kern w:val="0"/>
                <w:sz w:val="22"/>
                <w:szCs w:val="22"/>
              </w:rPr>
              <w:t>0.3399</w:t>
            </w:r>
            <w:r>
              <w:rPr>
                <w:rFonts w:eastAsiaTheme="minorEastAsia"/>
                <w:color w:val="0000FF"/>
              </w:rPr>
              <w:t xml:space="preserve"> </w:t>
            </w:r>
            <w:bookmarkStart w:id="11" w:name="OLE_LINK24"/>
            <w:r>
              <w:rPr>
                <w:rFonts w:eastAsiaTheme="minorEastAsia"/>
                <w:color w:val="0000FF"/>
              </w:rPr>
              <w:t>t/a</w:t>
            </w:r>
            <w:bookmarkEnd w:id="11"/>
          </w:p>
        </w:tc>
        <w:tc>
          <w:tcPr>
            <w:tcW w:w="1447" w:type="dxa"/>
            <w:tcBorders>
              <w:top w:val="single" w:color="auto" w:sz="4" w:space="0"/>
              <w:left w:val="single" w:color="auto" w:sz="4" w:space="0"/>
              <w:bottom w:val="single" w:color="auto" w:sz="4" w:space="0"/>
              <w:right w:val="single" w:color="auto" w:sz="4" w:space="0"/>
            </w:tcBorders>
            <w:vAlign w:val="center"/>
          </w:tcPr>
          <w:p w14:paraId="1522D58C">
            <w:pPr>
              <w:adjustRightInd w:val="0"/>
              <w:snapToGrid w:val="0"/>
              <w:jc w:val="center"/>
              <w:rPr>
                <w:rFonts w:eastAsiaTheme="minorEastAsia"/>
                <w:color w:val="0000FF"/>
                <w:kern w:val="21"/>
              </w:rPr>
            </w:pPr>
            <w:bookmarkStart w:id="12" w:name="OLE_LINK22"/>
            <w:r>
              <w:rPr>
                <w:rFonts w:eastAsiaTheme="minorEastAsia"/>
                <w:bCs/>
                <w:color w:val="0000FF"/>
              </w:rPr>
              <w:t>/</w:t>
            </w:r>
            <w:bookmarkEnd w:id="12"/>
          </w:p>
        </w:tc>
        <w:tc>
          <w:tcPr>
            <w:tcW w:w="1740" w:type="dxa"/>
            <w:tcBorders>
              <w:top w:val="single" w:color="auto" w:sz="4" w:space="0"/>
              <w:left w:val="single" w:color="auto" w:sz="4" w:space="0"/>
              <w:bottom w:val="single" w:color="auto" w:sz="4" w:space="0"/>
              <w:right w:val="single" w:color="auto" w:sz="4" w:space="0"/>
            </w:tcBorders>
            <w:vAlign w:val="center"/>
          </w:tcPr>
          <w:p w14:paraId="74671939">
            <w:pPr>
              <w:adjustRightInd w:val="0"/>
              <w:snapToGrid w:val="0"/>
              <w:jc w:val="center"/>
              <w:rPr>
                <w:rFonts w:eastAsiaTheme="minorEastAsia"/>
                <w:color w:val="0000FF"/>
                <w:kern w:val="21"/>
                <w:highlight w:val="yellow"/>
              </w:rPr>
            </w:pPr>
            <w:r>
              <w:rPr>
                <w:rFonts w:eastAsiaTheme="minorEastAsia"/>
                <w:color w:val="0000FF"/>
                <w:kern w:val="0"/>
                <w:sz w:val="22"/>
                <w:szCs w:val="22"/>
              </w:rPr>
              <w:t>0.3399</w:t>
            </w:r>
            <w:r>
              <w:rPr>
                <w:rFonts w:eastAsiaTheme="minorEastAsia"/>
                <w:color w:val="0000FF"/>
              </w:rPr>
              <w:t xml:space="preserve"> t/a</w:t>
            </w:r>
          </w:p>
        </w:tc>
        <w:tc>
          <w:tcPr>
            <w:tcW w:w="1359" w:type="dxa"/>
            <w:tcBorders>
              <w:top w:val="single" w:color="auto" w:sz="4" w:space="0"/>
              <w:left w:val="single" w:color="auto" w:sz="4" w:space="0"/>
              <w:bottom w:val="single" w:color="auto" w:sz="4" w:space="0"/>
              <w:right w:val="single" w:color="auto" w:sz="8" w:space="0"/>
            </w:tcBorders>
            <w:vAlign w:val="center"/>
          </w:tcPr>
          <w:p w14:paraId="323FA258">
            <w:pPr>
              <w:adjustRightInd w:val="0"/>
              <w:snapToGrid w:val="0"/>
              <w:jc w:val="center"/>
              <w:rPr>
                <w:rFonts w:eastAsiaTheme="minorEastAsia"/>
                <w:color w:val="0000FF"/>
                <w:kern w:val="21"/>
                <w:highlight w:val="yellow"/>
              </w:rPr>
            </w:pPr>
            <w:r>
              <w:rPr>
                <w:rFonts w:eastAsiaTheme="minorEastAsia"/>
                <w:color w:val="0000FF"/>
                <w:kern w:val="0"/>
                <w:sz w:val="22"/>
                <w:szCs w:val="22"/>
              </w:rPr>
              <w:t>+0.3399</w:t>
            </w:r>
            <w:r>
              <w:rPr>
                <w:rFonts w:eastAsiaTheme="minorEastAsia"/>
                <w:color w:val="0000FF"/>
              </w:rPr>
              <w:t>t/a</w:t>
            </w:r>
          </w:p>
        </w:tc>
      </w:tr>
      <w:tr w14:paraId="0B27EA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continue"/>
            <w:tcBorders>
              <w:top w:val="single" w:color="auto" w:sz="4" w:space="0"/>
              <w:left w:val="single" w:color="auto" w:sz="8" w:space="0"/>
              <w:bottom w:val="single" w:color="auto" w:sz="4" w:space="0"/>
              <w:right w:val="single" w:color="auto" w:sz="4" w:space="0"/>
            </w:tcBorders>
            <w:vAlign w:val="center"/>
          </w:tcPr>
          <w:p w14:paraId="1EA10133">
            <w:pPr>
              <w:pStyle w:val="80"/>
              <w:spacing w:beforeLines="0" w:afterLines="0"/>
              <w:rPr>
                <w:rFonts w:ascii="Times New Roman" w:hAnsi="Times New Roman" w:cs="Times New Roman"/>
                <w:color w:val="0000FF"/>
                <w:kern w:val="21"/>
              </w:rPr>
            </w:pPr>
          </w:p>
        </w:tc>
        <w:tc>
          <w:tcPr>
            <w:tcW w:w="708" w:type="dxa"/>
            <w:vMerge w:val="continue"/>
            <w:tcBorders>
              <w:left w:val="single" w:color="auto" w:sz="4" w:space="0"/>
              <w:bottom w:val="single" w:color="auto" w:sz="4" w:space="0"/>
              <w:right w:val="single" w:color="auto" w:sz="4" w:space="0"/>
            </w:tcBorders>
            <w:vAlign w:val="center"/>
          </w:tcPr>
          <w:p w14:paraId="21B7C6B0">
            <w:pPr>
              <w:pStyle w:val="80"/>
              <w:spacing w:beforeLines="0" w:afterLines="0"/>
              <w:rPr>
                <w:rFonts w:ascii="Times New Roman" w:hAnsi="Times New Roman" w:cs="Times New Roman"/>
                <w:color w:val="0000FF"/>
                <w:kern w:val="21"/>
              </w:rPr>
            </w:pPr>
          </w:p>
        </w:tc>
        <w:tc>
          <w:tcPr>
            <w:tcW w:w="875" w:type="dxa"/>
            <w:tcBorders>
              <w:left w:val="single" w:color="auto" w:sz="4" w:space="0"/>
              <w:bottom w:val="single" w:color="auto" w:sz="4" w:space="0"/>
              <w:right w:val="single" w:color="auto" w:sz="4" w:space="0"/>
            </w:tcBorders>
            <w:vAlign w:val="center"/>
          </w:tcPr>
          <w:p w14:paraId="224E1A84">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DA002</w:t>
            </w:r>
          </w:p>
        </w:tc>
        <w:tc>
          <w:tcPr>
            <w:tcW w:w="1535" w:type="dxa"/>
            <w:tcBorders>
              <w:top w:val="single" w:color="auto" w:sz="4" w:space="0"/>
              <w:left w:val="single" w:color="auto" w:sz="4" w:space="0"/>
              <w:bottom w:val="single" w:color="auto" w:sz="4" w:space="0"/>
              <w:right w:val="single" w:color="auto" w:sz="4" w:space="0"/>
            </w:tcBorders>
            <w:vAlign w:val="center"/>
          </w:tcPr>
          <w:p w14:paraId="295C05DB">
            <w:pPr>
              <w:jc w:val="center"/>
              <w:rPr>
                <w:rFonts w:eastAsiaTheme="minorEastAsia"/>
                <w:bCs/>
                <w:color w:val="0000FF"/>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4A597C79">
            <w:pPr>
              <w:jc w:val="center"/>
              <w:rPr>
                <w:rFonts w:eastAsiaTheme="minorEastAsia"/>
                <w:bCs/>
                <w:color w:val="0000FF"/>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66090698">
            <w:pPr>
              <w:jc w:val="center"/>
              <w:rPr>
                <w:rFonts w:eastAsiaTheme="minorEastAsia"/>
                <w:bCs/>
                <w:color w:val="0000FF"/>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034EF0DB">
            <w:pPr>
              <w:adjustRightInd w:val="0"/>
              <w:snapToGrid w:val="0"/>
              <w:jc w:val="center"/>
              <w:rPr>
                <w:rFonts w:eastAsiaTheme="minorEastAsia"/>
                <w:color w:val="0000FF"/>
                <w:highlight w:val="yellow"/>
              </w:rPr>
            </w:pPr>
            <w:r>
              <w:rPr>
                <w:rFonts w:eastAsiaTheme="minorEastAsia"/>
                <w:color w:val="0000FF"/>
              </w:rPr>
              <w:t>0.3291t/a</w:t>
            </w:r>
          </w:p>
        </w:tc>
        <w:tc>
          <w:tcPr>
            <w:tcW w:w="1447" w:type="dxa"/>
            <w:tcBorders>
              <w:top w:val="single" w:color="auto" w:sz="4" w:space="0"/>
              <w:left w:val="single" w:color="auto" w:sz="4" w:space="0"/>
              <w:bottom w:val="single" w:color="auto" w:sz="4" w:space="0"/>
              <w:right w:val="single" w:color="auto" w:sz="4" w:space="0"/>
            </w:tcBorders>
            <w:vAlign w:val="center"/>
          </w:tcPr>
          <w:p w14:paraId="067AA9CD">
            <w:pPr>
              <w:adjustRightInd w:val="0"/>
              <w:snapToGrid w:val="0"/>
              <w:jc w:val="center"/>
              <w:rPr>
                <w:rFonts w:eastAsiaTheme="minorEastAsia"/>
                <w:bCs/>
                <w:color w:val="0000FF"/>
              </w:rPr>
            </w:pPr>
            <w:r>
              <w:rPr>
                <w:rFonts w:eastAsiaTheme="minorEastAsia"/>
                <w:bCs/>
                <w:color w:val="0000FF"/>
              </w:rPr>
              <w:t>/</w:t>
            </w:r>
          </w:p>
        </w:tc>
        <w:tc>
          <w:tcPr>
            <w:tcW w:w="1740" w:type="dxa"/>
            <w:tcBorders>
              <w:top w:val="single" w:color="auto" w:sz="4" w:space="0"/>
              <w:left w:val="single" w:color="auto" w:sz="4" w:space="0"/>
              <w:bottom w:val="single" w:color="auto" w:sz="4" w:space="0"/>
              <w:right w:val="single" w:color="auto" w:sz="4" w:space="0"/>
            </w:tcBorders>
            <w:vAlign w:val="center"/>
          </w:tcPr>
          <w:p w14:paraId="2AD0BF58">
            <w:pPr>
              <w:adjustRightInd w:val="0"/>
              <w:snapToGrid w:val="0"/>
              <w:jc w:val="center"/>
              <w:rPr>
                <w:rFonts w:eastAsiaTheme="minorEastAsia"/>
                <w:color w:val="0000FF"/>
                <w:highlight w:val="yellow"/>
              </w:rPr>
            </w:pPr>
            <w:r>
              <w:rPr>
                <w:rFonts w:eastAsiaTheme="minorEastAsia"/>
                <w:color w:val="0000FF"/>
              </w:rPr>
              <w:t>0.3291t/a</w:t>
            </w:r>
          </w:p>
        </w:tc>
        <w:tc>
          <w:tcPr>
            <w:tcW w:w="1359" w:type="dxa"/>
            <w:tcBorders>
              <w:top w:val="single" w:color="auto" w:sz="4" w:space="0"/>
              <w:left w:val="single" w:color="auto" w:sz="4" w:space="0"/>
              <w:bottom w:val="single" w:color="auto" w:sz="4" w:space="0"/>
              <w:right w:val="single" w:color="auto" w:sz="8" w:space="0"/>
            </w:tcBorders>
            <w:vAlign w:val="center"/>
          </w:tcPr>
          <w:p w14:paraId="25496156">
            <w:pPr>
              <w:adjustRightInd w:val="0"/>
              <w:snapToGrid w:val="0"/>
              <w:jc w:val="center"/>
              <w:rPr>
                <w:rFonts w:eastAsiaTheme="minorEastAsia"/>
                <w:color w:val="0000FF"/>
                <w:highlight w:val="yellow"/>
              </w:rPr>
            </w:pPr>
            <w:r>
              <w:rPr>
                <w:rFonts w:eastAsiaTheme="minorEastAsia"/>
                <w:color w:val="0000FF"/>
              </w:rPr>
              <w:t>+0.3291t/a</w:t>
            </w:r>
          </w:p>
        </w:tc>
      </w:tr>
      <w:tr w14:paraId="0E5DF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continue"/>
            <w:tcBorders>
              <w:top w:val="single" w:color="auto" w:sz="4" w:space="0"/>
              <w:left w:val="single" w:color="auto" w:sz="8" w:space="0"/>
              <w:bottom w:val="single" w:color="auto" w:sz="4" w:space="0"/>
              <w:right w:val="single" w:color="auto" w:sz="4" w:space="0"/>
            </w:tcBorders>
            <w:vAlign w:val="center"/>
          </w:tcPr>
          <w:p w14:paraId="156313E1">
            <w:pPr>
              <w:widowControl/>
              <w:spacing w:beforeAutospacing="1" w:afterAutospacing="1"/>
              <w:jc w:val="left"/>
              <w:rPr>
                <w:rFonts w:eastAsiaTheme="minorEastAsia"/>
                <w:color w:val="0000FF"/>
                <w:kern w:val="21"/>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14FE67D5">
            <w:pPr>
              <w:jc w:val="center"/>
              <w:rPr>
                <w:rFonts w:eastAsiaTheme="minorEastAsia"/>
                <w:color w:val="0000FF"/>
                <w:kern w:val="21"/>
              </w:rPr>
            </w:pPr>
            <w:r>
              <w:rPr>
                <w:rFonts w:eastAsiaTheme="minorEastAsia"/>
                <w:bCs/>
                <w:color w:val="0000FF"/>
              </w:rPr>
              <w:t>SO</w:t>
            </w:r>
            <w:r>
              <w:rPr>
                <w:rFonts w:eastAsiaTheme="minorEastAsia"/>
                <w:bCs/>
                <w:color w:val="0000FF"/>
                <w:vertAlign w:val="subscript"/>
              </w:rPr>
              <w:t>2</w:t>
            </w:r>
          </w:p>
        </w:tc>
        <w:tc>
          <w:tcPr>
            <w:tcW w:w="1535" w:type="dxa"/>
            <w:tcBorders>
              <w:top w:val="single" w:color="auto" w:sz="4" w:space="0"/>
              <w:left w:val="single" w:color="auto" w:sz="4" w:space="0"/>
              <w:bottom w:val="single" w:color="auto" w:sz="4" w:space="0"/>
              <w:right w:val="single" w:color="auto" w:sz="4" w:space="0"/>
            </w:tcBorders>
            <w:vAlign w:val="center"/>
          </w:tcPr>
          <w:p w14:paraId="7EE22457">
            <w:pPr>
              <w:jc w:val="center"/>
              <w:rPr>
                <w:rFonts w:eastAsiaTheme="minorEastAsia"/>
                <w:color w:val="0000FF"/>
                <w:kern w:val="21"/>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44990A84">
            <w:pPr>
              <w:jc w:val="center"/>
              <w:rPr>
                <w:rFonts w:eastAsiaTheme="minorEastAsia"/>
                <w:color w:val="0000FF"/>
                <w:kern w:val="21"/>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3E353136">
            <w:pPr>
              <w:jc w:val="center"/>
              <w:rPr>
                <w:rFonts w:eastAsiaTheme="minorEastAsia"/>
                <w:color w:val="0000FF"/>
                <w:kern w:val="21"/>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19ADB47E">
            <w:pPr>
              <w:adjustRightInd w:val="0"/>
              <w:snapToGrid w:val="0"/>
              <w:jc w:val="center"/>
              <w:rPr>
                <w:rFonts w:eastAsiaTheme="minorEastAsia"/>
                <w:bCs/>
                <w:color w:val="0000FF"/>
                <w:highlight w:val="yellow"/>
              </w:rPr>
            </w:pPr>
            <w:r>
              <w:rPr>
                <w:rFonts w:eastAsiaTheme="minorEastAsia"/>
                <w:color w:val="0000FF"/>
                <w:kern w:val="0"/>
                <w:sz w:val="22"/>
                <w:szCs w:val="22"/>
              </w:rPr>
              <w:t>0.9363t/a</w:t>
            </w:r>
            <w:r>
              <w:rPr>
                <w:rFonts w:eastAsiaTheme="minorEastAsia"/>
                <w:color w:val="0000FF"/>
              </w:rPr>
              <w:t>t/a</w:t>
            </w:r>
          </w:p>
        </w:tc>
        <w:tc>
          <w:tcPr>
            <w:tcW w:w="1447" w:type="dxa"/>
            <w:tcBorders>
              <w:top w:val="single" w:color="auto" w:sz="4" w:space="0"/>
              <w:left w:val="single" w:color="auto" w:sz="4" w:space="0"/>
              <w:bottom w:val="single" w:color="auto" w:sz="4" w:space="0"/>
              <w:right w:val="single" w:color="auto" w:sz="4" w:space="0"/>
            </w:tcBorders>
            <w:vAlign w:val="center"/>
          </w:tcPr>
          <w:p w14:paraId="37F21160">
            <w:pPr>
              <w:adjustRightInd w:val="0"/>
              <w:snapToGrid w:val="0"/>
              <w:jc w:val="center"/>
              <w:rPr>
                <w:rFonts w:eastAsiaTheme="minorEastAsia"/>
                <w:bCs/>
                <w:color w:val="0000FF"/>
              </w:rPr>
            </w:pPr>
            <w:r>
              <w:rPr>
                <w:rFonts w:eastAsiaTheme="minorEastAsia"/>
                <w:bCs/>
                <w:color w:val="0000FF"/>
              </w:rPr>
              <w:t>/</w:t>
            </w:r>
          </w:p>
        </w:tc>
        <w:tc>
          <w:tcPr>
            <w:tcW w:w="1740" w:type="dxa"/>
            <w:tcBorders>
              <w:top w:val="single" w:color="auto" w:sz="4" w:space="0"/>
              <w:left w:val="single" w:color="auto" w:sz="4" w:space="0"/>
              <w:bottom w:val="single" w:color="auto" w:sz="4" w:space="0"/>
              <w:right w:val="single" w:color="auto" w:sz="4" w:space="0"/>
            </w:tcBorders>
            <w:vAlign w:val="center"/>
          </w:tcPr>
          <w:p w14:paraId="5C917447">
            <w:pPr>
              <w:adjustRightInd w:val="0"/>
              <w:snapToGrid w:val="0"/>
              <w:jc w:val="center"/>
              <w:rPr>
                <w:rFonts w:eastAsiaTheme="minorEastAsia"/>
                <w:bCs/>
                <w:color w:val="0000FF"/>
                <w:highlight w:val="yellow"/>
              </w:rPr>
            </w:pPr>
            <w:r>
              <w:rPr>
                <w:rFonts w:eastAsiaTheme="minorEastAsia"/>
                <w:bCs/>
                <w:color w:val="0000FF"/>
              </w:rPr>
              <w:t>0.9363t/a</w:t>
            </w:r>
          </w:p>
        </w:tc>
        <w:tc>
          <w:tcPr>
            <w:tcW w:w="1359" w:type="dxa"/>
            <w:tcBorders>
              <w:top w:val="single" w:color="auto" w:sz="4" w:space="0"/>
              <w:left w:val="single" w:color="auto" w:sz="4" w:space="0"/>
              <w:bottom w:val="single" w:color="auto" w:sz="4" w:space="0"/>
              <w:right w:val="single" w:color="auto" w:sz="8" w:space="0"/>
            </w:tcBorders>
            <w:vAlign w:val="center"/>
          </w:tcPr>
          <w:p w14:paraId="5326B0EB">
            <w:pPr>
              <w:adjustRightInd w:val="0"/>
              <w:snapToGrid w:val="0"/>
              <w:jc w:val="center"/>
              <w:rPr>
                <w:rFonts w:eastAsiaTheme="minorEastAsia"/>
                <w:color w:val="0000FF"/>
                <w:kern w:val="21"/>
                <w:highlight w:val="yellow"/>
              </w:rPr>
            </w:pPr>
            <w:r>
              <w:rPr>
                <w:rFonts w:eastAsiaTheme="minorEastAsia"/>
                <w:color w:val="0000FF"/>
                <w:kern w:val="0"/>
                <w:sz w:val="22"/>
                <w:szCs w:val="22"/>
              </w:rPr>
              <w:t>0.9363</w:t>
            </w:r>
            <w:r>
              <w:rPr>
                <w:rFonts w:eastAsiaTheme="minorEastAsia"/>
                <w:color w:val="0000FF"/>
              </w:rPr>
              <w:t>t/a</w:t>
            </w:r>
          </w:p>
        </w:tc>
      </w:tr>
      <w:tr w14:paraId="6728E2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continue"/>
            <w:tcBorders>
              <w:top w:val="single" w:color="auto" w:sz="4" w:space="0"/>
              <w:left w:val="single" w:color="auto" w:sz="8" w:space="0"/>
              <w:bottom w:val="single" w:color="auto" w:sz="4" w:space="0"/>
              <w:right w:val="single" w:color="auto" w:sz="4" w:space="0"/>
            </w:tcBorders>
            <w:vAlign w:val="center"/>
          </w:tcPr>
          <w:p w14:paraId="467870C4">
            <w:pPr>
              <w:widowControl/>
              <w:spacing w:beforeAutospacing="1" w:afterAutospacing="1"/>
              <w:jc w:val="left"/>
              <w:rPr>
                <w:rFonts w:eastAsiaTheme="minorEastAsia"/>
                <w:color w:val="0000FF"/>
                <w:kern w:val="21"/>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158ADD22">
            <w:pPr>
              <w:jc w:val="center"/>
              <w:rPr>
                <w:rFonts w:eastAsiaTheme="minorEastAsia"/>
                <w:color w:val="0000FF"/>
                <w:kern w:val="21"/>
              </w:rPr>
            </w:pPr>
            <w:r>
              <w:rPr>
                <w:rFonts w:eastAsiaTheme="minorEastAsia"/>
                <w:bCs/>
                <w:color w:val="0000FF"/>
              </w:rPr>
              <w:t>NO</w:t>
            </w:r>
            <w:r>
              <w:rPr>
                <w:rFonts w:eastAsiaTheme="minorEastAsia"/>
                <w:bCs/>
                <w:color w:val="0000FF"/>
                <w:vertAlign w:val="subscript"/>
              </w:rPr>
              <w:t>X</w:t>
            </w:r>
          </w:p>
        </w:tc>
        <w:tc>
          <w:tcPr>
            <w:tcW w:w="1535" w:type="dxa"/>
            <w:tcBorders>
              <w:top w:val="single" w:color="auto" w:sz="4" w:space="0"/>
              <w:left w:val="single" w:color="auto" w:sz="4" w:space="0"/>
              <w:bottom w:val="single" w:color="auto" w:sz="4" w:space="0"/>
              <w:right w:val="single" w:color="auto" w:sz="4" w:space="0"/>
            </w:tcBorders>
            <w:vAlign w:val="center"/>
          </w:tcPr>
          <w:p w14:paraId="0B52113C">
            <w:pPr>
              <w:jc w:val="center"/>
              <w:rPr>
                <w:rFonts w:eastAsiaTheme="minorEastAsia"/>
                <w:color w:val="0000FF"/>
                <w:kern w:val="21"/>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666BE0E5">
            <w:pPr>
              <w:jc w:val="center"/>
              <w:rPr>
                <w:rFonts w:eastAsiaTheme="minorEastAsia"/>
                <w:color w:val="0000FF"/>
                <w:kern w:val="21"/>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539F9093">
            <w:pPr>
              <w:jc w:val="center"/>
              <w:rPr>
                <w:rFonts w:eastAsiaTheme="minorEastAsia"/>
                <w:color w:val="0000FF"/>
                <w:kern w:val="21"/>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2B7A3A02">
            <w:pPr>
              <w:adjustRightInd w:val="0"/>
              <w:snapToGrid w:val="0"/>
              <w:jc w:val="center"/>
              <w:rPr>
                <w:rFonts w:eastAsiaTheme="minorEastAsia"/>
                <w:bCs/>
                <w:color w:val="0000FF"/>
                <w:highlight w:val="yellow"/>
              </w:rPr>
            </w:pPr>
            <w:r>
              <w:rPr>
                <w:rFonts w:eastAsiaTheme="minorEastAsia"/>
                <w:color w:val="0000FF"/>
                <w:kern w:val="0"/>
                <w:sz w:val="22"/>
                <w:szCs w:val="22"/>
              </w:rPr>
              <w:t>0.4598t/a</w:t>
            </w:r>
            <w:r>
              <w:rPr>
                <w:rFonts w:eastAsiaTheme="minorEastAsia"/>
                <w:color w:val="0000FF"/>
              </w:rPr>
              <w:t>t/a</w:t>
            </w:r>
          </w:p>
        </w:tc>
        <w:tc>
          <w:tcPr>
            <w:tcW w:w="1447" w:type="dxa"/>
            <w:tcBorders>
              <w:top w:val="single" w:color="auto" w:sz="4" w:space="0"/>
              <w:left w:val="single" w:color="auto" w:sz="4" w:space="0"/>
              <w:bottom w:val="single" w:color="auto" w:sz="4" w:space="0"/>
              <w:right w:val="single" w:color="auto" w:sz="4" w:space="0"/>
            </w:tcBorders>
            <w:vAlign w:val="center"/>
          </w:tcPr>
          <w:p w14:paraId="0B103A11">
            <w:pPr>
              <w:adjustRightInd w:val="0"/>
              <w:snapToGrid w:val="0"/>
              <w:jc w:val="center"/>
              <w:rPr>
                <w:rFonts w:eastAsiaTheme="minorEastAsia"/>
                <w:bCs/>
                <w:color w:val="0000FF"/>
              </w:rPr>
            </w:pPr>
            <w:r>
              <w:rPr>
                <w:rFonts w:eastAsiaTheme="minorEastAsia"/>
                <w:bCs/>
                <w:color w:val="0000FF"/>
              </w:rPr>
              <w:t>/</w:t>
            </w:r>
          </w:p>
        </w:tc>
        <w:tc>
          <w:tcPr>
            <w:tcW w:w="1740" w:type="dxa"/>
            <w:tcBorders>
              <w:top w:val="single" w:color="auto" w:sz="4" w:space="0"/>
              <w:left w:val="single" w:color="auto" w:sz="4" w:space="0"/>
              <w:bottom w:val="single" w:color="auto" w:sz="4" w:space="0"/>
              <w:right w:val="single" w:color="auto" w:sz="4" w:space="0"/>
            </w:tcBorders>
            <w:vAlign w:val="center"/>
          </w:tcPr>
          <w:p w14:paraId="089061C4">
            <w:pPr>
              <w:adjustRightInd w:val="0"/>
              <w:snapToGrid w:val="0"/>
              <w:jc w:val="center"/>
              <w:rPr>
                <w:rFonts w:eastAsiaTheme="minorEastAsia"/>
                <w:bCs/>
                <w:color w:val="0000FF"/>
                <w:highlight w:val="yellow"/>
              </w:rPr>
            </w:pPr>
            <w:r>
              <w:rPr>
                <w:rFonts w:eastAsiaTheme="minorEastAsia"/>
                <w:bCs/>
                <w:color w:val="0000FF"/>
              </w:rPr>
              <w:t>0.4598t/a</w:t>
            </w:r>
          </w:p>
        </w:tc>
        <w:tc>
          <w:tcPr>
            <w:tcW w:w="1359" w:type="dxa"/>
            <w:tcBorders>
              <w:top w:val="single" w:color="auto" w:sz="4" w:space="0"/>
              <w:left w:val="single" w:color="auto" w:sz="4" w:space="0"/>
              <w:bottom w:val="single" w:color="auto" w:sz="4" w:space="0"/>
              <w:right w:val="single" w:color="auto" w:sz="8" w:space="0"/>
            </w:tcBorders>
            <w:vAlign w:val="center"/>
          </w:tcPr>
          <w:p w14:paraId="26034989">
            <w:pPr>
              <w:adjustRightInd w:val="0"/>
              <w:snapToGrid w:val="0"/>
              <w:jc w:val="center"/>
              <w:rPr>
                <w:rFonts w:eastAsiaTheme="minorEastAsia"/>
                <w:color w:val="0000FF"/>
                <w:kern w:val="21"/>
                <w:highlight w:val="yellow"/>
              </w:rPr>
            </w:pPr>
            <w:r>
              <w:rPr>
                <w:rFonts w:eastAsiaTheme="minorEastAsia"/>
                <w:color w:val="0000FF"/>
                <w:kern w:val="0"/>
                <w:sz w:val="22"/>
                <w:szCs w:val="22"/>
              </w:rPr>
              <w:t>0.4598</w:t>
            </w:r>
            <w:r>
              <w:rPr>
                <w:rFonts w:eastAsiaTheme="minorEastAsia"/>
                <w:color w:val="0000FF"/>
              </w:rPr>
              <w:t>t/a</w:t>
            </w:r>
          </w:p>
        </w:tc>
      </w:tr>
      <w:tr w14:paraId="4762D8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tcBorders>
              <w:top w:val="single" w:color="auto" w:sz="4" w:space="0"/>
              <w:left w:val="single" w:color="auto" w:sz="8" w:space="0"/>
              <w:bottom w:val="single" w:color="auto" w:sz="4" w:space="0"/>
              <w:right w:val="single" w:color="auto" w:sz="4" w:space="0"/>
            </w:tcBorders>
            <w:vAlign w:val="center"/>
          </w:tcPr>
          <w:p w14:paraId="2685A775">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废水</w:t>
            </w: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7076095E">
            <w:pPr>
              <w:jc w:val="center"/>
              <w:rPr>
                <w:rFonts w:eastAsiaTheme="minorEastAsia"/>
                <w:color w:val="0000FF"/>
                <w:kern w:val="21"/>
              </w:rPr>
            </w:pPr>
            <w:r>
              <w:rPr>
                <w:rFonts w:eastAsiaTheme="minorEastAsia"/>
                <w:color w:val="0000FF"/>
                <w:kern w:val="21"/>
              </w:rPr>
              <w:t>/</w:t>
            </w:r>
          </w:p>
        </w:tc>
        <w:tc>
          <w:tcPr>
            <w:tcW w:w="1535" w:type="dxa"/>
            <w:tcBorders>
              <w:top w:val="single" w:color="auto" w:sz="4" w:space="0"/>
              <w:left w:val="single" w:color="auto" w:sz="4" w:space="0"/>
              <w:bottom w:val="single" w:color="auto" w:sz="4" w:space="0"/>
              <w:right w:val="single" w:color="auto" w:sz="4" w:space="0"/>
            </w:tcBorders>
            <w:vAlign w:val="center"/>
          </w:tcPr>
          <w:p w14:paraId="7B52617E">
            <w:pPr>
              <w:jc w:val="center"/>
              <w:rPr>
                <w:rFonts w:eastAsiaTheme="minorEastAsia"/>
                <w:color w:val="0000FF"/>
                <w:kern w:val="21"/>
              </w:rPr>
            </w:pPr>
            <w:r>
              <w:rPr>
                <w:rFonts w:eastAsiaTheme="minorEastAsia"/>
                <w:color w:val="0000FF"/>
                <w:kern w:val="21"/>
              </w:rPr>
              <w:t>/</w:t>
            </w:r>
          </w:p>
        </w:tc>
        <w:tc>
          <w:tcPr>
            <w:tcW w:w="1276" w:type="dxa"/>
            <w:tcBorders>
              <w:top w:val="single" w:color="auto" w:sz="4" w:space="0"/>
              <w:left w:val="single" w:color="auto" w:sz="4" w:space="0"/>
              <w:bottom w:val="single" w:color="auto" w:sz="4" w:space="0"/>
              <w:right w:val="single" w:color="auto" w:sz="4" w:space="0"/>
            </w:tcBorders>
            <w:vAlign w:val="center"/>
          </w:tcPr>
          <w:p w14:paraId="227312D7">
            <w:pPr>
              <w:jc w:val="center"/>
              <w:rPr>
                <w:rFonts w:eastAsiaTheme="minorEastAsia"/>
                <w:color w:val="0000FF"/>
                <w:kern w:val="21"/>
              </w:rPr>
            </w:pPr>
            <w:r>
              <w:rPr>
                <w:rFonts w:eastAsiaTheme="minorEastAsia"/>
                <w:color w:val="0000FF"/>
                <w:kern w:val="21"/>
              </w:rPr>
              <w:t>/</w:t>
            </w:r>
          </w:p>
        </w:tc>
        <w:tc>
          <w:tcPr>
            <w:tcW w:w="1701" w:type="dxa"/>
            <w:tcBorders>
              <w:top w:val="single" w:color="auto" w:sz="4" w:space="0"/>
              <w:left w:val="single" w:color="auto" w:sz="4" w:space="0"/>
              <w:bottom w:val="single" w:color="auto" w:sz="4" w:space="0"/>
              <w:right w:val="single" w:color="auto" w:sz="4" w:space="0"/>
            </w:tcBorders>
            <w:vAlign w:val="center"/>
          </w:tcPr>
          <w:p w14:paraId="33A68385">
            <w:pPr>
              <w:jc w:val="center"/>
              <w:rPr>
                <w:rFonts w:eastAsiaTheme="minorEastAsia"/>
                <w:color w:val="0000FF"/>
                <w:kern w:val="21"/>
              </w:rPr>
            </w:pPr>
            <w:r>
              <w:rPr>
                <w:rFonts w:eastAsiaTheme="minorEastAsia"/>
                <w:color w:val="0000FF"/>
                <w:kern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16104EC0">
            <w:pPr>
              <w:jc w:val="center"/>
              <w:rPr>
                <w:rFonts w:eastAsiaTheme="minorEastAsia"/>
                <w:color w:val="0000FF"/>
                <w:kern w:val="21"/>
              </w:rPr>
            </w:pPr>
            <w:r>
              <w:rPr>
                <w:rFonts w:eastAsiaTheme="minorEastAsia"/>
                <w:color w:val="0000FF"/>
                <w:kern w:val="21"/>
              </w:rPr>
              <w:t>/</w:t>
            </w:r>
          </w:p>
        </w:tc>
        <w:tc>
          <w:tcPr>
            <w:tcW w:w="1447" w:type="dxa"/>
            <w:tcBorders>
              <w:top w:val="single" w:color="auto" w:sz="4" w:space="0"/>
              <w:left w:val="single" w:color="auto" w:sz="4" w:space="0"/>
              <w:bottom w:val="single" w:color="auto" w:sz="4" w:space="0"/>
              <w:right w:val="single" w:color="auto" w:sz="4" w:space="0"/>
            </w:tcBorders>
            <w:vAlign w:val="center"/>
          </w:tcPr>
          <w:p w14:paraId="0AA9CF87">
            <w:pPr>
              <w:jc w:val="center"/>
              <w:rPr>
                <w:rFonts w:eastAsiaTheme="minorEastAsia"/>
                <w:color w:val="0000FF"/>
                <w:kern w:val="21"/>
              </w:rPr>
            </w:pPr>
            <w:r>
              <w:rPr>
                <w:rFonts w:eastAsiaTheme="minorEastAsia"/>
                <w:color w:val="0000FF"/>
                <w:kern w:val="21"/>
              </w:rPr>
              <w:t>/</w:t>
            </w:r>
          </w:p>
        </w:tc>
        <w:tc>
          <w:tcPr>
            <w:tcW w:w="1740" w:type="dxa"/>
            <w:tcBorders>
              <w:top w:val="single" w:color="auto" w:sz="4" w:space="0"/>
              <w:left w:val="single" w:color="auto" w:sz="4" w:space="0"/>
              <w:bottom w:val="single" w:color="auto" w:sz="4" w:space="0"/>
              <w:right w:val="single" w:color="auto" w:sz="4" w:space="0"/>
            </w:tcBorders>
            <w:vAlign w:val="center"/>
          </w:tcPr>
          <w:p w14:paraId="2F8B353A">
            <w:pPr>
              <w:jc w:val="center"/>
              <w:rPr>
                <w:rFonts w:eastAsiaTheme="minorEastAsia"/>
                <w:color w:val="0000FF"/>
                <w:kern w:val="21"/>
              </w:rPr>
            </w:pPr>
            <w:r>
              <w:rPr>
                <w:rFonts w:eastAsiaTheme="minorEastAsia"/>
                <w:color w:val="0000FF"/>
                <w:kern w:val="21"/>
              </w:rPr>
              <w:t>/</w:t>
            </w:r>
          </w:p>
        </w:tc>
        <w:tc>
          <w:tcPr>
            <w:tcW w:w="1359" w:type="dxa"/>
            <w:tcBorders>
              <w:top w:val="single" w:color="auto" w:sz="4" w:space="0"/>
              <w:left w:val="single" w:color="auto" w:sz="4" w:space="0"/>
              <w:bottom w:val="single" w:color="auto" w:sz="4" w:space="0"/>
              <w:right w:val="single" w:color="auto" w:sz="8" w:space="0"/>
            </w:tcBorders>
            <w:vAlign w:val="center"/>
          </w:tcPr>
          <w:p w14:paraId="0A85BAFB">
            <w:pPr>
              <w:jc w:val="center"/>
              <w:rPr>
                <w:rFonts w:eastAsiaTheme="minorEastAsia"/>
                <w:color w:val="0000FF"/>
                <w:kern w:val="21"/>
              </w:rPr>
            </w:pPr>
            <w:r>
              <w:rPr>
                <w:rFonts w:eastAsiaTheme="minorEastAsia"/>
                <w:color w:val="0000FF"/>
                <w:kern w:val="21"/>
              </w:rPr>
              <w:t>/</w:t>
            </w:r>
          </w:p>
        </w:tc>
      </w:tr>
      <w:tr w14:paraId="3C0ED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restart"/>
            <w:tcBorders>
              <w:left w:val="single" w:color="auto" w:sz="8" w:space="0"/>
              <w:right w:val="single" w:color="auto" w:sz="4" w:space="0"/>
            </w:tcBorders>
            <w:vAlign w:val="center"/>
          </w:tcPr>
          <w:p w14:paraId="361A3087">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一般固体废物</w:t>
            </w: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25C47154">
            <w:pPr>
              <w:jc w:val="center"/>
              <w:rPr>
                <w:rFonts w:eastAsiaTheme="minorEastAsia"/>
                <w:color w:val="0000FF"/>
                <w:kern w:val="21"/>
              </w:rPr>
            </w:pPr>
            <w:r>
              <w:rPr>
                <w:rFonts w:eastAsiaTheme="minorEastAsia"/>
                <w:color w:val="0000FF"/>
              </w:rPr>
              <w:t>脱硫石膏</w:t>
            </w:r>
          </w:p>
        </w:tc>
        <w:tc>
          <w:tcPr>
            <w:tcW w:w="1535" w:type="dxa"/>
            <w:tcBorders>
              <w:top w:val="single" w:color="auto" w:sz="4" w:space="0"/>
              <w:left w:val="single" w:color="auto" w:sz="4" w:space="0"/>
              <w:bottom w:val="single" w:color="auto" w:sz="4" w:space="0"/>
              <w:right w:val="single" w:color="auto" w:sz="4" w:space="0"/>
            </w:tcBorders>
            <w:vAlign w:val="center"/>
          </w:tcPr>
          <w:p w14:paraId="7C3C6586">
            <w:pPr>
              <w:jc w:val="center"/>
              <w:rPr>
                <w:rFonts w:eastAsiaTheme="minorEastAsia"/>
                <w:color w:val="0000FF"/>
                <w:kern w:val="21"/>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340FC6DB">
            <w:pPr>
              <w:jc w:val="center"/>
              <w:rPr>
                <w:rFonts w:eastAsiaTheme="minorEastAsia"/>
                <w:color w:val="0000FF"/>
                <w:kern w:val="21"/>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5C4C9F17">
            <w:pPr>
              <w:jc w:val="center"/>
              <w:rPr>
                <w:rFonts w:eastAsiaTheme="minorEastAsia"/>
                <w:color w:val="0000FF"/>
                <w:kern w:val="21"/>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028025E7">
            <w:pPr>
              <w:jc w:val="center"/>
              <w:rPr>
                <w:rFonts w:eastAsiaTheme="minorEastAsia"/>
                <w:color w:val="0000FF"/>
                <w:kern w:val="21"/>
              </w:rPr>
            </w:pPr>
            <w:r>
              <w:rPr>
                <w:rFonts w:eastAsiaTheme="minorEastAsia"/>
                <w:color w:val="0000FF"/>
              </w:rPr>
              <w:t>8.29 t/a</w:t>
            </w:r>
          </w:p>
        </w:tc>
        <w:tc>
          <w:tcPr>
            <w:tcW w:w="1447" w:type="dxa"/>
            <w:tcBorders>
              <w:top w:val="single" w:color="auto" w:sz="4" w:space="0"/>
              <w:left w:val="single" w:color="auto" w:sz="4" w:space="0"/>
              <w:bottom w:val="single" w:color="auto" w:sz="4" w:space="0"/>
              <w:right w:val="single" w:color="auto" w:sz="4" w:space="0"/>
            </w:tcBorders>
            <w:vAlign w:val="center"/>
          </w:tcPr>
          <w:p w14:paraId="093ABBA7">
            <w:pPr>
              <w:jc w:val="center"/>
              <w:rPr>
                <w:rFonts w:eastAsiaTheme="minorEastAsia"/>
                <w:color w:val="0000FF"/>
                <w:kern w:val="21"/>
              </w:rPr>
            </w:pPr>
            <w:r>
              <w:rPr>
                <w:rFonts w:eastAsiaTheme="minorEastAsia"/>
                <w:color w:val="0000FF"/>
              </w:rPr>
              <w:t>/</w:t>
            </w:r>
          </w:p>
        </w:tc>
        <w:tc>
          <w:tcPr>
            <w:tcW w:w="1740" w:type="dxa"/>
            <w:tcBorders>
              <w:top w:val="single" w:color="auto" w:sz="4" w:space="0"/>
              <w:left w:val="single" w:color="auto" w:sz="4" w:space="0"/>
              <w:bottom w:val="single" w:color="auto" w:sz="4" w:space="0"/>
              <w:right w:val="single" w:color="auto" w:sz="4" w:space="0"/>
            </w:tcBorders>
            <w:vAlign w:val="center"/>
          </w:tcPr>
          <w:p w14:paraId="2D3DBA02">
            <w:pPr>
              <w:jc w:val="center"/>
              <w:rPr>
                <w:rFonts w:eastAsiaTheme="minorEastAsia"/>
                <w:color w:val="0000FF"/>
                <w:kern w:val="21"/>
              </w:rPr>
            </w:pPr>
            <w:r>
              <w:rPr>
                <w:rFonts w:eastAsiaTheme="minorEastAsia"/>
                <w:bCs/>
                <w:color w:val="0000FF"/>
              </w:rPr>
              <w:t>8.29 t/a</w:t>
            </w:r>
          </w:p>
        </w:tc>
        <w:tc>
          <w:tcPr>
            <w:tcW w:w="1359" w:type="dxa"/>
            <w:tcBorders>
              <w:top w:val="single" w:color="auto" w:sz="4" w:space="0"/>
              <w:left w:val="single" w:color="auto" w:sz="4" w:space="0"/>
              <w:bottom w:val="single" w:color="auto" w:sz="4" w:space="0"/>
              <w:right w:val="single" w:color="auto" w:sz="8" w:space="0"/>
            </w:tcBorders>
            <w:vAlign w:val="center"/>
          </w:tcPr>
          <w:p w14:paraId="34159C02">
            <w:pPr>
              <w:jc w:val="center"/>
              <w:rPr>
                <w:rFonts w:eastAsiaTheme="minorEastAsia"/>
                <w:color w:val="0000FF"/>
                <w:kern w:val="21"/>
              </w:rPr>
            </w:pPr>
            <w:r>
              <w:rPr>
                <w:rFonts w:eastAsiaTheme="minorEastAsia"/>
                <w:color w:val="0000FF"/>
              </w:rPr>
              <w:t>8.29 t/a</w:t>
            </w:r>
          </w:p>
        </w:tc>
      </w:tr>
      <w:tr w14:paraId="48F5D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continue"/>
            <w:tcBorders>
              <w:left w:val="single" w:color="auto" w:sz="8" w:space="0"/>
              <w:bottom w:val="single" w:color="auto" w:sz="4" w:space="0"/>
              <w:right w:val="single" w:color="auto" w:sz="4" w:space="0"/>
            </w:tcBorders>
            <w:vAlign w:val="center"/>
          </w:tcPr>
          <w:p w14:paraId="20C07A21">
            <w:pPr>
              <w:pStyle w:val="80"/>
              <w:spacing w:beforeLines="0" w:afterLines="0"/>
              <w:rPr>
                <w:rFonts w:ascii="Times New Roman" w:hAnsi="Times New Roman" w:cs="Times New Roman"/>
                <w:color w:val="0000FF"/>
                <w:kern w:val="21"/>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131A046E">
            <w:pPr>
              <w:jc w:val="center"/>
              <w:rPr>
                <w:rFonts w:eastAsiaTheme="minorEastAsia"/>
                <w:color w:val="0000FF"/>
                <w:kern w:val="21"/>
              </w:rPr>
            </w:pPr>
            <w:r>
              <w:rPr>
                <w:rFonts w:eastAsiaTheme="minorEastAsia"/>
                <w:color w:val="0000FF"/>
                <w:sz w:val="22"/>
                <w:szCs w:val="22"/>
              </w:rPr>
              <w:t>沉淀池沉淀</w:t>
            </w:r>
          </w:p>
        </w:tc>
        <w:tc>
          <w:tcPr>
            <w:tcW w:w="1535" w:type="dxa"/>
            <w:tcBorders>
              <w:top w:val="single" w:color="auto" w:sz="4" w:space="0"/>
              <w:left w:val="single" w:color="auto" w:sz="4" w:space="0"/>
              <w:bottom w:val="single" w:color="auto" w:sz="4" w:space="0"/>
              <w:right w:val="single" w:color="auto" w:sz="4" w:space="0"/>
            </w:tcBorders>
            <w:vAlign w:val="center"/>
          </w:tcPr>
          <w:p w14:paraId="6828AB87">
            <w:pPr>
              <w:jc w:val="center"/>
              <w:rPr>
                <w:rFonts w:eastAsiaTheme="minorEastAsia"/>
                <w:color w:val="0000FF"/>
                <w:kern w:val="21"/>
              </w:rPr>
            </w:pPr>
            <w:r>
              <w:rPr>
                <w:rFonts w:eastAsiaTheme="minorEastAsia"/>
                <w:bCs/>
                <w:color w:val="0000FF"/>
              </w:rPr>
              <w:t>/</w:t>
            </w:r>
          </w:p>
        </w:tc>
        <w:tc>
          <w:tcPr>
            <w:tcW w:w="1276" w:type="dxa"/>
            <w:tcBorders>
              <w:top w:val="single" w:color="auto" w:sz="4" w:space="0"/>
              <w:left w:val="single" w:color="auto" w:sz="4" w:space="0"/>
              <w:bottom w:val="single" w:color="auto" w:sz="4" w:space="0"/>
              <w:right w:val="single" w:color="auto" w:sz="4" w:space="0"/>
            </w:tcBorders>
            <w:vAlign w:val="center"/>
          </w:tcPr>
          <w:p w14:paraId="7B494364">
            <w:pPr>
              <w:jc w:val="center"/>
              <w:rPr>
                <w:rFonts w:eastAsiaTheme="minorEastAsia"/>
                <w:color w:val="0000FF"/>
                <w:kern w:val="21"/>
              </w:rPr>
            </w:pPr>
            <w:r>
              <w:rPr>
                <w:rFonts w:eastAsiaTheme="minorEastAsia"/>
                <w:bCs/>
                <w:color w:val="0000FF"/>
              </w:rPr>
              <w:t>/</w:t>
            </w:r>
          </w:p>
        </w:tc>
        <w:tc>
          <w:tcPr>
            <w:tcW w:w="1701" w:type="dxa"/>
            <w:tcBorders>
              <w:top w:val="single" w:color="auto" w:sz="4" w:space="0"/>
              <w:left w:val="single" w:color="auto" w:sz="4" w:space="0"/>
              <w:bottom w:val="single" w:color="auto" w:sz="4" w:space="0"/>
              <w:right w:val="single" w:color="auto" w:sz="4" w:space="0"/>
            </w:tcBorders>
            <w:vAlign w:val="center"/>
          </w:tcPr>
          <w:p w14:paraId="44AB3C01">
            <w:pPr>
              <w:jc w:val="center"/>
              <w:rPr>
                <w:rFonts w:eastAsiaTheme="minorEastAsia"/>
                <w:color w:val="0000FF"/>
                <w:kern w:val="21"/>
              </w:rPr>
            </w:pPr>
            <w:r>
              <w:rPr>
                <w:rFonts w:eastAsiaTheme="minorEastAsia"/>
                <w:bCs/>
                <w:color w:val="0000FF"/>
              </w:rPr>
              <w:t>/</w:t>
            </w:r>
          </w:p>
        </w:tc>
        <w:tc>
          <w:tcPr>
            <w:tcW w:w="1559" w:type="dxa"/>
            <w:tcBorders>
              <w:top w:val="single" w:color="auto" w:sz="4" w:space="0"/>
              <w:left w:val="single" w:color="auto" w:sz="4" w:space="0"/>
              <w:bottom w:val="single" w:color="auto" w:sz="4" w:space="0"/>
              <w:right w:val="single" w:color="auto" w:sz="4" w:space="0"/>
            </w:tcBorders>
            <w:vAlign w:val="center"/>
          </w:tcPr>
          <w:p w14:paraId="7829C2C2">
            <w:pPr>
              <w:jc w:val="center"/>
              <w:rPr>
                <w:rFonts w:eastAsiaTheme="minorEastAsia"/>
                <w:color w:val="0000FF"/>
                <w:kern w:val="21"/>
              </w:rPr>
            </w:pPr>
            <w:r>
              <w:rPr>
                <w:rFonts w:eastAsiaTheme="minorEastAsia"/>
                <w:color w:val="0000FF"/>
                <w:sz w:val="22"/>
                <w:szCs w:val="22"/>
              </w:rPr>
              <w:t>0.59</w:t>
            </w:r>
            <w:r>
              <w:rPr>
                <w:rFonts w:eastAsiaTheme="minorEastAsia"/>
                <w:color w:val="0000FF"/>
              </w:rPr>
              <w:t>t/a</w:t>
            </w:r>
          </w:p>
        </w:tc>
        <w:tc>
          <w:tcPr>
            <w:tcW w:w="1447" w:type="dxa"/>
            <w:tcBorders>
              <w:top w:val="single" w:color="auto" w:sz="4" w:space="0"/>
              <w:left w:val="single" w:color="auto" w:sz="4" w:space="0"/>
              <w:bottom w:val="single" w:color="auto" w:sz="4" w:space="0"/>
              <w:right w:val="single" w:color="auto" w:sz="4" w:space="0"/>
            </w:tcBorders>
            <w:vAlign w:val="center"/>
          </w:tcPr>
          <w:p w14:paraId="752188DB">
            <w:pPr>
              <w:jc w:val="center"/>
              <w:rPr>
                <w:rFonts w:eastAsiaTheme="minorEastAsia"/>
                <w:color w:val="0000FF"/>
                <w:kern w:val="21"/>
              </w:rPr>
            </w:pPr>
            <w:r>
              <w:rPr>
                <w:rFonts w:eastAsiaTheme="minorEastAsia"/>
                <w:color w:val="0000FF"/>
                <w:kern w:val="21"/>
              </w:rPr>
              <w:t>/</w:t>
            </w:r>
          </w:p>
        </w:tc>
        <w:tc>
          <w:tcPr>
            <w:tcW w:w="1740" w:type="dxa"/>
            <w:tcBorders>
              <w:top w:val="single" w:color="auto" w:sz="4" w:space="0"/>
              <w:left w:val="single" w:color="auto" w:sz="4" w:space="0"/>
              <w:bottom w:val="single" w:color="auto" w:sz="4" w:space="0"/>
              <w:right w:val="single" w:color="auto" w:sz="4" w:space="0"/>
            </w:tcBorders>
            <w:vAlign w:val="center"/>
          </w:tcPr>
          <w:p w14:paraId="228C277B">
            <w:pPr>
              <w:jc w:val="center"/>
              <w:rPr>
                <w:rFonts w:eastAsiaTheme="minorEastAsia"/>
                <w:color w:val="0000FF"/>
                <w:kern w:val="21"/>
              </w:rPr>
            </w:pPr>
            <w:r>
              <w:rPr>
                <w:rFonts w:eastAsiaTheme="minorEastAsia"/>
                <w:color w:val="0000FF"/>
                <w:sz w:val="22"/>
                <w:szCs w:val="22"/>
              </w:rPr>
              <w:t>0.59</w:t>
            </w:r>
            <w:r>
              <w:rPr>
                <w:rFonts w:eastAsiaTheme="minorEastAsia"/>
                <w:color w:val="0000FF"/>
              </w:rPr>
              <w:t xml:space="preserve"> t/a</w:t>
            </w:r>
          </w:p>
        </w:tc>
        <w:tc>
          <w:tcPr>
            <w:tcW w:w="1359" w:type="dxa"/>
            <w:tcBorders>
              <w:top w:val="single" w:color="auto" w:sz="4" w:space="0"/>
              <w:left w:val="single" w:color="auto" w:sz="4" w:space="0"/>
              <w:bottom w:val="single" w:color="auto" w:sz="4" w:space="0"/>
              <w:right w:val="single" w:color="auto" w:sz="8" w:space="0"/>
            </w:tcBorders>
            <w:vAlign w:val="center"/>
          </w:tcPr>
          <w:p w14:paraId="75D35F24">
            <w:pPr>
              <w:jc w:val="center"/>
              <w:rPr>
                <w:rFonts w:eastAsiaTheme="minorEastAsia"/>
                <w:color w:val="0000FF"/>
                <w:kern w:val="21"/>
              </w:rPr>
            </w:pPr>
            <w:r>
              <w:rPr>
                <w:rFonts w:eastAsiaTheme="minorEastAsia"/>
                <w:color w:val="0000FF"/>
                <w:sz w:val="22"/>
                <w:szCs w:val="22"/>
              </w:rPr>
              <w:t>0.59</w:t>
            </w:r>
            <w:r>
              <w:rPr>
                <w:rFonts w:eastAsiaTheme="minorEastAsia"/>
                <w:color w:val="0000FF"/>
              </w:rPr>
              <w:t xml:space="preserve"> t/a</w:t>
            </w:r>
          </w:p>
        </w:tc>
      </w:tr>
      <w:tr w14:paraId="54DE4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restart"/>
            <w:tcBorders>
              <w:top w:val="single" w:color="auto" w:sz="4" w:space="0"/>
              <w:left w:val="single" w:color="auto" w:sz="8" w:space="0"/>
              <w:bottom w:val="single" w:color="auto" w:sz="4" w:space="0"/>
              <w:right w:val="single" w:color="auto" w:sz="4" w:space="0"/>
            </w:tcBorders>
            <w:vAlign w:val="center"/>
          </w:tcPr>
          <w:p w14:paraId="194DACFA">
            <w:pPr>
              <w:pStyle w:val="80"/>
              <w:spacing w:beforeLines="0" w:afterLines="0"/>
              <w:rPr>
                <w:rFonts w:ascii="Times New Roman" w:hAnsi="Times New Roman" w:cs="Times New Roman"/>
                <w:color w:val="0000FF"/>
                <w:kern w:val="21"/>
              </w:rPr>
            </w:pPr>
            <w:r>
              <w:rPr>
                <w:rFonts w:ascii="Times New Roman" w:hAnsi="Times New Roman" w:cs="Times New Roman"/>
                <w:color w:val="0000FF"/>
                <w:kern w:val="21"/>
              </w:rPr>
              <w:t>危险废物</w:t>
            </w: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53F1B5CE">
            <w:pPr>
              <w:pStyle w:val="80"/>
              <w:spacing w:beforeLines="0" w:afterLines="0"/>
              <w:rPr>
                <w:rFonts w:ascii="Times New Roman" w:hAnsi="Times New Roman" w:cs="Times New Roman"/>
                <w:color w:val="0000FF"/>
                <w:kern w:val="21"/>
              </w:rPr>
            </w:pPr>
            <w:r>
              <w:rPr>
                <w:rFonts w:ascii="Times New Roman" w:hAnsi="Times New Roman" w:cs="Times New Roman"/>
                <w:color w:val="0000FF"/>
              </w:rPr>
              <w:t>废机油</w:t>
            </w:r>
          </w:p>
        </w:tc>
        <w:tc>
          <w:tcPr>
            <w:tcW w:w="1535" w:type="dxa"/>
            <w:tcBorders>
              <w:top w:val="single" w:color="auto" w:sz="4" w:space="0"/>
              <w:left w:val="single" w:color="auto" w:sz="4" w:space="0"/>
              <w:bottom w:val="single" w:color="auto" w:sz="4" w:space="0"/>
              <w:right w:val="single" w:color="auto" w:sz="4" w:space="0"/>
            </w:tcBorders>
            <w:vAlign w:val="center"/>
          </w:tcPr>
          <w:p w14:paraId="7AD88882">
            <w:pPr>
              <w:jc w:val="center"/>
              <w:rPr>
                <w:rFonts w:eastAsiaTheme="minorEastAsia"/>
                <w:color w:val="0000FF"/>
                <w:kern w:val="21"/>
              </w:rPr>
            </w:pPr>
            <w:r>
              <w:rPr>
                <w:rFonts w:eastAsiaTheme="minorEastAsia"/>
                <w:color w:val="0000FF"/>
                <w:kern w:val="21"/>
              </w:rPr>
              <w:t>/</w:t>
            </w:r>
          </w:p>
        </w:tc>
        <w:tc>
          <w:tcPr>
            <w:tcW w:w="1276" w:type="dxa"/>
            <w:tcBorders>
              <w:top w:val="single" w:color="auto" w:sz="4" w:space="0"/>
              <w:left w:val="single" w:color="auto" w:sz="4" w:space="0"/>
              <w:bottom w:val="single" w:color="auto" w:sz="4" w:space="0"/>
              <w:right w:val="single" w:color="auto" w:sz="4" w:space="0"/>
            </w:tcBorders>
            <w:vAlign w:val="center"/>
          </w:tcPr>
          <w:p w14:paraId="5FF9D9E9">
            <w:pPr>
              <w:jc w:val="center"/>
              <w:rPr>
                <w:rFonts w:eastAsiaTheme="minorEastAsia"/>
                <w:color w:val="0000FF"/>
                <w:kern w:val="21"/>
              </w:rPr>
            </w:pPr>
            <w:r>
              <w:rPr>
                <w:rFonts w:eastAsiaTheme="minorEastAsia"/>
                <w:color w:val="0000FF"/>
                <w:kern w:val="21"/>
              </w:rPr>
              <w:t>/</w:t>
            </w:r>
          </w:p>
        </w:tc>
        <w:tc>
          <w:tcPr>
            <w:tcW w:w="1701" w:type="dxa"/>
            <w:tcBorders>
              <w:top w:val="single" w:color="auto" w:sz="4" w:space="0"/>
              <w:left w:val="single" w:color="auto" w:sz="4" w:space="0"/>
              <w:bottom w:val="single" w:color="auto" w:sz="4" w:space="0"/>
              <w:right w:val="single" w:color="auto" w:sz="4" w:space="0"/>
            </w:tcBorders>
            <w:vAlign w:val="center"/>
          </w:tcPr>
          <w:p w14:paraId="0F29B50F">
            <w:pPr>
              <w:jc w:val="center"/>
              <w:rPr>
                <w:rFonts w:eastAsiaTheme="minorEastAsia"/>
                <w:color w:val="0000FF"/>
                <w:kern w:val="21"/>
              </w:rPr>
            </w:pPr>
            <w:r>
              <w:rPr>
                <w:rFonts w:eastAsiaTheme="minorEastAsia"/>
                <w:color w:val="0000FF"/>
                <w:kern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4E13CC20">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0.5 t/a</w:t>
            </w:r>
          </w:p>
        </w:tc>
        <w:tc>
          <w:tcPr>
            <w:tcW w:w="1447" w:type="dxa"/>
            <w:tcBorders>
              <w:top w:val="single" w:color="auto" w:sz="4" w:space="0"/>
              <w:left w:val="single" w:color="auto" w:sz="4" w:space="0"/>
              <w:bottom w:val="single" w:color="auto" w:sz="4" w:space="0"/>
              <w:right w:val="single" w:color="auto" w:sz="4" w:space="0"/>
            </w:tcBorders>
            <w:vAlign w:val="center"/>
          </w:tcPr>
          <w:p w14:paraId="688AD2FF">
            <w:pPr>
              <w:jc w:val="center"/>
              <w:rPr>
                <w:rFonts w:eastAsiaTheme="minorEastAsia"/>
                <w:color w:val="0000FF"/>
                <w:kern w:val="21"/>
              </w:rPr>
            </w:pPr>
            <w:r>
              <w:rPr>
                <w:rFonts w:eastAsiaTheme="minorEastAsia"/>
                <w:color w:val="0000FF"/>
              </w:rPr>
              <w:t>/</w:t>
            </w:r>
          </w:p>
        </w:tc>
        <w:tc>
          <w:tcPr>
            <w:tcW w:w="1740" w:type="dxa"/>
            <w:tcBorders>
              <w:top w:val="single" w:color="auto" w:sz="4" w:space="0"/>
              <w:left w:val="single" w:color="auto" w:sz="4" w:space="0"/>
              <w:bottom w:val="single" w:color="auto" w:sz="4" w:space="0"/>
              <w:right w:val="single" w:color="auto" w:sz="4" w:space="0"/>
            </w:tcBorders>
            <w:vAlign w:val="center"/>
          </w:tcPr>
          <w:p w14:paraId="30CD65A4">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0.5 t/a</w:t>
            </w:r>
          </w:p>
        </w:tc>
        <w:tc>
          <w:tcPr>
            <w:tcW w:w="1359" w:type="dxa"/>
            <w:tcBorders>
              <w:top w:val="single" w:color="auto" w:sz="4" w:space="0"/>
              <w:left w:val="single" w:color="auto" w:sz="4" w:space="0"/>
              <w:bottom w:val="single" w:color="auto" w:sz="4" w:space="0"/>
              <w:right w:val="single" w:color="auto" w:sz="8" w:space="0"/>
            </w:tcBorders>
            <w:vAlign w:val="center"/>
          </w:tcPr>
          <w:p w14:paraId="52C118B9">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0.5 t/a</w:t>
            </w:r>
          </w:p>
        </w:tc>
      </w:tr>
      <w:tr w14:paraId="32D95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88" w:type="dxa"/>
            <w:vMerge w:val="continue"/>
            <w:tcBorders>
              <w:top w:val="single" w:color="auto" w:sz="4" w:space="0"/>
              <w:left w:val="single" w:color="auto" w:sz="8" w:space="0"/>
              <w:bottom w:val="single" w:color="auto" w:sz="4" w:space="0"/>
              <w:right w:val="single" w:color="auto" w:sz="4" w:space="0"/>
            </w:tcBorders>
            <w:vAlign w:val="center"/>
          </w:tcPr>
          <w:p w14:paraId="6ED7FE31">
            <w:pPr>
              <w:widowControl/>
              <w:spacing w:beforeAutospacing="1" w:afterAutospacing="1"/>
              <w:jc w:val="left"/>
              <w:rPr>
                <w:rFonts w:eastAsiaTheme="minorEastAsia"/>
                <w:color w:val="0000FF"/>
                <w:kern w:val="21"/>
              </w:rPr>
            </w:pPr>
          </w:p>
        </w:tc>
        <w:tc>
          <w:tcPr>
            <w:tcW w:w="1583" w:type="dxa"/>
            <w:gridSpan w:val="2"/>
            <w:tcBorders>
              <w:top w:val="single" w:color="auto" w:sz="4" w:space="0"/>
              <w:left w:val="single" w:color="auto" w:sz="4" w:space="0"/>
              <w:bottom w:val="single" w:color="auto" w:sz="8" w:space="0"/>
              <w:right w:val="single" w:color="auto" w:sz="4" w:space="0"/>
            </w:tcBorders>
            <w:vAlign w:val="center"/>
          </w:tcPr>
          <w:p w14:paraId="6F3F9C47">
            <w:pPr>
              <w:pStyle w:val="80"/>
              <w:spacing w:beforeLines="0" w:afterLines="0"/>
              <w:rPr>
                <w:rFonts w:ascii="Times New Roman" w:hAnsi="Times New Roman" w:cs="Times New Roman"/>
                <w:color w:val="0000FF"/>
              </w:rPr>
            </w:pPr>
            <w:r>
              <w:rPr>
                <w:rFonts w:ascii="Times New Roman" w:hAnsi="Times New Roman" w:cs="Times New Roman"/>
                <w:color w:val="0000FF"/>
              </w:rPr>
              <w:t>废油桶</w:t>
            </w:r>
          </w:p>
        </w:tc>
        <w:tc>
          <w:tcPr>
            <w:tcW w:w="1535" w:type="dxa"/>
            <w:tcBorders>
              <w:top w:val="single" w:color="auto" w:sz="4" w:space="0"/>
              <w:left w:val="single" w:color="auto" w:sz="4" w:space="0"/>
              <w:bottom w:val="single" w:color="auto" w:sz="8" w:space="0"/>
              <w:right w:val="single" w:color="auto" w:sz="4" w:space="0"/>
            </w:tcBorders>
            <w:vAlign w:val="center"/>
          </w:tcPr>
          <w:p w14:paraId="765B4102">
            <w:pPr>
              <w:jc w:val="center"/>
              <w:rPr>
                <w:rFonts w:eastAsiaTheme="minorEastAsia"/>
                <w:color w:val="0000FF"/>
                <w:kern w:val="21"/>
              </w:rPr>
            </w:pPr>
            <w:r>
              <w:rPr>
                <w:rFonts w:eastAsiaTheme="minorEastAsia"/>
                <w:color w:val="0000FF"/>
                <w:kern w:val="21"/>
              </w:rPr>
              <w:t>/</w:t>
            </w:r>
          </w:p>
        </w:tc>
        <w:tc>
          <w:tcPr>
            <w:tcW w:w="1276" w:type="dxa"/>
            <w:tcBorders>
              <w:top w:val="single" w:color="auto" w:sz="4" w:space="0"/>
              <w:left w:val="single" w:color="auto" w:sz="4" w:space="0"/>
              <w:bottom w:val="single" w:color="auto" w:sz="8" w:space="0"/>
              <w:right w:val="single" w:color="auto" w:sz="4" w:space="0"/>
            </w:tcBorders>
            <w:vAlign w:val="center"/>
          </w:tcPr>
          <w:p w14:paraId="25D9D540">
            <w:pPr>
              <w:jc w:val="center"/>
              <w:rPr>
                <w:rFonts w:eastAsiaTheme="minorEastAsia"/>
                <w:color w:val="0000FF"/>
                <w:kern w:val="21"/>
              </w:rPr>
            </w:pPr>
            <w:r>
              <w:rPr>
                <w:rFonts w:eastAsiaTheme="minorEastAsia"/>
                <w:color w:val="0000FF"/>
                <w:kern w:val="21"/>
              </w:rPr>
              <w:t>/</w:t>
            </w:r>
          </w:p>
        </w:tc>
        <w:tc>
          <w:tcPr>
            <w:tcW w:w="1701" w:type="dxa"/>
            <w:tcBorders>
              <w:top w:val="single" w:color="auto" w:sz="4" w:space="0"/>
              <w:left w:val="single" w:color="auto" w:sz="4" w:space="0"/>
              <w:bottom w:val="single" w:color="auto" w:sz="8" w:space="0"/>
              <w:right w:val="single" w:color="auto" w:sz="4" w:space="0"/>
            </w:tcBorders>
            <w:vAlign w:val="center"/>
          </w:tcPr>
          <w:p w14:paraId="30D6C4E7">
            <w:pPr>
              <w:jc w:val="center"/>
              <w:rPr>
                <w:rFonts w:eastAsiaTheme="minorEastAsia"/>
                <w:color w:val="0000FF"/>
                <w:kern w:val="21"/>
              </w:rPr>
            </w:pPr>
            <w:r>
              <w:rPr>
                <w:rFonts w:eastAsiaTheme="minorEastAsia"/>
                <w:color w:val="0000FF"/>
                <w:kern w:val="21"/>
              </w:rPr>
              <w:t>/</w:t>
            </w:r>
          </w:p>
        </w:tc>
        <w:tc>
          <w:tcPr>
            <w:tcW w:w="1559" w:type="dxa"/>
            <w:tcBorders>
              <w:top w:val="single" w:color="auto" w:sz="4" w:space="0"/>
              <w:left w:val="single" w:color="auto" w:sz="4" w:space="0"/>
              <w:bottom w:val="single" w:color="auto" w:sz="8" w:space="0"/>
              <w:right w:val="single" w:color="auto" w:sz="4" w:space="0"/>
            </w:tcBorders>
            <w:vAlign w:val="center"/>
          </w:tcPr>
          <w:p w14:paraId="3A4CA4CA">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0.01 t/a</w:t>
            </w:r>
          </w:p>
        </w:tc>
        <w:tc>
          <w:tcPr>
            <w:tcW w:w="1447" w:type="dxa"/>
            <w:tcBorders>
              <w:top w:val="single" w:color="auto" w:sz="4" w:space="0"/>
              <w:left w:val="single" w:color="auto" w:sz="4" w:space="0"/>
              <w:bottom w:val="single" w:color="auto" w:sz="8" w:space="0"/>
              <w:right w:val="single" w:color="auto" w:sz="4" w:space="0"/>
            </w:tcBorders>
            <w:vAlign w:val="center"/>
          </w:tcPr>
          <w:p w14:paraId="295AAF2D">
            <w:pPr>
              <w:jc w:val="center"/>
              <w:rPr>
                <w:rFonts w:eastAsiaTheme="minorEastAsia"/>
                <w:color w:val="0000FF"/>
                <w:kern w:val="21"/>
              </w:rPr>
            </w:pPr>
            <w:r>
              <w:rPr>
                <w:rFonts w:eastAsiaTheme="minorEastAsia"/>
                <w:color w:val="0000FF"/>
                <w:kern w:val="21"/>
              </w:rPr>
              <w:t>/</w:t>
            </w:r>
          </w:p>
        </w:tc>
        <w:tc>
          <w:tcPr>
            <w:tcW w:w="1740" w:type="dxa"/>
            <w:tcBorders>
              <w:top w:val="single" w:color="auto" w:sz="4" w:space="0"/>
              <w:left w:val="single" w:color="auto" w:sz="4" w:space="0"/>
              <w:bottom w:val="single" w:color="auto" w:sz="8" w:space="0"/>
              <w:right w:val="single" w:color="auto" w:sz="4" w:space="0"/>
            </w:tcBorders>
            <w:vAlign w:val="center"/>
          </w:tcPr>
          <w:p w14:paraId="16FF2A5E">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0.01 t/a</w:t>
            </w:r>
          </w:p>
        </w:tc>
        <w:tc>
          <w:tcPr>
            <w:tcW w:w="1359" w:type="dxa"/>
            <w:tcBorders>
              <w:top w:val="single" w:color="auto" w:sz="4" w:space="0"/>
              <w:left w:val="single" w:color="auto" w:sz="4" w:space="0"/>
              <w:bottom w:val="single" w:color="auto" w:sz="8" w:space="0"/>
              <w:right w:val="single" w:color="auto" w:sz="8" w:space="0"/>
            </w:tcBorders>
            <w:vAlign w:val="center"/>
          </w:tcPr>
          <w:p w14:paraId="56090388">
            <w:pPr>
              <w:pStyle w:val="80"/>
              <w:spacing w:beforeLines="0" w:afterLines="0"/>
              <w:rPr>
                <w:rFonts w:ascii="Times New Roman" w:hAnsi="Times New Roman" w:cs="Times New Roman"/>
                <w:color w:val="0000FF"/>
                <w:kern w:val="21"/>
                <w:highlight w:val="yellow"/>
              </w:rPr>
            </w:pPr>
            <w:r>
              <w:rPr>
                <w:rFonts w:ascii="Times New Roman" w:hAnsi="Times New Roman" w:cs="Times New Roman"/>
                <w:color w:val="0000FF"/>
              </w:rPr>
              <w:t>0.01 t/a</w:t>
            </w:r>
          </w:p>
        </w:tc>
      </w:tr>
    </w:tbl>
    <w:p w14:paraId="572F214E">
      <w:pPr>
        <w:pStyle w:val="65"/>
        <w:spacing w:before="156" w:line="240" w:lineRule="auto"/>
        <w:ind w:firstLine="0" w:firstLineChars="0"/>
        <w:jc w:val="center"/>
        <w:rPr>
          <w:color w:val="0000FF"/>
        </w:rPr>
      </w:pPr>
      <w:r>
        <w:rPr>
          <w:color w:val="0000FF"/>
          <w:kern w:val="21"/>
        </w:rPr>
        <w:t>注：</w:t>
      </w:r>
      <w:r>
        <w:rPr>
          <w:rFonts w:hint="eastAsia" w:ascii="宋体" w:hAnsi="宋体" w:cs="宋体"/>
          <w:color w:val="0000FF"/>
        </w:rPr>
        <w:t>⑥</w:t>
      </w:r>
      <w:r>
        <w:rPr>
          <w:color w:val="0000FF"/>
          <w:spacing w:val="-16"/>
          <w:kern w:val="21"/>
        </w:rPr>
        <w:t>=</w:t>
      </w:r>
      <w:r>
        <w:rPr>
          <w:rFonts w:hint="eastAsia" w:ascii="宋体" w:hAnsi="宋体" w:cs="宋体"/>
          <w:color w:val="0000FF"/>
        </w:rPr>
        <w:t>①</w:t>
      </w:r>
      <w:r>
        <w:rPr>
          <w:color w:val="0000FF"/>
          <w:spacing w:val="-6"/>
          <w:kern w:val="21"/>
        </w:rPr>
        <w:t>+</w:t>
      </w:r>
      <w:r>
        <w:rPr>
          <w:rFonts w:hint="eastAsia" w:ascii="宋体" w:hAnsi="宋体" w:cs="宋体"/>
          <w:color w:val="0000FF"/>
        </w:rPr>
        <w:t>③</w:t>
      </w:r>
      <w:r>
        <w:rPr>
          <w:color w:val="0000FF"/>
          <w:spacing w:val="-6"/>
          <w:kern w:val="21"/>
        </w:rPr>
        <w:t>+</w:t>
      </w:r>
      <w:r>
        <w:rPr>
          <w:rFonts w:hint="eastAsia" w:ascii="宋体" w:hAnsi="宋体" w:cs="宋体"/>
          <w:color w:val="0000FF"/>
        </w:rPr>
        <w:t>④</w:t>
      </w:r>
      <w:r>
        <w:rPr>
          <w:color w:val="0000FF"/>
          <w:spacing w:val="-6"/>
          <w:kern w:val="21"/>
        </w:rPr>
        <w:t>-</w:t>
      </w:r>
      <w:r>
        <w:rPr>
          <w:rFonts w:hint="eastAsia" w:ascii="宋体" w:hAnsi="宋体" w:cs="宋体"/>
          <w:color w:val="0000FF"/>
        </w:rPr>
        <w:t>⑤</w:t>
      </w:r>
      <w:r>
        <w:rPr>
          <w:color w:val="0000FF"/>
          <w:spacing w:val="-16"/>
          <w:kern w:val="21"/>
        </w:rPr>
        <w:t>；</w:t>
      </w:r>
      <w:r>
        <w:rPr>
          <w:rFonts w:hint="eastAsia" w:ascii="宋体" w:hAnsi="宋体" w:cs="宋体"/>
          <w:color w:val="0000FF"/>
        </w:rPr>
        <w:t>⑦</w:t>
      </w:r>
      <w:r>
        <w:rPr>
          <w:color w:val="0000FF"/>
          <w:spacing w:val="-6"/>
          <w:kern w:val="21"/>
        </w:rPr>
        <w:t>=</w:t>
      </w:r>
      <w:r>
        <w:rPr>
          <w:rFonts w:hint="eastAsia" w:ascii="宋体" w:hAnsi="宋体" w:cs="宋体"/>
          <w:color w:val="0000FF"/>
        </w:rPr>
        <w:t>⑥</w:t>
      </w:r>
      <w:r>
        <w:rPr>
          <w:color w:val="0000FF"/>
          <w:spacing w:val="-16"/>
          <w:kern w:val="21"/>
        </w:rPr>
        <w:t>-</w:t>
      </w:r>
      <w:r>
        <w:rPr>
          <w:rFonts w:hint="eastAsia" w:ascii="宋体" w:hAnsi="宋体" w:cs="宋体"/>
          <w:color w:val="0000FF"/>
        </w:rPr>
        <w:t>①</w:t>
      </w:r>
    </w:p>
    <w:p w14:paraId="43405204">
      <w:pPr>
        <w:pStyle w:val="65"/>
        <w:spacing w:line="240" w:lineRule="auto"/>
        <w:ind w:firstLine="480"/>
        <w:jc w:val="center"/>
        <w:rPr>
          <w:color w:val="000000" w:themeColor="text1"/>
          <w14:textFill>
            <w14:solidFill>
              <w14:schemeClr w14:val="tx1"/>
            </w14:solidFill>
          </w14:textFill>
        </w:rPr>
        <w:sectPr>
          <w:footerReference r:id="rId4" w:type="default"/>
          <w:pgSz w:w="16838" w:h="11906" w:orient="landscape"/>
          <w:pgMar w:top="1800" w:right="1440" w:bottom="1800" w:left="1440" w:header="851" w:footer="992" w:gutter="0"/>
          <w:cols w:space="425" w:num="1"/>
          <w:docGrid w:type="lines" w:linePitch="312" w:charSpace="0"/>
        </w:sectPr>
      </w:pPr>
    </w:p>
    <w:p w14:paraId="159736ED">
      <w:pPr>
        <w:pStyle w:val="65"/>
        <w:spacing w:line="240" w:lineRule="auto"/>
        <w:ind w:firstLine="480"/>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7326630</wp:posOffset>
            </wp:positionH>
            <wp:positionV relativeFrom="paragraph">
              <wp:posOffset>32385</wp:posOffset>
            </wp:positionV>
            <wp:extent cx="548640" cy="804545"/>
            <wp:effectExtent l="0" t="0" r="3810" b="0"/>
            <wp:wrapNone/>
            <wp:docPr id="118995560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55604" name="图片 27"/>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50792" cy="807196"/>
                    </a:xfrm>
                    <a:prstGeom prst="rect">
                      <a:avLst/>
                    </a:prstGeom>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5248275</wp:posOffset>
                </wp:positionH>
                <wp:positionV relativeFrom="paragraph">
                  <wp:posOffset>228600</wp:posOffset>
                </wp:positionV>
                <wp:extent cx="1011555" cy="492760"/>
                <wp:effectExtent l="19050" t="19050" r="36830" b="727075"/>
                <wp:wrapNone/>
                <wp:docPr id="702726994" name="对话气泡: 椭圆形 28"/>
                <wp:cNvGraphicFramePr/>
                <a:graphic xmlns:a="http://schemas.openxmlformats.org/drawingml/2006/main">
                  <a:graphicData uri="http://schemas.microsoft.com/office/word/2010/wordprocessingShape">
                    <wps:wsp>
                      <wps:cNvSpPr/>
                      <wps:spPr>
                        <a:xfrm>
                          <a:off x="0" y="0"/>
                          <a:ext cx="1011555" cy="492760"/>
                        </a:xfrm>
                        <a:prstGeom prst="wedgeEllipseCallout">
                          <a:avLst>
                            <a:gd name="adj1" fmla="val -15385"/>
                            <a:gd name="adj2" fmla="val 192149"/>
                          </a:avLst>
                        </a:prstGeom>
                      </wps:spPr>
                      <wps:style>
                        <a:lnRef idx="2">
                          <a:schemeClr val="dk1"/>
                        </a:lnRef>
                        <a:fillRef idx="1">
                          <a:schemeClr val="lt1"/>
                        </a:fillRef>
                        <a:effectRef idx="0">
                          <a:schemeClr val="dk1"/>
                        </a:effectRef>
                        <a:fontRef idx="minor">
                          <a:schemeClr val="dk1"/>
                        </a:fontRef>
                      </wps:style>
                      <wps:txbx>
                        <w:txbxContent>
                          <w:p w14:paraId="39F054A8"/>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椭圆形 28" o:spid="_x0000_s1026" o:spt="63" type="#_x0000_t63" style="position:absolute;left:0pt;margin-left:413.25pt;margin-top:18pt;height:38.8pt;width:79.65pt;z-index:251662336;v-text-anchor:middle;mso-width-relative:page;mso-height-relative:page;" fillcolor="#FFFFFF [3201]" filled="t" stroked="t" coordsize="21600,21600" o:gfxdata="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AMoBSu2gAAAAoBAAAPAAAA&#10;AAAAAAEAIAAAACIAAABkcnMvZG93bnJldi54bWxQSwECFAAUAAAACACHTuJAaG5ACb4CAABkBQAA&#10;DgAAAAAAAAABACAAAAApAQAAZHJzL2Uyb0RvYy54bWxQSwUGAAAAAAYABgBZAQAAWQYAAAAA&#10;" adj="7477,52304">
                <v:fill on="t" focussize="0,0"/>
                <v:stroke weight="2pt" color="#000000 [3200]" joinstyle="round"/>
                <v:imagedata o:title=""/>
                <o:lock v:ext="edit" aspectratio="f"/>
                <v:textbox>
                  <w:txbxContent>
                    <w:p w14:paraId="39F054A8"/>
                  </w:txbxContent>
                </v:textbox>
              </v:shape>
            </w:pict>
          </mc:Fallback>
        </mc:AlternateContent>
      </w:r>
      <w:r>
        <w:rPr>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3981450</wp:posOffset>
            </wp:positionH>
            <wp:positionV relativeFrom="paragraph">
              <wp:posOffset>9525</wp:posOffset>
            </wp:positionV>
            <wp:extent cx="3295650" cy="2466975"/>
            <wp:effectExtent l="0" t="0" r="0" b="9525"/>
            <wp:wrapNone/>
            <wp:docPr id="170673847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38479" name="图片 2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295650" cy="2466975"/>
                    </a:xfrm>
                    <a:prstGeom prst="rect">
                      <a:avLst/>
                    </a:prstGeom>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4695825</wp:posOffset>
                </wp:positionH>
                <wp:positionV relativeFrom="paragraph">
                  <wp:posOffset>2495550</wp:posOffset>
                </wp:positionV>
                <wp:extent cx="923925" cy="1314450"/>
                <wp:effectExtent l="19050" t="38100" r="47625" b="19050"/>
                <wp:wrapNone/>
                <wp:docPr id="1954242891" name="直接箭头连接符 30"/>
                <wp:cNvGraphicFramePr/>
                <a:graphic xmlns:a="http://schemas.openxmlformats.org/drawingml/2006/main">
                  <a:graphicData uri="http://schemas.microsoft.com/office/word/2010/wordprocessingShape">
                    <wps:wsp>
                      <wps:cNvCnPr/>
                      <wps:spPr>
                        <a:xfrm flipV="1">
                          <a:off x="0" y="0"/>
                          <a:ext cx="923925" cy="1314450"/>
                        </a:xfrm>
                        <a:prstGeom prst="straightConnector1">
                          <a:avLst/>
                        </a:prstGeom>
                        <a:ln w="28575">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30" o:spid="_x0000_s1026" o:spt="32" type="#_x0000_t32" style="position:absolute;left:0pt;flip:y;margin-left:369.75pt;margin-top:196.5pt;height:103.5pt;width:72.75pt;z-index:251660288;mso-width-relative:page;mso-height-relative:page;" filled="f" stroked="t" coordsize="21600,21600" o:gfxdata="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vvbGDbAAAACwEAAA8AAAAA&#10;AAAAAQAgAAAAIgAAAGRycy9kb3ducmV2LnhtbFBLAQIUABQAAAAIAIdO4kD6gLzyEQIAAOQDAAAO&#10;AAAAAAAAAAEAIAAAACoBAABkcnMvZTJvRG9jLnhtbFBLBQYAAAAABgAGAFkBAACtBQAAAAA=&#10;">
                <v:fill on="f" focussize="0,0"/>
                <v:stroke weight="2.25pt" color="#FF0000 [3200]" joinstyle="round" endarrow="block"/>
                <v:imagedata o:title=""/>
                <o:lock v:ext="edit" aspectratio="f"/>
              </v:shape>
            </w:pict>
          </mc:Fallback>
        </mc:AlternateContent>
      </w:r>
      <w:r>
        <w:rPr>
          <w:color w:val="000000" w:themeColor="text1"/>
          <w:kern w:val="0"/>
          <w14:textFill>
            <w14:solidFill>
              <w14:schemeClr w14:val="tx1"/>
            </w14:solidFill>
          </w14:textFill>
        </w:rPr>
        <w:drawing>
          <wp:anchor distT="0" distB="0" distL="114300" distR="114300" simplePos="0" relativeHeight="251659264" behindDoc="0" locked="0" layoutInCell="1" allowOverlap="1">
            <wp:simplePos x="0" y="0"/>
            <wp:positionH relativeFrom="margin">
              <wp:posOffset>2628900</wp:posOffset>
            </wp:positionH>
            <wp:positionV relativeFrom="paragraph">
              <wp:posOffset>4867275</wp:posOffset>
            </wp:positionV>
            <wp:extent cx="4086225" cy="495300"/>
            <wp:effectExtent l="0" t="0" r="0" b="0"/>
            <wp:wrapNone/>
            <wp:docPr id="168505057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0570" name="图片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086225" cy="495300"/>
                    </a:xfrm>
                    <a:prstGeom prst="rect">
                      <a:avLst/>
                    </a:prstGeom>
                    <a:noFill/>
                    <a:ln>
                      <a:noFill/>
                    </a:ln>
                  </pic:spPr>
                </pic:pic>
              </a:graphicData>
            </a:graphic>
          </wp:anchor>
        </w:drawing>
      </w:r>
      <w:r>
        <w:rPr>
          <w:color w:val="000000" w:themeColor="text1"/>
          <w14:textFill>
            <w14:solidFill>
              <w14:schemeClr w14:val="tx1"/>
            </w14:solidFill>
          </w14:textFill>
        </w:rPr>
        <w:drawing>
          <wp:inline distT="0" distB="0" distL="0" distR="0">
            <wp:extent cx="6560820" cy="4943475"/>
            <wp:effectExtent l="19050" t="19050" r="11430" b="9525"/>
            <wp:docPr id="38369009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90098" name="图片 32"/>
                    <pic:cNvPicPr>
                      <a:picLocks noChangeAspect="1" noChangeArrowheads="1"/>
                    </pic:cNvPicPr>
                  </pic:nvPicPr>
                  <pic:blipFill>
                    <a:blip r:embed="rId32" cstate="print">
                      <a:extLst>
                        <a:ext uri="{28A0092B-C50C-407E-A947-70E740481C1C}">
                          <a14:useLocalDpi xmlns:a14="http://schemas.microsoft.com/office/drawing/2010/main" val="0"/>
                        </a:ext>
                      </a:extLst>
                    </a:blip>
                    <a:srcRect l="4432" t="5595" r="5123" b="5595"/>
                    <a:stretch>
                      <a:fillRect/>
                    </a:stretch>
                  </pic:blipFill>
                  <pic:spPr>
                    <a:xfrm>
                      <a:off x="0" y="0"/>
                      <a:ext cx="6564994" cy="4946366"/>
                    </a:xfrm>
                    <a:prstGeom prst="rect">
                      <a:avLst/>
                    </a:prstGeom>
                    <a:noFill/>
                    <a:ln>
                      <a:solidFill>
                        <a:schemeClr val="tx1"/>
                      </a:solidFill>
                    </a:ln>
                  </pic:spPr>
                </pic:pic>
              </a:graphicData>
            </a:graphic>
          </wp:inline>
        </w:drawing>
      </w:r>
    </w:p>
    <w:p w14:paraId="6522E2E9">
      <w:pPr>
        <w:pStyle w:val="65"/>
        <w:ind w:firstLine="480"/>
        <w:rPr>
          <w:color w:val="000000" w:themeColor="text1"/>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0667E30F">
      <w:pPr>
        <w:pStyle w:val="65"/>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8480" behindDoc="0" locked="0" layoutInCell="1" allowOverlap="1">
            <wp:simplePos x="0" y="0"/>
            <wp:positionH relativeFrom="column">
              <wp:posOffset>4532630</wp:posOffset>
            </wp:positionH>
            <wp:positionV relativeFrom="paragraph">
              <wp:posOffset>59055</wp:posOffset>
            </wp:positionV>
            <wp:extent cx="653415" cy="956945"/>
            <wp:effectExtent l="0" t="0" r="0" b="0"/>
            <wp:wrapNone/>
            <wp:docPr id="121217972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79720" name="图片 3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653142" cy="957191"/>
                    </a:xfrm>
                    <a:prstGeom prst="rect">
                      <a:avLst/>
                    </a:prstGeom>
                  </pic:spPr>
                </pic:pic>
              </a:graphicData>
            </a:graphic>
          </wp:anchor>
        </w:drawing>
      </w:r>
      <w:r>
        <w:rPr>
          <w:color w:val="000000" w:themeColor="text1"/>
          <w:kern w:val="0"/>
          <w14:textFill>
            <w14:solidFill>
              <w14:schemeClr w14:val="tx1"/>
            </w14:solidFill>
          </w14:textFill>
        </w:rPr>
        <w:drawing>
          <wp:anchor distT="0" distB="0" distL="114300" distR="114300" simplePos="0" relativeHeight="251664384" behindDoc="0" locked="0" layoutInCell="1" allowOverlap="1">
            <wp:simplePos x="0" y="0"/>
            <wp:positionH relativeFrom="margin">
              <wp:posOffset>485775</wp:posOffset>
            </wp:positionH>
            <wp:positionV relativeFrom="paragraph">
              <wp:posOffset>6788785</wp:posOffset>
            </wp:positionV>
            <wp:extent cx="4083050" cy="499745"/>
            <wp:effectExtent l="0" t="0" r="0" b="0"/>
            <wp:wrapNone/>
            <wp:docPr id="9038310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107" name="图片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083050" cy="499745"/>
                    </a:xfrm>
                    <a:prstGeom prst="rect">
                      <a:avLst/>
                    </a:prstGeom>
                    <a:noFill/>
                    <a:ln>
                      <a:noFill/>
                    </a:ln>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1581150</wp:posOffset>
                </wp:positionH>
                <wp:positionV relativeFrom="paragraph">
                  <wp:posOffset>4791075</wp:posOffset>
                </wp:positionV>
                <wp:extent cx="1011555" cy="492760"/>
                <wp:effectExtent l="19050" t="19050" r="36830" b="727075"/>
                <wp:wrapNone/>
                <wp:docPr id="2047633675" name="对话气泡: 椭圆形 35"/>
                <wp:cNvGraphicFramePr/>
                <a:graphic xmlns:a="http://schemas.openxmlformats.org/drawingml/2006/main">
                  <a:graphicData uri="http://schemas.microsoft.com/office/word/2010/wordprocessingShape">
                    <wps:wsp>
                      <wps:cNvSpPr/>
                      <wps:spPr>
                        <a:xfrm>
                          <a:off x="0" y="0"/>
                          <a:ext cx="1011555" cy="492760"/>
                        </a:xfrm>
                        <a:prstGeom prst="wedgeEllipseCallout">
                          <a:avLst>
                            <a:gd name="adj1" fmla="val -15385"/>
                            <a:gd name="adj2" fmla="val 192149"/>
                          </a:avLst>
                        </a:prstGeom>
                      </wps:spPr>
                      <wps:style>
                        <a:lnRef idx="2">
                          <a:schemeClr val="dk1"/>
                        </a:lnRef>
                        <a:fillRef idx="1">
                          <a:schemeClr val="lt1"/>
                        </a:fillRef>
                        <a:effectRef idx="0">
                          <a:schemeClr val="dk1"/>
                        </a:effectRef>
                        <a:fontRef idx="minor">
                          <a:schemeClr val="dk1"/>
                        </a:fontRef>
                      </wps:style>
                      <wps:txbx>
                        <w:txbxContent>
                          <w:p w14:paraId="328D3639"/>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椭圆形 35" o:spid="_x0000_s1026" o:spt="63" type="#_x0000_t63" style="position:absolute;left:0pt;margin-left:124.5pt;margin-top:377.25pt;height:38.8pt;width:79.65pt;z-index:251663360;v-text-anchor:middle;mso-width-relative:page;mso-height-relative:page;" fillcolor="#FFFFFF [3201]" filled="t" stroked="t" coordsize="21600,21600" o:gfxdata="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APULFXdAAAACwEA&#10;AA8AAAAAAAAAAQAgAAAAIgAAAGRycy9kb3ducmV2LnhtbFBLAQIUABQAAAAIAIdO4kBmXnGGwAIA&#10;AGUFAAAOAAAAAAAAAAEAIAAAACwBAABkcnMvZTJvRG9jLnhtbFBLBQYAAAAABgAGAFkBAABeBgAA&#10;AAA=&#10;" adj="7477,52304">
                <v:fill on="t" focussize="0,0"/>
                <v:stroke weight="2pt" color="#000000 [3200]" joinstyle="round"/>
                <v:imagedata o:title=""/>
                <o:lock v:ext="edit" aspectratio="f"/>
                <v:textbox>
                  <w:txbxContent>
                    <w:p w14:paraId="328D3639"/>
                  </w:txbxContent>
                </v:textbox>
              </v:shape>
            </w:pict>
          </mc:Fallback>
        </mc:AlternateContent>
      </w:r>
      <w:r>
        <w:rPr>
          <w:color w:val="000000" w:themeColor="text1"/>
          <w14:textFill>
            <w14:solidFill>
              <w14:schemeClr w14:val="tx1"/>
            </w14:solidFill>
          </w14:textFill>
        </w:rPr>
        <w:drawing>
          <wp:inline distT="0" distB="0" distL="0" distR="0">
            <wp:extent cx="5071110" cy="6793865"/>
            <wp:effectExtent l="19050" t="19050" r="15240" b="26035"/>
            <wp:docPr id="27671952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19520" name="图片 36"/>
                    <pic:cNvPicPr>
                      <a:picLocks noChangeAspect="1" noChangeArrowheads="1"/>
                    </pic:cNvPicPr>
                  </pic:nvPicPr>
                  <pic:blipFill>
                    <a:blip r:embed="rId34" cstate="print">
                      <a:extLst>
                        <a:ext uri="{28A0092B-C50C-407E-A947-70E740481C1C}">
                          <a14:useLocalDpi xmlns:a14="http://schemas.microsoft.com/office/drawing/2010/main" val="0"/>
                        </a:ext>
                      </a:extLst>
                    </a:blip>
                    <a:srcRect l="6136" t="9421" r="49693" b="9570"/>
                    <a:stretch>
                      <a:fillRect/>
                    </a:stretch>
                  </pic:blipFill>
                  <pic:spPr>
                    <a:xfrm>
                      <a:off x="0" y="0"/>
                      <a:ext cx="5083599" cy="6810680"/>
                    </a:xfrm>
                    <a:prstGeom prst="rect">
                      <a:avLst/>
                    </a:prstGeom>
                    <a:noFill/>
                    <a:ln>
                      <a:solidFill>
                        <a:schemeClr val="tx1"/>
                      </a:solidFill>
                    </a:ln>
                  </pic:spPr>
                </pic:pic>
              </a:graphicData>
            </a:graphic>
          </wp:inline>
        </w:drawing>
      </w:r>
    </w:p>
    <w:p w14:paraId="5A7E64D4">
      <w:pPr>
        <w:pStyle w:val="65"/>
        <w:spacing w:line="240" w:lineRule="auto"/>
        <w:ind w:firstLine="480"/>
        <w:rPr>
          <w:color w:val="000000" w:themeColor="text1"/>
          <w14:textFill>
            <w14:solidFill>
              <w14:schemeClr w14:val="tx1"/>
            </w14:solidFill>
          </w14:textFill>
        </w:rPr>
      </w:pPr>
    </w:p>
    <w:p w14:paraId="3DEF0390">
      <w:pPr>
        <w:pStyle w:val="65"/>
        <w:spacing w:line="240" w:lineRule="auto"/>
        <w:ind w:firstLine="480"/>
        <w:rPr>
          <w:color w:val="000000" w:themeColor="text1"/>
          <w14:textFill>
            <w14:solidFill>
              <w14:schemeClr w14:val="tx1"/>
            </w14:solidFill>
          </w14:textFill>
        </w:rPr>
      </w:pPr>
    </w:p>
    <w:p w14:paraId="15689065">
      <w:pPr>
        <w:pStyle w:val="65"/>
        <w:spacing w:line="240" w:lineRule="auto"/>
        <w:ind w:firstLine="480"/>
        <w:rPr>
          <w:color w:val="000000" w:themeColor="text1"/>
          <w14:textFill>
            <w14:solidFill>
              <w14:schemeClr w14:val="tx1"/>
            </w14:solidFill>
          </w14:textFill>
        </w:rPr>
      </w:pPr>
    </w:p>
    <w:p w14:paraId="67782770">
      <w:pPr>
        <w:pStyle w:val="65"/>
        <w:spacing w:line="240" w:lineRule="auto"/>
        <w:ind w:firstLine="480"/>
        <w:rPr>
          <w:color w:val="000000" w:themeColor="text1"/>
          <w14:textFill>
            <w14:solidFill>
              <w14:schemeClr w14:val="tx1"/>
            </w14:solidFill>
          </w14:textFill>
        </w:rPr>
      </w:pPr>
    </w:p>
    <w:p w14:paraId="078DEF19">
      <w:pPr>
        <w:pStyle w:val="65"/>
        <w:spacing w:line="240" w:lineRule="auto"/>
        <w:ind w:firstLine="480"/>
        <w:rPr>
          <w:color w:val="000000" w:themeColor="text1"/>
          <w14:textFill>
            <w14:solidFill>
              <w14:schemeClr w14:val="tx1"/>
            </w14:solidFill>
          </w14:textFill>
        </w:rPr>
      </w:pPr>
    </w:p>
    <w:p w14:paraId="6B1A4BC6">
      <w:pPr>
        <w:pStyle w:val="65"/>
        <w:spacing w:line="240" w:lineRule="auto"/>
        <w:ind w:firstLine="480"/>
        <w:rPr>
          <w:color w:val="000000" w:themeColor="text1"/>
          <w14:textFill>
            <w14:solidFill>
              <w14:schemeClr w14:val="tx1"/>
            </w14:solidFill>
          </w14:textFill>
        </w:rPr>
      </w:pPr>
    </w:p>
    <w:p w14:paraId="6AD9E5E2">
      <w:pPr>
        <w:pStyle w:val="65"/>
        <w:spacing w:line="240" w:lineRule="auto"/>
        <w:ind w:firstLine="480"/>
        <w:rPr>
          <w:color w:val="000000" w:themeColor="text1"/>
          <w14:textFill>
            <w14:solidFill>
              <w14:schemeClr w14:val="tx1"/>
            </w14:solidFill>
          </w14:textFill>
        </w:rPr>
      </w:pPr>
    </w:p>
    <w:p w14:paraId="44551227">
      <w:pPr>
        <w:pStyle w:val="65"/>
        <w:spacing w:line="240" w:lineRule="auto"/>
        <w:ind w:firstLine="480"/>
        <w:rPr>
          <w:color w:val="000000" w:themeColor="text1"/>
          <w14:textFill>
            <w14:solidFill>
              <w14:schemeClr w14:val="tx1"/>
            </w14:solidFill>
          </w14:textFill>
        </w:rPr>
      </w:pPr>
    </w:p>
    <w:p w14:paraId="0EA6302C">
      <w:pPr>
        <w:pStyle w:val="65"/>
        <w:spacing w:line="240" w:lineRule="auto"/>
        <w:ind w:firstLine="480"/>
        <w:rPr>
          <w:color w:val="000000" w:themeColor="text1"/>
          <w14:textFill>
            <w14:solidFill>
              <w14:schemeClr w14:val="tx1"/>
            </w14:solidFill>
          </w14:textFill>
        </w:rPr>
      </w:pPr>
    </w:p>
    <w:p w14:paraId="1892BED6">
      <w:pPr>
        <w:pStyle w:val="65"/>
        <w:spacing w:line="240" w:lineRule="auto"/>
        <w:ind w:firstLine="480"/>
        <w:rPr>
          <w:color w:val="000000" w:themeColor="text1"/>
          <w14:textFill>
            <w14:solidFill>
              <w14:schemeClr w14:val="tx1"/>
            </w14:solidFill>
          </w14:textFill>
        </w:rPr>
      </w:pPr>
    </w:p>
    <w:p w14:paraId="50AFC9B8">
      <w:pPr>
        <w:pStyle w:val="65"/>
        <w:spacing w:line="240" w:lineRule="auto"/>
        <w:ind w:firstLine="480"/>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2DA779B">
      <w:pPr>
        <w:pStyle w:val="65"/>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9504" behindDoc="0" locked="0" layoutInCell="1" allowOverlap="1">
            <wp:simplePos x="0" y="0"/>
            <wp:positionH relativeFrom="column">
              <wp:posOffset>1675130</wp:posOffset>
            </wp:positionH>
            <wp:positionV relativeFrom="paragraph">
              <wp:posOffset>812800</wp:posOffset>
            </wp:positionV>
            <wp:extent cx="2112010" cy="1697990"/>
            <wp:effectExtent l="0" t="0" r="3175" b="0"/>
            <wp:wrapNone/>
            <wp:docPr id="143183398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33986" name="图片 3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112010" cy="1697990"/>
                    </a:xfrm>
                    <a:prstGeom prst="rect">
                      <a:avLst/>
                    </a:prstGeom>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1490980</wp:posOffset>
                </wp:positionH>
                <wp:positionV relativeFrom="paragraph">
                  <wp:posOffset>684530</wp:posOffset>
                </wp:positionV>
                <wp:extent cx="2519680" cy="2061845"/>
                <wp:effectExtent l="0" t="0" r="223520" b="1290955"/>
                <wp:wrapNone/>
                <wp:docPr id="1853771620" name="对话气泡: 圆角矩形 37"/>
                <wp:cNvGraphicFramePr/>
                <a:graphic xmlns:a="http://schemas.openxmlformats.org/drawingml/2006/main">
                  <a:graphicData uri="http://schemas.microsoft.com/office/word/2010/wordprocessingShape">
                    <wps:wsp>
                      <wps:cNvSpPr/>
                      <wps:spPr>
                        <a:xfrm>
                          <a:off x="0" y="0"/>
                          <a:ext cx="2519680" cy="2061845"/>
                        </a:xfrm>
                        <a:prstGeom prst="wedgeRoundRectCallout">
                          <a:avLst>
                            <a:gd name="adj1" fmla="val 57889"/>
                            <a:gd name="adj2" fmla="val 111530"/>
                            <a:gd name="adj3" fmla="val 16667"/>
                          </a:avLst>
                        </a:prstGeom>
                      </wps:spPr>
                      <wps:style>
                        <a:lnRef idx="2">
                          <a:schemeClr val="dk1"/>
                        </a:lnRef>
                        <a:fillRef idx="1">
                          <a:schemeClr val="lt1"/>
                        </a:fillRef>
                        <a:effectRef idx="0">
                          <a:schemeClr val="dk1"/>
                        </a:effectRef>
                        <a:fontRef idx="minor">
                          <a:schemeClr val="dk1"/>
                        </a:fontRef>
                      </wps:style>
                      <wps:txbx>
                        <w:txbxContent>
                          <w:p w14:paraId="57D6250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7" o:spid="_x0000_s1026" o:spt="62" type="#_x0000_t62" style="position:absolute;left:0pt;margin-left:117.4pt;margin-top:53.9pt;height:162.35pt;width:198.4pt;z-index:251666432;v-text-anchor:middle;mso-width-relative:page;mso-height-relative:page;" fillcolor="#FFFFFF [3201]" filled="t" stroked="t" coordsize="21600,21600" o:gfxdata="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uvLWm2wAAAAsBAAAPAAAAAAAAAAEAIAAAACIAAABkcnMvZG93bnJldi54bWxQSwECFAAUAAAA&#10;CACHTuJAl1LBOc8CAACOBQAADgAAAAAAAAABACAAAAAqAQAAZHJzL2Uyb0RvYy54bWxQSwUGAAAA&#10;AAYABgBZAQAAawYAAAAA&#10;" adj="23304,34890,14400">
                <v:fill on="t" focussize="0,0"/>
                <v:stroke weight="2pt" color="#000000 [3200]" joinstyle="round"/>
                <v:imagedata o:title=""/>
                <o:lock v:ext="edit" aspectratio="f"/>
                <v:textbox>
                  <w:txbxContent>
                    <w:p w14:paraId="57D6250D">
                      <w:pPr>
                        <w:jc w:val="center"/>
                      </w:pPr>
                    </w:p>
                  </w:txbxContent>
                </v:textbox>
              </v:shape>
            </w:pict>
          </mc:Fallback>
        </mc:AlternateContent>
      </w:r>
      <w:r>
        <w:rPr>
          <w:color w:val="000000" w:themeColor="text1"/>
          <w:kern w:val="0"/>
          <w14:textFill>
            <w14:solidFill>
              <w14:schemeClr w14:val="tx1"/>
            </w14:solidFill>
          </w14:textFill>
        </w:rPr>
        <w:drawing>
          <wp:anchor distT="0" distB="0" distL="114300" distR="114300" simplePos="0" relativeHeight="251665408" behindDoc="0" locked="0" layoutInCell="1" allowOverlap="1">
            <wp:simplePos x="0" y="0"/>
            <wp:positionH relativeFrom="column">
              <wp:posOffset>1628775</wp:posOffset>
            </wp:positionH>
            <wp:positionV relativeFrom="paragraph">
              <wp:posOffset>5086350</wp:posOffset>
            </wp:positionV>
            <wp:extent cx="4518660" cy="499745"/>
            <wp:effectExtent l="0" t="0" r="0" b="0"/>
            <wp:wrapNone/>
            <wp:docPr id="124164504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45041" name="图片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518660" cy="499745"/>
                    </a:xfrm>
                    <a:prstGeom prst="rect">
                      <a:avLst/>
                    </a:prstGeom>
                    <a:noFill/>
                    <a:ln>
                      <a:noFill/>
                    </a:ln>
                  </pic:spPr>
                </pic:pic>
              </a:graphicData>
            </a:graphic>
          </wp:anchor>
        </w:drawing>
      </w:r>
      <w:r>
        <w:rPr>
          <w:color w:val="000000" w:themeColor="text1"/>
          <w14:textFill>
            <w14:solidFill>
              <w14:schemeClr w14:val="tx1"/>
            </w14:solidFill>
          </w14:textFill>
        </w:rPr>
        <w:drawing>
          <wp:inline distT="0" distB="0" distL="0" distR="0">
            <wp:extent cx="7453630" cy="5273675"/>
            <wp:effectExtent l="0" t="0" r="0" b="3175"/>
            <wp:docPr id="16516646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4640" name="图片 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7453630" cy="5273675"/>
                    </a:xfrm>
                    <a:prstGeom prst="rect">
                      <a:avLst/>
                    </a:prstGeom>
                    <a:noFill/>
                    <a:ln>
                      <a:noFill/>
                    </a:ln>
                  </pic:spPr>
                </pic:pic>
              </a:graphicData>
            </a:graphic>
          </wp:inline>
        </w:drawing>
      </w:r>
    </w:p>
    <w:p w14:paraId="122B2E08">
      <w:pPr>
        <w:pStyle w:val="65"/>
        <w:spacing w:line="240" w:lineRule="auto"/>
        <w:ind w:firstLine="0" w:firstLineChars="0"/>
        <w:rPr>
          <w:color w:val="000000" w:themeColor="text1"/>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1D91AFA5">
      <w:pPr>
        <w:pStyle w:val="65"/>
        <w:spacing w:line="240" w:lineRule="auto"/>
        <w:ind w:firstLine="0" w:firstLineChars="0"/>
        <w:jc w:val="center"/>
        <w:rPr>
          <w:b/>
          <w:bCs/>
          <w:color w:val="000000" w:themeColor="text1"/>
          <w:sz w:val="32"/>
          <w14:textFill>
            <w14:solidFill>
              <w14:schemeClr w14:val="tx1"/>
            </w14:solidFill>
          </w14:textFill>
        </w:rPr>
      </w:pPr>
      <w:r>
        <w:rPr>
          <w:color w:val="000000" w:themeColor="text1"/>
          <w:kern w:val="0"/>
          <w14:textFill>
            <w14:solidFill>
              <w14:schemeClr w14:val="tx1"/>
            </w14:solidFill>
          </w14:textFill>
        </w:rPr>
        <w:drawing>
          <wp:inline distT="0" distB="0" distL="0" distR="0">
            <wp:extent cx="8463280" cy="5006340"/>
            <wp:effectExtent l="0" t="0" r="0" b="38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472673" cy="5011790"/>
                    </a:xfrm>
                    <a:prstGeom prst="rect">
                      <a:avLst/>
                    </a:prstGeom>
                    <a:noFill/>
                    <a:ln>
                      <a:noFill/>
                    </a:ln>
                  </pic:spPr>
                </pic:pic>
              </a:graphicData>
            </a:graphic>
          </wp:inline>
        </w:drawing>
      </w:r>
    </w:p>
    <w:p w14:paraId="790C0309">
      <w:pPr>
        <w:pStyle w:val="50"/>
        <w:rPr>
          <w:sz w:val="32"/>
          <w:szCs w:val="32"/>
        </w:rPr>
      </w:pPr>
      <w:r>
        <w:rPr>
          <w:sz w:val="32"/>
          <w:szCs w:val="32"/>
        </w:rPr>
        <w:t>附图四 项目调查范围及调查范围内环境保护目标图</w:t>
      </w:r>
    </w:p>
    <w:p w14:paraId="5CDD7604">
      <w:pPr>
        <w:pStyle w:val="65"/>
        <w:spacing w:line="240" w:lineRule="auto"/>
        <w:ind w:firstLine="0" w:firstLineChars="0"/>
        <w:jc w:val="center"/>
        <w:rPr>
          <w:b/>
          <w:bCs/>
          <w:color w:val="000000" w:themeColor="text1"/>
          <w:sz w:val="32"/>
          <w14:textFill>
            <w14:solidFill>
              <w14:schemeClr w14:val="tx1"/>
            </w14:solidFill>
          </w14:textFill>
        </w:rPr>
      </w:pPr>
      <w:r>
        <w:rPr>
          <w:b/>
          <w:bCs/>
          <w:color w:val="000000" w:themeColor="text1"/>
          <w:sz w:val="32"/>
          <w14:textFill>
            <w14:solidFill>
              <w14:schemeClr w14:val="tx1"/>
            </w14:solidFill>
          </w14:textFill>
        </w:rPr>
        <w:drawing>
          <wp:inline distT="0" distB="0" distL="0" distR="0">
            <wp:extent cx="8459470" cy="500316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8474603" cy="5012072"/>
                    </a:xfrm>
                    <a:prstGeom prst="rect">
                      <a:avLst/>
                    </a:prstGeom>
                    <a:noFill/>
                    <a:ln>
                      <a:noFill/>
                    </a:ln>
                  </pic:spPr>
                </pic:pic>
              </a:graphicData>
            </a:graphic>
          </wp:inline>
        </w:drawing>
      </w:r>
    </w:p>
    <w:p w14:paraId="37055A22">
      <w:pPr>
        <w:pStyle w:val="65"/>
        <w:spacing w:line="240" w:lineRule="auto"/>
        <w:ind w:firstLine="0" w:firstLineChars="0"/>
        <w:jc w:val="center"/>
        <w:rPr>
          <w:b/>
          <w:bCs/>
          <w:color w:val="000000" w:themeColor="text1"/>
          <w:sz w:val="32"/>
          <w14:textFill>
            <w14:solidFill>
              <w14:schemeClr w14:val="tx1"/>
            </w14:solidFill>
          </w14:textFill>
        </w:rPr>
      </w:pPr>
      <w:r>
        <w:rPr>
          <w:b/>
          <w:bCs/>
          <w:color w:val="000000" w:themeColor="text1"/>
          <w:sz w:val="32"/>
          <w14:textFill>
            <w14:solidFill>
              <w14:schemeClr w14:val="tx1"/>
            </w14:solidFill>
          </w14:textFill>
        </w:rPr>
        <w:t>附图五 项目平面位置图</w:t>
      </w:r>
    </w:p>
    <w:p w14:paraId="635FACA8">
      <w:pPr>
        <w:pStyle w:val="65"/>
        <w:spacing w:line="240" w:lineRule="auto"/>
        <w:ind w:firstLine="0" w:firstLineChars="0"/>
        <w:rPr>
          <w:color w:val="000000" w:themeColor="text1"/>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686F8EDB">
      <w:pPr>
        <w:pStyle w:val="65"/>
        <w:spacing w:line="240" w:lineRule="auto"/>
        <w:ind w:firstLine="0" w:firstLineChars="0"/>
        <w:jc w:val="center"/>
        <w:rPr>
          <w:b/>
          <w:bCs/>
          <w:color w:val="000000" w:themeColor="text1"/>
          <w14:textFill>
            <w14:solidFill>
              <w14:schemeClr w14:val="tx1"/>
            </w14:solidFill>
          </w14:textFill>
        </w:rPr>
      </w:pPr>
      <w:r>
        <w:rPr>
          <w:b/>
          <w:bCs/>
          <w:color w:val="000000" w:themeColor="text1"/>
          <w14:textFill>
            <w14:solidFill>
              <w14:schemeClr w14:val="tx1"/>
            </w14:solidFill>
          </w14:textFill>
        </w:rPr>
        <w:drawing>
          <wp:inline distT="0" distB="0" distL="0" distR="0">
            <wp:extent cx="8401685" cy="4968875"/>
            <wp:effectExtent l="0" t="0" r="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8414017" cy="4976239"/>
                    </a:xfrm>
                    <a:prstGeom prst="rect">
                      <a:avLst/>
                    </a:prstGeom>
                    <a:noFill/>
                    <a:ln>
                      <a:noFill/>
                    </a:ln>
                  </pic:spPr>
                </pic:pic>
              </a:graphicData>
            </a:graphic>
          </wp:inline>
        </w:drawing>
      </w:r>
    </w:p>
    <w:p w14:paraId="1AC861FE">
      <w:pPr>
        <w:pStyle w:val="65"/>
        <w:spacing w:line="240" w:lineRule="auto"/>
        <w:ind w:firstLine="0" w:firstLineChars="0"/>
        <w:jc w:val="center"/>
        <w:rPr>
          <w:b/>
          <w:bCs/>
          <w:color w:val="000000" w:themeColor="text1"/>
          <w:sz w:val="32"/>
          <w14:textFill>
            <w14:solidFill>
              <w14:schemeClr w14:val="tx1"/>
            </w14:solidFill>
          </w14:textFill>
        </w:rPr>
      </w:pPr>
      <w:r>
        <w:rPr>
          <w:b/>
          <w:bCs/>
          <w:color w:val="000000" w:themeColor="text1"/>
          <w:sz w:val="32"/>
          <w14:textFill>
            <w14:solidFill>
              <w14:schemeClr w14:val="tx1"/>
            </w14:solidFill>
          </w14:textFill>
        </w:rPr>
        <w:t>附图六 项目车间设备位置图</w:t>
      </w:r>
    </w:p>
    <w:p w14:paraId="14641F79">
      <w:pPr>
        <w:pStyle w:val="65"/>
        <w:spacing w:line="240" w:lineRule="auto"/>
        <w:ind w:firstLine="0" w:firstLineChars="0"/>
        <w:rPr>
          <w:b/>
          <w:bCs/>
          <w:color w:val="000000" w:themeColor="text1"/>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60182266">
      <w:pPr>
        <w:pStyle w:val="65"/>
        <w:spacing w:line="240" w:lineRule="auto"/>
        <w:ind w:firstLine="0" w:firstLineChars="0"/>
        <w:rPr>
          <w:b/>
          <w:bCs/>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margin">
                  <wp:posOffset>2044065</wp:posOffset>
                </wp:positionH>
                <wp:positionV relativeFrom="paragraph">
                  <wp:posOffset>1118870</wp:posOffset>
                </wp:positionV>
                <wp:extent cx="956945" cy="492760"/>
                <wp:effectExtent l="838200" t="19050" r="33655" b="40640"/>
                <wp:wrapNone/>
                <wp:docPr id="1081848834" name="对话气泡: 椭圆形 49"/>
                <wp:cNvGraphicFramePr/>
                <a:graphic xmlns:a="http://schemas.openxmlformats.org/drawingml/2006/main">
                  <a:graphicData uri="http://schemas.microsoft.com/office/word/2010/wordprocessingShape">
                    <wps:wsp>
                      <wps:cNvSpPr/>
                      <wps:spPr>
                        <a:xfrm>
                          <a:off x="0" y="0"/>
                          <a:ext cx="957129" cy="492760"/>
                        </a:xfrm>
                        <a:prstGeom prst="wedgeEllipseCallout">
                          <a:avLst>
                            <a:gd name="adj1" fmla="val -137039"/>
                            <a:gd name="adj2" fmla="val -40243"/>
                          </a:avLst>
                        </a:prstGeom>
                      </wps:spPr>
                      <wps:style>
                        <a:lnRef idx="2">
                          <a:schemeClr val="dk1"/>
                        </a:lnRef>
                        <a:fillRef idx="1">
                          <a:schemeClr val="lt1"/>
                        </a:fillRef>
                        <a:effectRef idx="0">
                          <a:schemeClr val="dk1"/>
                        </a:effectRef>
                        <a:fontRef idx="minor">
                          <a:schemeClr val="dk1"/>
                        </a:fontRef>
                      </wps:style>
                      <wps:txbx>
                        <w:txbxContent>
                          <w:p w14:paraId="4F387839"/>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椭圆形 49" o:spid="_x0000_s1026" o:spt="63" type="#_x0000_t63" style="position:absolute;left:0pt;margin-left:160.95pt;margin-top:88.1pt;height:38.8pt;width:75.35pt;mso-position-horizontal-relative:margin;z-index:251670528;v-text-anchor:middle;mso-width-relative:page;mso-height-relative:page;" fillcolor="#FFFFFF [3201]" filled="t" stroked="t" coordsize="21600,21600" o:gfxdata="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Lk00ktkAAAALAQAADwAA&#10;AAAAAAABACAAAAAiAAAAZHJzL2Rvd25yZXYueG1sUEsBAhQAFAAAAAgAh07iQEYF2wzAAgAAZQUA&#10;AA4AAAAAAAAAAQAgAAAAKAEAAGRycy9lMm9Eb2MueG1sUEsFBgAAAAAGAAYAWQEAAFoGAAAAAA==&#10;" adj="-18800,2108">
                <v:fill on="t" focussize="0,0"/>
                <v:stroke weight="2pt" color="#000000 [3200]" joinstyle="round"/>
                <v:imagedata o:title=""/>
                <o:lock v:ext="edit" aspectratio="f"/>
                <v:textbox>
                  <w:txbxContent>
                    <w:p w14:paraId="4F387839"/>
                  </w:txbxContent>
                </v:textbox>
              </v:shape>
            </w:pict>
          </mc:Fallback>
        </mc:AlternateContent>
      </w:r>
      <w:r>
        <w:rPr>
          <w:b/>
          <w:bCs/>
          <w:color w:val="000000" w:themeColor="text1"/>
          <w14:textFill>
            <w14:solidFill>
              <w14:schemeClr w14:val="tx1"/>
            </w14:solidFill>
          </w14:textFill>
        </w:rPr>
        <w:drawing>
          <wp:inline distT="0" distB="0" distL="0" distR="0">
            <wp:extent cx="5227320" cy="7712075"/>
            <wp:effectExtent l="0" t="0" r="0" b="3175"/>
            <wp:docPr id="70756311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63118" name="图片 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27320" cy="7712075"/>
                    </a:xfrm>
                    <a:prstGeom prst="rect">
                      <a:avLst/>
                    </a:prstGeom>
                    <a:noFill/>
                    <a:ln>
                      <a:noFill/>
                    </a:ln>
                  </pic:spPr>
                </pic:pic>
              </a:graphicData>
            </a:graphic>
          </wp:inline>
        </w:drawing>
      </w:r>
    </w:p>
    <w:p w14:paraId="18EC7ACC">
      <w:pPr>
        <w:pStyle w:val="65"/>
        <w:ind w:firstLine="198" w:firstLineChars="82"/>
        <w:rPr>
          <w:b/>
          <w:bCs/>
          <w:color w:val="000000" w:themeColor="text1"/>
          <w14:textFill>
            <w14:solidFill>
              <w14:schemeClr w14:val="tx1"/>
            </w14:solidFill>
          </w14:textFill>
        </w:rPr>
      </w:pPr>
    </w:p>
    <w:p w14:paraId="432FB27C">
      <w:pPr>
        <w:pStyle w:val="65"/>
        <w:spacing w:line="240" w:lineRule="auto"/>
        <w:ind w:firstLine="0" w:firstLineChars="0"/>
        <w:jc w:val="center"/>
        <w:rPr>
          <w:b/>
          <w:bCs/>
          <w:color w:val="000000" w:themeColor="text1"/>
          <w:sz w:val="32"/>
          <w14:textFill>
            <w14:solidFill>
              <w14:schemeClr w14:val="tx1"/>
            </w14:solidFill>
          </w14:textFill>
        </w:rPr>
      </w:pPr>
      <w:r>
        <w:rPr>
          <w:b/>
          <w:bCs/>
          <w:color w:val="000000" w:themeColor="text1"/>
          <w:sz w:val="32"/>
          <w14:textFill>
            <w14:solidFill>
              <w14:schemeClr w14:val="tx1"/>
            </w14:solidFill>
          </w14:textFill>
        </w:rPr>
        <w:t>附图七 项目在规划园区的位置图</w:t>
      </w:r>
    </w:p>
    <w:p w14:paraId="17DF18BD">
      <w:pPr>
        <w:pStyle w:val="65"/>
        <w:ind w:firstLine="198" w:firstLineChars="82"/>
        <w:rPr>
          <w:b/>
          <w:bCs/>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4C4CE65">
      <w:pPr>
        <w:pStyle w:val="51"/>
        <w:spacing w:before="156"/>
      </w:pPr>
      <w:r>
        <w:drawing>
          <wp:inline distT="0" distB="0" distL="0" distR="0">
            <wp:extent cx="8271510" cy="4892675"/>
            <wp:effectExtent l="0" t="0" r="0" b="317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8279116" cy="4897295"/>
                    </a:xfrm>
                    <a:prstGeom prst="rect">
                      <a:avLst/>
                    </a:prstGeom>
                    <a:noFill/>
                    <a:ln>
                      <a:noFill/>
                    </a:ln>
                  </pic:spPr>
                </pic:pic>
              </a:graphicData>
            </a:graphic>
          </wp:inline>
        </w:drawing>
      </w:r>
    </w:p>
    <w:p w14:paraId="6D2EDA52">
      <w:pPr>
        <w:pStyle w:val="65"/>
        <w:spacing w:line="240" w:lineRule="auto"/>
        <w:ind w:firstLine="0" w:firstLineChars="0"/>
        <w:jc w:val="center"/>
        <w:rPr>
          <w:b/>
          <w:bCs/>
          <w:color w:val="0000FF"/>
          <w:sz w:val="32"/>
        </w:rPr>
      </w:pPr>
      <w:r>
        <w:rPr>
          <w:b/>
          <w:bCs/>
          <w:color w:val="0000FF"/>
          <w:sz w:val="32"/>
        </w:rPr>
        <w:t>附图八 项目四至范围图</w:t>
      </w:r>
    </w:p>
    <w:p w14:paraId="397A6FA1">
      <w:pPr>
        <w:pStyle w:val="65"/>
        <w:spacing w:line="240" w:lineRule="auto"/>
        <w:ind w:firstLine="0" w:firstLineChars="0"/>
        <w:jc w:val="center"/>
        <w:rPr>
          <w:b/>
          <w:bCs/>
          <w:color w:val="0000FF"/>
          <w:sz w:val="32"/>
        </w:rPr>
      </w:pPr>
      <w:r>
        <w:rPr>
          <w:b/>
          <w:bCs/>
          <w:color w:val="0000FF"/>
          <w:sz w:val="32"/>
        </w:rPr>
        <w:drawing>
          <wp:inline distT="0" distB="0" distL="0" distR="0">
            <wp:extent cx="8410575" cy="4973955"/>
            <wp:effectExtent l="19050" t="19050" r="9525" b="1714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8419922" cy="4979732"/>
                    </a:xfrm>
                    <a:prstGeom prst="rect">
                      <a:avLst/>
                    </a:prstGeom>
                    <a:noFill/>
                    <a:ln>
                      <a:solidFill>
                        <a:schemeClr val="tx1"/>
                      </a:solidFill>
                    </a:ln>
                  </pic:spPr>
                </pic:pic>
              </a:graphicData>
            </a:graphic>
          </wp:inline>
        </w:drawing>
      </w:r>
    </w:p>
    <w:p w14:paraId="29194670">
      <w:pPr>
        <w:pStyle w:val="65"/>
        <w:spacing w:line="240" w:lineRule="auto"/>
        <w:ind w:firstLine="0" w:firstLineChars="0"/>
        <w:jc w:val="center"/>
        <w:rPr>
          <w:b/>
          <w:bCs/>
          <w:color w:val="0000FF"/>
          <w:sz w:val="32"/>
        </w:rPr>
      </w:pPr>
      <w:r>
        <w:rPr>
          <w:b/>
          <w:bCs/>
          <w:color w:val="0000FF"/>
          <w:sz w:val="32"/>
        </w:rPr>
        <w:t>附图九 项目分区防渗图</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宋黑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Segoe UI Emoji">
    <w:panose1 w:val="020B0502040204020203"/>
    <w:charset w:val="00"/>
    <w:family w:val="swiss"/>
    <w:pitch w:val="default"/>
    <w:sig w:usb0="00000001" w:usb1="02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0184579"/>
    </w:sdtPr>
    <w:sdtContent>
      <w:p w14:paraId="2AC8D89F">
        <w:pPr>
          <w:pStyle w:val="26"/>
          <w:jc w:val="center"/>
        </w:pPr>
        <w:r>
          <w:fldChar w:fldCharType="begin"/>
        </w:r>
        <w:r>
          <w:instrText xml:space="preserve">PAGE   \* MERGEFORMAT</w:instrText>
        </w:r>
        <w:r>
          <w:fldChar w:fldCharType="separate"/>
        </w:r>
        <w:r>
          <w:rPr>
            <w:lang w:val="zh-CN"/>
          </w:rPr>
          <w:t>2</w:t>
        </w:r>
        <w:r>
          <w:fldChar w:fldCharType="end"/>
        </w:r>
      </w:p>
    </w:sdtContent>
  </w:sdt>
  <w:p w14:paraId="762B2047">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6669F">
    <w:pPr>
      <w:pStyle w:val="2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74969"/>
    <w:multiLevelType w:val="multilevel"/>
    <w:tmpl w:val="22874969"/>
    <w:lvl w:ilvl="0" w:tentative="0">
      <w:start w:val="1"/>
      <w:numFmt w:val="decimal"/>
      <w:pStyle w:val="47"/>
      <w:suff w:val="space"/>
      <w:lvlText w:val="%1"/>
      <w:lvlJc w:val="left"/>
      <w:pPr>
        <w:ind w:left="0" w:firstLine="0"/>
      </w:pPr>
      <w:rPr>
        <w:rFonts w:hint="eastAsia"/>
      </w:rPr>
    </w:lvl>
    <w:lvl w:ilvl="1" w:tentative="0">
      <w:start w:val="1"/>
      <w:numFmt w:val="decimal"/>
      <w:pStyle w:val="44"/>
      <w:suff w:val="space"/>
      <w:lvlText w:val="%1.%2"/>
      <w:lvlJc w:val="left"/>
      <w:pPr>
        <w:ind w:left="0" w:firstLine="0"/>
      </w:pPr>
      <w:rPr>
        <w:rFonts w:hint="eastAsia"/>
      </w:rPr>
    </w:lvl>
    <w:lvl w:ilvl="2" w:tentative="0">
      <w:start w:val="1"/>
      <w:numFmt w:val="decimal"/>
      <w:pStyle w:val="45"/>
      <w:suff w:val="space"/>
      <w:lvlText w:val="%1.%2.%3"/>
      <w:lvlJc w:val="left"/>
      <w:pPr>
        <w:ind w:left="0" w:firstLine="0"/>
      </w:pPr>
      <w:rPr>
        <w:rFonts w:hint="eastAsia"/>
      </w:rPr>
    </w:lvl>
    <w:lvl w:ilvl="3" w:tentative="0">
      <w:start w:val="1"/>
      <w:numFmt w:val="decimal"/>
      <w:pStyle w:val="46"/>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formatting="1"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DDA"/>
    <w:rsid w:val="00001342"/>
    <w:rsid w:val="0000166A"/>
    <w:rsid w:val="00002907"/>
    <w:rsid w:val="00004DDE"/>
    <w:rsid w:val="00007720"/>
    <w:rsid w:val="00007FC2"/>
    <w:rsid w:val="00011379"/>
    <w:rsid w:val="00011727"/>
    <w:rsid w:val="00017117"/>
    <w:rsid w:val="00017F6C"/>
    <w:rsid w:val="000225F8"/>
    <w:rsid w:val="000246FC"/>
    <w:rsid w:val="000261AB"/>
    <w:rsid w:val="00030354"/>
    <w:rsid w:val="000344AE"/>
    <w:rsid w:val="0003763D"/>
    <w:rsid w:val="0004590C"/>
    <w:rsid w:val="00045BA5"/>
    <w:rsid w:val="000515A2"/>
    <w:rsid w:val="00053142"/>
    <w:rsid w:val="0005442B"/>
    <w:rsid w:val="00061FB9"/>
    <w:rsid w:val="00063804"/>
    <w:rsid w:val="00065FC8"/>
    <w:rsid w:val="00067141"/>
    <w:rsid w:val="0007226F"/>
    <w:rsid w:val="00074745"/>
    <w:rsid w:val="00075BEC"/>
    <w:rsid w:val="00076906"/>
    <w:rsid w:val="000772AC"/>
    <w:rsid w:val="0007798E"/>
    <w:rsid w:val="00077B1F"/>
    <w:rsid w:val="00083A07"/>
    <w:rsid w:val="000858F2"/>
    <w:rsid w:val="000872D0"/>
    <w:rsid w:val="00087898"/>
    <w:rsid w:val="00091E26"/>
    <w:rsid w:val="00091EEA"/>
    <w:rsid w:val="0009451E"/>
    <w:rsid w:val="00097AE5"/>
    <w:rsid w:val="000A03D6"/>
    <w:rsid w:val="000B0DA7"/>
    <w:rsid w:val="000B0ED9"/>
    <w:rsid w:val="000B25D3"/>
    <w:rsid w:val="000B2DBC"/>
    <w:rsid w:val="000B3729"/>
    <w:rsid w:val="000B4187"/>
    <w:rsid w:val="000B7977"/>
    <w:rsid w:val="000C28AF"/>
    <w:rsid w:val="000C2BCB"/>
    <w:rsid w:val="000C4868"/>
    <w:rsid w:val="000C7D84"/>
    <w:rsid w:val="000D0460"/>
    <w:rsid w:val="000D4A74"/>
    <w:rsid w:val="000D4BAD"/>
    <w:rsid w:val="000E2901"/>
    <w:rsid w:val="000E341C"/>
    <w:rsid w:val="000F09C4"/>
    <w:rsid w:val="000F2974"/>
    <w:rsid w:val="000F3B69"/>
    <w:rsid w:val="000F4E96"/>
    <w:rsid w:val="000F6198"/>
    <w:rsid w:val="00100CE6"/>
    <w:rsid w:val="00102337"/>
    <w:rsid w:val="00104FA2"/>
    <w:rsid w:val="0010711F"/>
    <w:rsid w:val="00115E6C"/>
    <w:rsid w:val="00126D84"/>
    <w:rsid w:val="00131D92"/>
    <w:rsid w:val="00131E6B"/>
    <w:rsid w:val="00132AE7"/>
    <w:rsid w:val="00132CF1"/>
    <w:rsid w:val="00137568"/>
    <w:rsid w:val="00143BCB"/>
    <w:rsid w:val="00151BE4"/>
    <w:rsid w:val="001605EF"/>
    <w:rsid w:val="001607AC"/>
    <w:rsid w:val="00165C5F"/>
    <w:rsid w:val="0018399A"/>
    <w:rsid w:val="0018702E"/>
    <w:rsid w:val="0018797E"/>
    <w:rsid w:val="00195E09"/>
    <w:rsid w:val="00196467"/>
    <w:rsid w:val="00197FE0"/>
    <w:rsid w:val="001A0EB7"/>
    <w:rsid w:val="001A295A"/>
    <w:rsid w:val="001A2E10"/>
    <w:rsid w:val="001A31B5"/>
    <w:rsid w:val="001A4C4D"/>
    <w:rsid w:val="001B2F5A"/>
    <w:rsid w:val="001B7ECA"/>
    <w:rsid w:val="001C2349"/>
    <w:rsid w:val="001C421B"/>
    <w:rsid w:val="001C5A4E"/>
    <w:rsid w:val="001C74FF"/>
    <w:rsid w:val="001D7CAC"/>
    <w:rsid w:val="001E039D"/>
    <w:rsid w:val="001E072B"/>
    <w:rsid w:val="001E4008"/>
    <w:rsid w:val="001E513A"/>
    <w:rsid w:val="001E519D"/>
    <w:rsid w:val="001E51F8"/>
    <w:rsid w:val="001E54EF"/>
    <w:rsid w:val="001F1CBA"/>
    <w:rsid w:val="001F208C"/>
    <w:rsid w:val="002001BC"/>
    <w:rsid w:val="00210BA9"/>
    <w:rsid w:val="00210ED1"/>
    <w:rsid w:val="0021180B"/>
    <w:rsid w:val="00213242"/>
    <w:rsid w:val="00213394"/>
    <w:rsid w:val="002236C4"/>
    <w:rsid w:val="002251AD"/>
    <w:rsid w:val="00233EDE"/>
    <w:rsid w:val="002405F2"/>
    <w:rsid w:val="00240C57"/>
    <w:rsid w:val="00242751"/>
    <w:rsid w:val="00245CA5"/>
    <w:rsid w:val="002505DD"/>
    <w:rsid w:val="00250C18"/>
    <w:rsid w:val="00250C5E"/>
    <w:rsid w:val="00251642"/>
    <w:rsid w:val="00260285"/>
    <w:rsid w:val="0026373B"/>
    <w:rsid w:val="002668D1"/>
    <w:rsid w:val="00281202"/>
    <w:rsid w:val="00281716"/>
    <w:rsid w:val="00282F93"/>
    <w:rsid w:val="002831CF"/>
    <w:rsid w:val="00294374"/>
    <w:rsid w:val="0029590C"/>
    <w:rsid w:val="002976E8"/>
    <w:rsid w:val="00297EB9"/>
    <w:rsid w:val="002A224F"/>
    <w:rsid w:val="002A504D"/>
    <w:rsid w:val="002A517C"/>
    <w:rsid w:val="002A7706"/>
    <w:rsid w:val="002A7B83"/>
    <w:rsid w:val="002B4749"/>
    <w:rsid w:val="002C158E"/>
    <w:rsid w:val="002D044A"/>
    <w:rsid w:val="002D3C39"/>
    <w:rsid w:val="002D5CBC"/>
    <w:rsid w:val="002E06D6"/>
    <w:rsid w:val="002E772F"/>
    <w:rsid w:val="002E7A71"/>
    <w:rsid w:val="002E7C45"/>
    <w:rsid w:val="002F0339"/>
    <w:rsid w:val="002F271F"/>
    <w:rsid w:val="002F4C54"/>
    <w:rsid w:val="002F58B4"/>
    <w:rsid w:val="002F6DD1"/>
    <w:rsid w:val="002F6F01"/>
    <w:rsid w:val="002F7301"/>
    <w:rsid w:val="00301041"/>
    <w:rsid w:val="00303E1E"/>
    <w:rsid w:val="0030551B"/>
    <w:rsid w:val="00305C93"/>
    <w:rsid w:val="00310445"/>
    <w:rsid w:val="0031098C"/>
    <w:rsid w:val="003109E8"/>
    <w:rsid w:val="00311602"/>
    <w:rsid w:val="00311DD1"/>
    <w:rsid w:val="00312161"/>
    <w:rsid w:val="00312576"/>
    <w:rsid w:val="00316E3C"/>
    <w:rsid w:val="003179DD"/>
    <w:rsid w:val="00317B1E"/>
    <w:rsid w:val="003271C1"/>
    <w:rsid w:val="003342B1"/>
    <w:rsid w:val="00334422"/>
    <w:rsid w:val="00334F44"/>
    <w:rsid w:val="00337137"/>
    <w:rsid w:val="003406B1"/>
    <w:rsid w:val="00340BD4"/>
    <w:rsid w:val="003425A1"/>
    <w:rsid w:val="003450CB"/>
    <w:rsid w:val="00351C5F"/>
    <w:rsid w:val="00352687"/>
    <w:rsid w:val="0035336A"/>
    <w:rsid w:val="0035437D"/>
    <w:rsid w:val="00355CAA"/>
    <w:rsid w:val="00356AEC"/>
    <w:rsid w:val="003606FF"/>
    <w:rsid w:val="00360E9A"/>
    <w:rsid w:val="0036103D"/>
    <w:rsid w:val="0036618D"/>
    <w:rsid w:val="00370C8C"/>
    <w:rsid w:val="003723B5"/>
    <w:rsid w:val="00376EC9"/>
    <w:rsid w:val="00377428"/>
    <w:rsid w:val="003803C3"/>
    <w:rsid w:val="00380F33"/>
    <w:rsid w:val="00380FEC"/>
    <w:rsid w:val="00381988"/>
    <w:rsid w:val="003842CF"/>
    <w:rsid w:val="00384FE9"/>
    <w:rsid w:val="00386EE4"/>
    <w:rsid w:val="003910F9"/>
    <w:rsid w:val="00392184"/>
    <w:rsid w:val="003939A7"/>
    <w:rsid w:val="003A0591"/>
    <w:rsid w:val="003A1D35"/>
    <w:rsid w:val="003A3A0D"/>
    <w:rsid w:val="003A672E"/>
    <w:rsid w:val="003A6EBC"/>
    <w:rsid w:val="003A77B6"/>
    <w:rsid w:val="003B1D19"/>
    <w:rsid w:val="003B1DCC"/>
    <w:rsid w:val="003B4E32"/>
    <w:rsid w:val="003C165F"/>
    <w:rsid w:val="003C1C3F"/>
    <w:rsid w:val="003C2954"/>
    <w:rsid w:val="003C4B2F"/>
    <w:rsid w:val="003D0684"/>
    <w:rsid w:val="003D0999"/>
    <w:rsid w:val="003D61B0"/>
    <w:rsid w:val="003D73FA"/>
    <w:rsid w:val="003E66E6"/>
    <w:rsid w:val="003E7AFE"/>
    <w:rsid w:val="003F0DDC"/>
    <w:rsid w:val="003F1DFC"/>
    <w:rsid w:val="003F250C"/>
    <w:rsid w:val="003F543B"/>
    <w:rsid w:val="004030F8"/>
    <w:rsid w:val="004065FC"/>
    <w:rsid w:val="004103BD"/>
    <w:rsid w:val="004107A2"/>
    <w:rsid w:val="0041093D"/>
    <w:rsid w:val="004123CC"/>
    <w:rsid w:val="00415A95"/>
    <w:rsid w:val="004215C3"/>
    <w:rsid w:val="004228A6"/>
    <w:rsid w:val="0043463F"/>
    <w:rsid w:val="00450003"/>
    <w:rsid w:val="00451719"/>
    <w:rsid w:val="0045414B"/>
    <w:rsid w:val="00454461"/>
    <w:rsid w:val="00457646"/>
    <w:rsid w:val="00460E15"/>
    <w:rsid w:val="004640FB"/>
    <w:rsid w:val="0046756E"/>
    <w:rsid w:val="0047317F"/>
    <w:rsid w:val="0047603E"/>
    <w:rsid w:val="00483359"/>
    <w:rsid w:val="0048344C"/>
    <w:rsid w:val="00484521"/>
    <w:rsid w:val="00484793"/>
    <w:rsid w:val="004946CB"/>
    <w:rsid w:val="00496246"/>
    <w:rsid w:val="004A001F"/>
    <w:rsid w:val="004A0647"/>
    <w:rsid w:val="004A3E3F"/>
    <w:rsid w:val="004A5E71"/>
    <w:rsid w:val="004A67B6"/>
    <w:rsid w:val="004A6A2D"/>
    <w:rsid w:val="004A7584"/>
    <w:rsid w:val="004B2DE2"/>
    <w:rsid w:val="004B60AE"/>
    <w:rsid w:val="004B78F6"/>
    <w:rsid w:val="004C2629"/>
    <w:rsid w:val="004C67BF"/>
    <w:rsid w:val="004C735D"/>
    <w:rsid w:val="004D34B4"/>
    <w:rsid w:val="004E11F9"/>
    <w:rsid w:val="004E2415"/>
    <w:rsid w:val="004E3A1C"/>
    <w:rsid w:val="004E457F"/>
    <w:rsid w:val="004E59BF"/>
    <w:rsid w:val="004E6F65"/>
    <w:rsid w:val="004F3808"/>
    <w:rsid w:val="004F38D0"/>
    <w:rsid w:val="00501A82"/>
    <w:rsid w:val="005078CF"/>
    <w:rsid w:val="00511234"/>
    <w:rsid w:val="00515DFB"/>
    <w:rsid w:val="00522CC4"/>
    <w:rsid w:val="00524502"/>
    <w:rsid w:val="00537B0B"/>
    <w:rsid w:val="005418C3"/>
    <w:rsid w:val="005441D3"/>
    <w:rsid w:val="00546D06"/>
    <w:rsid w:val="005470F7"/>
    <w:rsid w:val="005478C6"/>
    <w:rsid w:val="00550A92"/>
    <w:rsid w:val="0055192A"/>
    <w:rsid w:val="0055202B"/>
    <w:rsid w:val="0055415F"/>
    <w:rsid w:val="00560648"/>
    <w:rsid w:val="00561E86"/>
    <w:rsid w:val="00566877"/>
    <w:rsid w:val="00567CCE"/>
    <w:rsid w:val="0057128F"/>
    <w:rsid w:val="00571C2E"/>
    <w:rsid w:val="00571E27"/>
    <w:rsid w:val="00575A77"/>
    <w:rsid w:val="00576E45"/>
    <w:rsid w:val="00584787"/>
    <w:rsid w:val="005920DF"/>
    <w:rsid w:val="00593CF5"/>
    <w:rsid w:val="005950A5"/>
    <w:rsid w:val="00595285"/>
    <w:rsid w:val="005A4851"/>
    <w:rsid w:val="005A573F"/>
    <w:rsid w:val="005B18E7"/>
    <w:rsid w:val="005B30D0"/>
    <w:rsid w:val="005C3042"/>
    <w:rsid w:val="005C73F6"/>
    <w:rsid w:val="005D2258"/>
    <w:rsid w:val="005D3919"/>
    <w:rsid w:val="005D5DD6"/>
    <w:rsid w:val="005D6BA8"/>
    <w:rsid w:val="005E1E06"/>
    <w:rsid w:val="005E397D"/>
    <w:rsid w:val="005E42B0"/>
    <w:rsid w:val="005E5B2E"/>
    <w:rsid w:val="005E7BF1"/>
    <w:rsid w:val="005F0ACF"/>
    <w:rsid w:val="00604F42"/>
    <w:rsid w:val="006078C6"/>
    <w:rsid w:val="006159BA"/>
    <w:rsid w:val="00622580"/>
    <w:rsid w:val="00625AD3"/>
    <w:rsid w:val="00625DDA"/>
    <w:rsid w:val="00627740"/>
    <w:rsid w:val="006333A1"/>
    <w:rsid w:val="0064064F"/>
    <w:rsid w:val="00641D58"/>
    <w:rsid w:val="00644655"/>
    <w:rsid w:val="006447CD"/>
    <w:rsid w:val="006450E9"/>
    <w:rsid w:val="0064783E"/>
    <w:rsid w:val="00653536"/>
    <w:rsid w:val="0065536A"/>
    <w:rsid w:val="00655E1D"/>
    <w:rsid w:val="006604EF"/>
    <w:rsid w:val="00661643"/>
    <w:rsid w:val="00666E6D"/>
    <w:rsid w:val="00667F9E"/>
    <w:rsid w:val="00670D3B"/>
    <w:rsid w:val="006755D9"/>
    <w:rsid w:val="00677805"/>
    <w:rsid w:val="006834F3"/>
    <w:rsid w:val="0068564F"/>
    <w:rsid w:val="006902E9"/>
    <w:rsid w:val="00691E6D"/>
    <w:rsid w:val="0069328C"/>
    <w:rsid w:val="00693D6A"/>
    <w:rsid w:val="006B6BB5"/>
    <w:rsid w:val="006B7819"/>
    <w:rsid w:val="006C5C77"/>
    <w:rsid w:val="006C6FDF"/>
    <w:rsid w:val="006D0756"/>
    <w:rsid w:val="006D1F3A"/>
    <w:rsid w:val="006D2122"/>
    <w:rsid w:val="006E1420"/>
    <w:rsid w:val="006E4471"/>
    <w:rsid w:val="006E51D2"/>
    <w:rsid w:val="006E5A38"/>
    <w:rsid w:val="006F4158"/>
    <w:rsid w:val="006F5C99"/>
    <w:rsid w:val="00702813"/>
    <w:rsid w:val="00704797"/>
    <w:rsid w:val="007051E1"/>
    <w:rsid w:val="00705783"/>
    <w:rsid w:val="00712022"/>
    <w:rsid w:val="0071332B"/>
    <w:rsid w:val="00720309"/>
    <w:rsid w:val="007206BB"/>
    <w:rsid w:val="00720D52"/>
    <w:rsid w:val="0072242F"/>
    <w:rsid w:val="00722A8D"/>
    <w:rsid w:val="00723C50"/>
    <w:rsid w:val="00725D0B"/>
    <w:rsid w:val="00725DAE"/>
    <w:rsid w:val="007303C2"/>
    <w:rsid w:val="007327D6"/>
    <w:rsid w:val="007357E7"/>
    <w:rsid w:val="007357EB"/>
    <w:rsid w:val="00735D2C"/>
    <w:rsid w:val="00735F12"/>
    <w:rsid w:val="00735FC9"/>
    <w:rsid w:val="007371DE"/>
    <w:rsid w:val="00740422"/>
    <w:rsid w:val="00740C91"/>
    <w:rsid w:val="00744B83"/>
    <w:rsid w:val="00745BBE"/>
    <w:rsid w:val="00745C92"/>
    <w:rsid w:val="00747442"/>
    <w:rsid w:val="00750CEE"/>
    <w:rsid w:val="00752111"/>
    <w:rsid w:val="007527C5"/>
    <w:rsid w:val="0077141C"/>
    <w:rsid w:val="00771F0A"/>
    <w:rsid w:val="007732C7"/>
    <w:rsid w:val="0077419B"/>
    <w:rsid w:val="00774BDD"/>
    <w:rsid w:val="007750A1"/>
    <w:rsid w:val="00776189"/>
    <w:rsid w:val="00776F6D"/>
    <w:rsid w:val="0077714D"/>
    <w:rsid w:val="00781A46"/>
    <w:rsid w:val="00782F3D"/>
    <w:rsid w:val="00783D47"/>
    <w:rsid w:val="00784BB1"/>
    <w:rsid w:val="007850AE"/>
    <w:rsid w:val="00786950"/>
    <w:rsid w:val="00787C1D"/>
    <w:rsid w:val="007A35EA"/>
    <w:rsid w:val="007A395C"/>
    <w:rsid w:val="007A66BE"/>
    <w:rsid w:val="007A70E4"/>
    <w:rsid w:val="007B0867"/>
    <w:rsid w:val="007B4E0B"/>
    <w:rsid w:val="007B5FF6"/>
    <w:rsid w:val="007B7E1A"/>
    <w:rsid w:val="007C0C4D"/>
    <w:rsid w:val="007C2FC0"/>
    <w:rsid w:val="007D35E6"/>
    <w:rsid w:val="007D72C7"/>
    <w:rsid w:val="007D7413"/>
    <w:rsid w:val="007E538E"/>
    <w:rsid w:val="007E58CF"/>
    <w:rsid w:val="007E7A60"/>
    <w:rsid w:val="007F25C6"/>
    <w:rsid w:val="007F39CC"/>
    <w:rsid w:val="007F7C78"/>
    <w:rsid w:val="00802486"/>
    <w:rsid w:val="00805749"/>
    <w:rsid w:val="0081116A"/>
    <w:rsid w:val="00811EEE"/>
    <w:rsid w:val="00815E87"/>
    <w:rsid w:val="008237C9"/>
    <w:rsid w:val="00824EAF"/>
    <w:rsid w:val="008279D3"/>
    <w:rsid w:val="008302BD"/>
    <w:rsid w:val="008322BB"/>
    <w:rsid w:val="008323AE"/>
    <w:rsid w:val="008339F5"/>
    <w:rsid w:val="008363E3"/>
    <w:rsid w:val="00836C3F"/>
    <w:rsid w:val="00841B91"/>
    <w:rsid w:val="00843561"/>
    <w:rsid w:val="008441F3"/>
    <w:rsid w:val="008456BB"/>
    <w:rsid w:val="00846FFD"/>
    <w:rsid w:val="00850541"/>
    <w:rsid w:val="0085112C"/>
    <w:rsid w:val="0085169E"/>
    <w:rsid w:val="00852A15"/>
    <w:rsid w:val="00853CCB"/>
    <w:rsid w:val="008540C7"/>
    <w:rsid w:val="008540DD"/>
    <w:rsid w:val="00857058"/>
    <w:rsid w:val="00860FE8"/>
    <w:rsid w:val="00865B08"/>
    <w:rsid w:val="0087315B"/>
    <w:rsid w:val="00873186"/>
    <w:rsid w:val="00880610"/>
    <w:rsid w:val="008824E3"/>
    <w:rsid w:val="00882F9C"/>
    <w:rsid w:val="008844A9"/>
    <w:rsid w:val="008844BE"/>
    <w:rsid w:val="00884DAC"/>
    <w:rsid w:val="0088695E"/>
    <w:rsid w:val="00892822"/>
    <w:rsid w:val="008978B3"/>
    <w:rsid w:val="008A497C"/>
    <w:rsid w:val="008A7EDF"/>
    <w:rsid w:val="008B1846"/>
    <w:rsid w:val="008C2BAA"/>
    <w:rsid w:val="008C70EF"/>
    <w:rsid w:val="008C76CF"/>
    <w:rsid w:val="008C7D54"/>
    <w:rsid w:val="008D111E"/>
    <w:rsid w:val="008D215B"/>
    <w:rsid w:val="008D2CDC"/>
    <w:rsid w:val="008D3788"/>
    <w:rsid w:val="008D4F99"/>
    <w:rsid w:val="008E15D7"/>
    <w:rsid w:val="008E34BC"/>
    <w:rsid w:val="008E363A"/>
    <w:rsid w:val="008F3A77"/>
    <w:rsid w:val="00900E48"/>
    <w:rsid w:val="00901F19"/>
    <w:rsid w:val="0090344A"/>
    <w:rsid w:val="00905152"/>
    <w:rsid w:val="0090697E"/>
    <w:rsid w:val="00913C35"/>
    <w:rsid w:val="00915336"/>
    <w:rsid w:val="00916653"/>
    <w:rsid w:val="009175DC"/>
    <w:rsid w:val="0092409B"/>
    <w:rsid w:val="00925B2E"/>
    <w:rsid w:val="0093129D"/>
    <w:rsid w:val="009356A2"/>
    <w:rsid w:val="00937046"/>
    <w:rsid w:val="00941B3B"/>
    <w:rsid w:val="009519A1"/>
    <w:rsid w:val="00955158"/>
    <w:rsid w:val="00970325"/>
    <w:rsid w:val="00973184"/>
    <w:rsid w:val="0097598E"/>
    <w:rsid w:val="00975F86"/>
    <w:rsid w:val="00983028"/>
    <w:rsid w:val="00983723"/>
    <w:rsid w:val="00987580"/>
    <w:rsid w:val="00990A30"/>
    <w:rsid w:val="00991104"/>
    <w:rsid w:val="00992A2F"/>
    <w:rsid w:val="00994873"/>
    <w:rsid w:val="009965A9"/>
    <w:rsid w:val="009A1B8A"/>
    <w:rsid w:val="009A22F7"/>
    <w:rsid w:val="009A24E1"/>
    <w:rsid w:val="009B0D9E"/>
    <w:rsid w:val="009B1520"/>
    <w:rsid w:val="009B1B4A"/>
    <w:rsid w:val="009C378F"/>
    <w:rsid w:val="009C383E"/>
    <w:rsid w:val="009C4360"/>
    <w:rsid w:val="009D31B1"/>
    <w:rsid w:val="009D4965"/>
    <w:rsid w:val="009D5410"/>
    <w:rsid w:val="009E04DD"/>
    <w:rsid w:val="009E0F3D"/>
    <w:rsid w:val="009E19C8"/>
    <w:rsid w:val="009E2C95"/>
    <w:rsid w:val="009E46CA"/>
    <w:rsid w:val="009E74E1"/>
    <w:rsid w:val="009F008F"/>
    <w:rsid w:val="009F0121"/>
    <w:rsid w:val="009F2651"/>
    <w:rsid w:val="009F3194"/>
    <w:rsid w:val="00A04E78"/>
    <w:rsid w:val="00A053BB"/>
    <w:rsid w:val="00A06B8E"/>
    <w:rsid w:val="00A119CA"/>
    <w:rsid w:val="00A142DE"/>
    <w:rsid w:val="00A1765A"/>
    <w:rsid w:val="00A17B7C"/>
    <w:rsid w:val="00A21B50"/>
    <w:rsid w:val="00A26E53"/>
    <w:rsid w:val="00A30C40"/>
    <w:rsid w:val="00A345BC"/>
    <w:rsid w:val="00A36AC7"/>
    <w:rsid w:val="00A43958"/>
    <w:rsid w:val="00A50A92"/>
    <w:rsid w:val="00A51583"/>
    <w:rsid w:val="00A55302"/>
    <w:rsid w:val="00A62C76"/>
    <w:rsid w:val="00A64C61"/>
    <w:rsid w:val="00A6792E"/>
    <w:rsid w:val="00A72406"/>
    <w:rsid w:val="00A806A1"/>
    <w:rsid w:val="00A8279A"/>
    <w:rsid w:val="00A830E3"/>
    <w:rsid w:val="00A916C8"/>
    <w:rsid w:val="00A92C06"/>
    <w:rsid w:val="00A94DD5"/>
    <w:rsid w:val="00A962F1"/>
    <w:rsid w:val="00AA0216"/>
    <w:rsid w:val="00AA3C62"/>
    <w:rsid w:val="00AA4AF1"/>
    <w:rsid w:val="00AB1468"/>
    <w:rsid w:val="00AB1847"/>
    <w:rsid w:val="00AB1B9C"/>
    <w:rsid w:val="00AB46A9"/>
    <w:rsid w:val="00AB57E7"/>
    <w:rsid w:val="00AD11AC"/>
    <w:rsid w:val="00AE3A4D"/>
    <w:rsid w:val="00AF2824"/>
    <w:rsid w:val="00AF30F1"/>
    <w:rsid w:val="00AF40C2"/>
    <w:rsid w:val="00AF7197"/>
    <w:rsid w:val="00B024B8"/>
    <w:rsid w:val="00B044F3"/>
    <w:rsid w:val="00B07858"/>
    <w:rsid w:val="00B13ACE"/>
    <w:rsid w:val="00B13BAD"/>
    <w:rsid w:val="00B14F5A"/>
    <w:rsid w:val="00B176F7"/>
    <w:rsid w:val="00B17A08"/>
    <w:rsid w:val="00B203D9"/>
    <w:rsid w:val="00B25C2E"/>
    <w:rsid w:val="00B300B7"/>
    <w:rsid w:val="00B30136"/>
    <w:rsid w:val="00B3608F"/>
    <w:rsid w:val="00B37C27"/>
    <w:rsid w:val="00B5495B"/>
    <w:rsid w:val="00B550B7"/>
    <w:rsid w:val="00B551A7"/>
    <w:rsid w:val="00B55F12"/>
    <w:rsid w:val="00B565F9"/>
    <w:rsid w:val="00B62261"/>
    <w:rsid w:val="00B666BF"/>
    <w:rsid w:val="00B7777C"/>
    <w:rsid w:val="00B83211"/>
    <w:rsid w:val="00B8493E"/>
    <w:rsid w:val="00B91E33"/>
    <w:rsid w:val="00B95CCC"/>
    <w:rsid w:val="00BA2921"/>
    <w:rsid w:val="00BA6090"/>
    <w:rsid w:val="00BB13EC"/>
    <w:rsid w:val="00BB1580"/>
    <w:rsid w:val="00BB1FDC"/>
    <w:rsid w:val="00BC46C6"/>
    <w:rsid w:val="00BC496D"/>
    <w:rsid w:val="00BC67A0"/>
    <w:rsid w:val="00BD0438"/>
    <w:rsid w:val="00BD4C47"/>
    <w:rsid w:val="00BE41B5"/>
    <w:rsid w:val="00BE668C"/>
    <w:rsid w:val="00BF011E"/>
    <w:rsid w:val="00BF088B"/>
    <w:rsid w:val="00BF18AF"/>
    <w:rsid w:val="00BF1DA6"/>
    <w:rsid w:val="00BF29CF"/>
    <w:rsid w:val="00BF6FAA"/>
    <w:rsid w:val="00C0198A"/>
    <w:rsid w:val="00C02BAA"/>
    <w:rsid w:val="00C06A11"/>
    <w:rsid w:val="00C115CA"/>
    <w:rsid w:val="00C1458B"/>
    <w:rsid w:val="00C23F8E"/>
    <w:rsid w:val="00C24733"/>
    <w:rsid w:val="00C27243"/>
    <w:rsid w:val="00C32631"/>
    <w:rsid w:val="00C34151"/>
    <w:rsid w:val="00C355CB"/>
    <w:rsid w:val="00C35EB6"/>
    <w:rsid w:val="00C37E38"/>
    <w:rsid w:val="00C40513"/>
    <w:rsid w:val="00C4080A"/>
    <w:rsid w:val="00C42DD8"/>
    <w:rsid w:val="00C441CF"/>
    <w:rsid w:val="00C509EA"/>
    <w:rsid w:val="00C5227B"/>
    <w:rsid w:val="00C540E1"/>
    <w:rsid w:val="00C5506B"/>
    <w:rsid w:val="00C60ECA"/>
    <w:rsid w:val="00C63237"/>
    <w:rsid w:val="00C6433F"/>
    <w:rsid w:val="00C65D4F"/>
    <w:rsid w:val="00C66F7F"/>
    <w:rsid w:val="00C67641"/>
    <w:rsid w:val="00C70389"/>
    <w:rsid w:val="00C71693"/>
    <w:rsid w:val="00C720CE"/>
    <w:rsid w:val="00C74CBB"/>
    <w:rsid w:val="00C7689D"/>
    <w:rsid w:val="00C77045"/>
    <w:rsid w:val="00C8319A"/>
    <w:rsid w:val="00C83A31"/>
    <w:rsid w:val="00C8567A"/>
    <w:rsid w:val="00C875D1"/>
    <w:rsid w:val="00C87F0D"/>
    <w:rsid w:val="00C9212E"/>
    <w:rsid w:val="00CA268D"/>
    <w:rsid w:val="00CA3DD0"/>
    <w:rsid w:val="00CA4A10"/>
    <w:rsid w:val="00CB0580"/>
    <w:rsid w:val="00CB1CC0"/>
    <w:rsid w:val="00CB69BC"/>
    <w:rsid w:val="00CC2D77"/>
    <w:rsid w:val="00CC4B08"/>
    <w:rsid w:val="00CC4B5D"/>
    <w:rsid w:val="00CC578D"/>
    <w:rsid w:val="00CC7A9A"/>
    <w:rsid w:val="00CD06D8"/>
    <w:rsid w:val="00CD119E"/>
    <w:rsid w:val="00CD23CC"/>
    <w:rsid w:val="00CD6624"/>
    <w:rsid w:val="00CE0C09"/>
    <w:rsid w:val="00CE1106"/>
    <w:rsid w:val="00CE2031"/>
    <w:rsid w:val="00CE62DD"/>
    <w:rsid w:val="00CE7877"/>
    <w:rsid w:val="00CE7B3C"/>
    <w:rsid w:val="00CF2C96"/>
    <w:rsid w:val="00CF5519"/>
    <w:rsid w:val="00CF7FD1"/>
    <w:rsid w:val="00D02F6A"/>
    <w:rsid w:val="00D06397"/>
    <w:rsid w:val="00D077D1"/>
    <w:rsid w:val="00D100AC"/>
    <w:rsid w:val="00D126F4"/>
    <w:rsid w:val="00D146A9"/>
    <w:rsid w:val="00D17754"/>
    <w:rsid w:val="00D248FE"/>
    <w:rsid w:val="00D302AD"/>
    <w:rsid w:val="00D304C9"/>
    <w:rsid w:val="00D306F0"/>
    <w:rsid w:val="00D30CE7"/>
    <w:rsid w:val="00D30E5E"/>
    <w:rsid w:val="00D336C0"/>
    <w:rsid w:val="00D34127"/>
    <w:rsid w:val="00D478B5"/>
    <w:rsid w:val="00D509C0"/>
    <w:rsid w:val="00D50ABB"/>
    <w:rsid w:val="00D50C17"/>
    <w:rsid w:val="00D5444A"/>
    <w:rsid w:val="00D5507E"/>
    <w:rsid w:val="00D64DCB"/>
    <w:rsid w:val="00D6700E"/>
    <w:rsid w:val="00D677B6"/>
    <w:rsid w:val="00D67CF8"/>
    <w:rsid w:val="00D701ED"/>
    <w:rsid w:val="00D7106C"/>
    <w:rsid w:val="00D76E39"/>
    <w:rsid w:val="00D8378E"/>
    <w:rsid w:val="00D84526"/>
    <w:rsid w:val="00D9028E"/>
    <w:rsid w:val="00D90709"/>
    <w:rsid w:val="00D91629"/>
    <w:rsid w:val="00D91705"/>
    <w:rsid w:val="00D944DA"/>
    <w:rsid w:val="00D94947"/>
    <w:rsid w:val="00D94FF1"/>
    <w:rsid w:val="00D9776C"/>
    <w:rsid w:val="00D97E4E"/>
    <w:rsid w:val="00DA31D5"/>
    <w:rsid w:val="00DA5A16"/>
    <w:rsid w:val="00DB07AC"/>
    <w:rsid w:val="00DB0DD5"/>
    <w:rsid w:val="00DB3313"/>
    <w:rsid w:val="00DB7800"/>
    <w:rsid w:val="00DC171C"/>
    <w:rsid w:val="00DC4112"/>
    <w:rsid w:val="00DC6A04"/>
    <w:rsid w:val="00DC6B91"/>
    <w:rsid w:val="00DD3C9F"/>
    <w:rsid w:val="00DE11BA"/>
    <w:rsid w:val="00DF64E9"/>
    <w:rsid w:val="00DF736E"/>
    <w:rsid w:val="00E00549"/>
    <w:rsid w:val="00E00CA8"/>
    <w:rsid w:val="00E018B6"/>
    <w:rsid w:val="00E05CB0"/>
    <w:rsid w:val="00E06DED"/>
    <w:rsid w:val="00E156CE"/>
    <w:rsid w:val="00E15D83"/>
    <w:rsid w:val="00E15FD0"/>
    <w:rsid w:val="00E203DD"/>
    <w:rsid w:val="00E22563"/>
    <w:rsid w:val="00E239A4"/>
    <w:rsid w:val="00E27391"/>
    <w:rsid w:val="00E350AA"/>
    <w:rsid w:val="00E41122"/>
    <w:rsid w:val="00E41A61"/>
    <w:rsid w:val="00E432FD"/>
    <w:rsid w:val="00E45B3C"/>
    <w:rsid w:val="00E46E44"/>
    <w:rsid w:val="00E56C93"/>
    <w:rsid w:val="00E5734B"/>
    <w:rsid w:val="00E57DEC"/>
    <w:rsid w:val="00E66A86"/>
    <w:rsid w:val="00E73F7E"/>
    <w:rsid w:val="00E744F3"/>
    <w:rsid w:val="00E77F8B"/>
    <w:rsid w:val="00E835D8"/>
    <w:rsid w:val="00E8678D"/>
    <w:rsid w:val="00E9513B"/>
    <w:rsid w:val="00E95C1F"/>
    <w:rsid w:val="00EA7413"/>
    <w:rsid w:val="00EB0E61"/>
    <w:rsid w:val="00EB592C"/>
    <w:rsid w:val="00EC101E"/>
    <w:rsid w:val="00EC468C"/>
    <w:rsid w:val="00EC65A7"/>
    <w:rsid w:val="00EC6E86"/>
    <w:rsid w:val="00EE104B"/>
    <w:rsid w:val="00EF0042"/>
    <w:rsid w:val="00EF043A"/>
    <w:rsid w:val="00EF2835"/>
    <w:rsid w:val="00EF2A17"/>
    <w:rsid w:val="00EF6693"/>
    <w:rsid w:val="00F01A11"/>
    <w:rsid w:val="00F07DF1"/>
    <w:rsid w:val="00F14E8E"/>
    <w:rsid w:val="00F215F1"/>
    <w:rsid w:val="00F220C8"/>
    <w:rsid w:val="00F22440"/>
    <w:rsid w:val="00F22491"/>
    <w:rsid w:val="00F231DD"/>
    <w:rsid w:val="00F32B98"/>
    <w:rsid w:val="00F36175"/>
    <w:rsid w:val="00F37FDC"/>
    <w:rsid w:val="00F45000"/>
    <w:rsid w:val="00F468C1"/>
    <w:rsid w:val="00F50E10"/>
    <w:rsid w:val="00F5350E"/>
    <w:rsid w:val="00F556FF"/>
    <w:rsid w:val="00F64C0E"/>
    <w:rsid w:val="00F67A84"/>
    <w:rsid w:val="00F7253F"/>
    <w:rsid w:val="00F768FE"/>
    <w:rsid w:val="00F81616"/>
    <w:rsid w:val="00F82DFD"/>
    <w:rsid w:val="00F8360B"/>
    <w:rsid w:val="00F843B2"/>
    <w:rsid w:val="00F87EF5"/>
    <w:rsid w:val="00F92BC3"/>
    <w:rsid w:val="00F94221"/>
    <w:rsid w:val="00F944C1"/>
    <w:rsid w:val="00FA0C27"/>
    <w:rsid w:val="00FA21FF"/>
    <w:rsid w:val="00FB276B"/>
    <w:rsid w:val="00FB365A"/>
    <w:rsid w:val="00FB4D24"/>
    <w:rsid w:val="00FB736E"/>
    <w:rsid w:val="00FC6426"/>
    <w:rsid w:val="00FC6901"/>
    <w:rsid w:val="00FD11A9"/>
    <w:rsid w:val="00FD1FDF"/>
    <w:rsid w:val="00FE2EAF"/>
    <w:rsid w:val="00FE4949"/>
    <w:rsid w:val="00FE6112"/>
    <w:rsid w:val="00FE6EB8"/>
    <w:rsid w:val="014D2AC6"/>
    <w:rsid w:val="01684F45"/>
    <w:rsid w:val="06AB6FEC"/>
    <w:rsid w:val="07D75F8C"/>
    <w:rsid w:val="08231EB0"/>
    <w:rsid w:val="094752EE"/>
    <w:rsid w:val="0B73FC51"/>
    <w:rsid w:val="0C2549C6"/>
    <w:rsid w:val="0DEF50FC"/>
    <w:rsid w:val="0E1653F7"/>
    <w:rsid w:val="0FA6473C"/>
    <w:rsid w:val="13117BFA"/>
    <w:rsid w:val="13BB7933"/>
    <w:rsid w:val="16D03928"/>
    <w:rsid w:val="17066928"/>
    <w:rsid w:val="18B4270C"/>
    <w:rsid w:val="1C7B4FEE"/>
    <w:rsid w:val="2298179E"/>
    <w:rsid w:val="25F74296"/>
    <w:rsid w:val="2C4B7881"/>
    <w:rsid w:val="35DF7D43"/>
    <w:rsid w:val="35E87C7D"/>
    <w:rsid w:val="387E4B3B"/>
    <w:rsid w:val="3B217306"/>
    <w:rsid w:val="40720BA9"/>
    <w:rsid w:val="418D21FF"/>
    <w:rsid w:val="450C6D9A"/>
    <w:rsid w:val="4570A6A0"/>
    <w:rsid w:val="46E36DC2"/>
    <w:rsid w:val="48AB7C56"/>
    <w:rsid w:val="49492F43"/>
    <w:rsid w:val="49DC7913"/>
    <w:rsid w:val="4C325F10"/>
    <w:rsid w:val="51442ECD"/>
    <w:rsid w:val="53C03E02"/>
    <w:rsid w:val="5C1E22D7"/>
    <w:rsid w:val="5C6D27C9"/>
    <w:rsid w:val="5EA23344"/>
    <w:rsid w:val="5F6A335E"/>
    <w:rsid w:val="614705FE"/>
    <w:rsid w:val="62C76F5B"/>
    <w:rsid w:val="69B77069"/>
    <w:rsid w:val="69F63E1D"/>
    <w:rsid w:val="6AF56E37"/>
    <w:rsid w:val="6B3430B8"/>
    <w:rsid w:val="6C265932"/>
    <w:rsid w:val="6C2D2B4F"/>
    <w:rsid w:val="6E453DD8"/>
    <w:rsid w:val="6EA445BA"/>
    <w:rsid w:val="74207B82"/>
    <w:rsid w:val="7A6F1F5A"/>
    <w:rsid w:val="C71F5886"/>
    <w:rsid w:val="C792D45A"/>
    <w:rsid w:val="D0F76751"/>
    <w:rsid w:val="F115A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9" w:semiHidden="0" w:name="heading 1"/>
    <w:lsdException w:qFormat="1" w:unhideWhenUsed="0" w:uiPriority="99" w:semiHidden="0" w:name="heading 2"/>
    <w:lsdException w:unhideWhenUsed="0" w:uiPriority="99" w:semiHidden="0" w:name="heading 3"/>
    <w:lsdException w:unhideWhenUsed="0" w:uiPriority="99" w:semiHidden="0" w:name="heading 4"/>
    <w:lsdException w:unhideWhenUsed="0" w:uiPriority="99" w:semiHidden="0" w:name="heading 5"/>
    <w:lsdException w:qFormat="1" w:unhideWhenUsed="0" w:uiPriority="99" w:name="heading 6"/>
    <w:lsdException w:qFormat="1" w:unhideWhenUsed="0" w:uiPriority="99" w:name="heading 7"/>
    <w:lsdException w:qFormat="1" w:unhideWhenUsed="0" w:uiPriority="99" w:name="heading 8"/>
    <w:lsdException w:qFormat="1" w:unhideWhenUsed="0"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name="toc 3"/>
    <w:lsdException w:qFormat="1" w:unhideWhenUsed="0"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nhideWhenUsed="0" w:uiPriority="0" w:semiHidden="0" w:name="Date"/>
    <w:lsdException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uiPriority w:val="9"/>
    <w:pPr>
      <w:keepNext/>
      <w:keepLines/>
      <w:widowControl/>
      <w:spacing w:line="480" w:lineRule="auto"/>
      <w:jc w:val="left"/>
      <w:outlineLvl w:val="0"/>
    </w:pPr>
    <w:rPr>
      <w:rFonts w:asciiTheme="minorHAnsi" w:hAnsiTheme="minorHAnsi" w:eastAsiaTheme="minorEastAsia" w:cstheme="minorBidi"/>
      <w:b/>
      <w:bCs/>
      <w:kern w:val="44"/>
      <w:sz w:val="28"/>
      <w:szCs w:val="44"/>
    </w:rPr>
  </w:style>
  <w:style w:type="paragraph" w:styleId="3">
    <w:name w:val="heading 2"/>
    <w:basedOn w:val="1"/>
    <w:next w:val="1"/>
    <w:link w:val="53"/>
    <w:qFormat/>
    <w:uiPriority w:val="9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3"/>
    <w:basedOn w:val="1"/>
    <w:next w:val="1"/>
    <w:link w:val="54"/>
    <w:uiPriority w:val="99"/>
    <w:pPr>
      <w:keepNext/>
      <w:keepLines/>
      <w:adjustRightInd w:val="0"/>
      <w:snapToGrid w:val="0"/>
      <w:spacing w:before="260" w:after="260" w:line="416" w:lineRule="auto"/>
      <w:ind w:firstLine="1040" w:firstLineChars="200"/>
      <w:outlineLvl w:val="2"/>
    </w:pPr>
    <w:rPr>
      <w:rFonts w:asciiTheme="minorHAnsi" w:hAnsiTheme="minorHAnsi" w:eastAsiaTheme="minorEastAsia" w:cstheme="minorBidi"/>
      <w:b/>
      <w:bCs/>
      <w:kern w:val="0"/>
      <w:sz w:val="32"/>
      <w:szCs w:val="32"/>
    </w:rPr>
  </w:style>
  <w:style w:type="paragraph" w:styleId="5">
    <w:name w:val="heading 4"/>
    <w:basedOn w:val="1"/>
    <w:next w:val="1"/>
    <w:link w:val="55"/>
    <w:uiPriority w:val="99"/>
    <w:pPr>
      <w:keepNext/>
      <w:keepLines/>
      <w:adjustRightInd w:val="0"/>
      <w:snapToGrid w:val="0"/>
      <w:spacing w:before="280" w:after="290" w:line="376" w:lineRule="auto"/>
      <w:ind w:firstLine="1040" w:firstLineChars="200"/>
      <w:outlineLvl w:val="3"/>
    </w:pPr>
    <w:rPr>
      <w:rFonts w:asciiTheme="majorHAnsi" w:hAnsiTheme="majorHAnsi" w:eastAsiaTheme="majorEastAsia" w:cstheme="majorBidi"/>
      <w:b/>
      <w:bCs/>
      <w:kern w:val="0"/>
      <w:sz w:val="28"/>
      <w:szCs w:val="28"/>
    </w:rPr>
  </w:style>
  <w:style w:type="paragraph" w:styleId="6">
    <w:name w:val="heading 5"/>
    <w:basedOn w:val="1"/>
    <w:next w:val="1"/>
    <w:link w:val="56"/>
    <w:uiPriority w:val="99"/>
    <w:pPr>
      <w:keepNext/>
      <w:keepLines/>
      <w:adjustRightInd w:val="0"/>
      <w:snapToGrid w:val="0"/>
      <w:spacing w:before="280" w:after="290" w:line="376" w:lineRule="auto"/>
      <w:ind w:firstLine="1040" w:firstLineChars="200"/>
      <w:outlineLvl w:val="4"/>
    </w:pPr>
    <w:rPr>
      <w:rFonts w:asciiTheme="minorHAnsi" w:hAnsiTheme="minorHAnsi" w:eastAsiaTheme="minorEastAsia" w:cstheme="minorBidi"/>
      <w:b/>
      <w:bCs/>
      <w:kern w:val="0"/>
      <w:sz w:val="28"/>
      <w:szCs w:val="28"/>
    </w:rPr>
  </w:style>
  <w:style w:type="paragraph" w:styleId="7">
    <w:name w:val="heading 6"/>
    <w:basedOn w:val="1"/>
    <w:next w:val="1"/>
    <w:link w:val="57"/>
    <w:semiHidden/>
    <w:qFormat/>
    <w:uiPriority w:val="99"/>
    <w:pPr>
      <w:keepNext/>
      <w:keepLines/>
      <w:adjustRightInd w:val="0"/>
      <w:snapToGrid w:val="0"/>
      <w:spacing w:before="240" w:after="64" w:line="320" w:lineRule="auto"/>
      <w:ind w:firstLine="1040" w:firstLineChars="200"/>
      <w:outlineLvl w:val="5"/>
    </w:pPr>
    <w:rPr>
      <w:rFonts w:asciiTheme="majorHAnsi" w:hAnsiTheme="majorHAnsi" w:eastAsiaTheme="majorEastAsia" w:cstheme="majorBidi"/>
      <w:b/>
      <w:bCs/>
      <w:kern w:val="0"/>
      <w:szCs w:val="21"/>
    </w:rPr>
  </w:style>
  <w:style w:type="paragraph" w:styleId="8">
    <w:name w:val="heading 7"/>
    <w:basedOn w:val="1"/>
    <w:next w:val="1"/>
    <w:link w:val="58"/>
    <w:semiHidden/>
    <w:qFormat/>
    <w:uiPriority w:val="99"/>
    <w:pPr>
      <w:keepNext/>
      <w:keepLines/>
      <w:adjustRightInd w:val="0"/>
      <w:snapToGrid w:val="0"/>
      <w:spacing w:before="240" w:after="64" w:line="320" w:lineRule="auto"/>
      <w:ind w:firstLine="1040" w:firstLineChars="200"/>
      <w:outlineLvl w:val="6"/>
    </w:pPr>
    <w:rPr>
      <w:rFonts w:asciiTheme="minorHAnsi" w:hAnsiTheme="minorHAnsi" w:eastAsiaTheme="minorEastAsia" w:cstheme="minorBidi"/>
      <w:b/>
      <w:bCs/>
      <w:kern w:val="0"/>
      <w:szCs w:val="21"/>
    </w:rPr>
  </w:style>
  <w:style w:type="paragraph" w:styleId="9">
    <w:name w:val="heading 8"/>
    <w:basedOn w:val="1"/>
    <w:next w:val="1"/>
    <w:link w:val="59"/>
    <w:semiHidden/>
    <w:qFormat/>
    <w:uiPriority w:val="99"/>
    <w:pPr>
      <w:keepNext/>
      <w:keepLines/>
      <w:adjustRightInd w:val="0"/>
      <w:snapToGrid w:val="0"/>
      <w:spacing w:before="240" w:after="64" w:line="320" w:lineRule="auto"/>
      <w:ind w:firstLine="1040" w:firstLineChars="200"/>
      <w:outlineLvl w:val="7"/>
    </w:pPr>
    <w:rPr>
      <w:rFonts w:asciiTheme="majorHAnsi" w:hAnsiTheme="majorHAnsi" w:eastAsiaTheme="majorEastAsia" w:cstheme="majorBidi"/>
      <w:kern w:val="0"/>
      <w:szCs w:val="21"/>
    </w:rPr>
  </w:style>
  <w:style w:type="paragraph" w:styleId="10">
    <w:name w:val="heading 9"/>
    <w:basedOn w:val="1"/>
    <w:next w:val="1"/>
    <w:link w:val="60"/>
    <w:semiHidden/>
    <w:qFormat/>
    <w:uiPriority w:val="99"/>
    <w:pPr>
      <w:keepNext/>
      <w:keepLines/>
      <w:adjustRightInd w:val="0"/>
      <w:snapToGrid w:val="0"/>
      <w:spacing w:before="240" w:after="64" w:line="320" w:lineRule="auto"/>
      <w:ind w:firstLine="1040" w:firstLineChars="200"/>
      <w:outlineLvl w:val="8"/>
    </w:pPr>
    <w:rPr>
      <w:rFonts w:asciiTheme="majorHAnsi" w:hAnsiTheme="majorHAnsi" w:eastAsiaTheme="majorEastAsia" w:cstheme="majorBidi"/>
      <w:kern w:val="0"/>
      <w:szCs w:val="21"/>
    </w:rPr>
  </w:style>
  <w:style w:type="character" w:default="1" w:styleId="37">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99"/>
    <w:pPr>
      <w:spacing w:line="300" w:lineRule="auto"/>
      <w:ind w:firstLine="420"/>
    </w:pPr>
    <w:rPr>
      <w:kern w:val="0"/>
      <w:sz w:val="20"/>
      <w:szCs w:val="20"/>
    </w:rPr>
  </w:style>
  <w:style w:type="paragraph" w:styleId="12">
    <w:name w:val="caption"/>
    <w:basedOn w:val="1"/>
    <w:next w:val="1"/>
    <w:uiPriority w:val="0"/>
    <w:rPr>
      <w:rFonts w:ascii="Cambria" w:hAnsi="Cambria" w:eastAsia="黑体"/>
      <w:sz w:val="20"/>
      <w:szCs w:val="20"/>
    </w:rPr>
  </w:style>
  <w:style w:type="paragraph" w:styleId="13">
    <w:name w:val="annotation text"/>
    <w:basedOn w:val="1"/>
    <w:link w:val="66"/>
    <w:semiHidden/>
    <w:qFormat/>
    <w:uiPriority w:val="0"/>
    <w:pPr>
      <w:jc w:val="left"/>
    </w:pPr>
    <w:rPr>
      <w:kern w:val="0"/>
      <w:sz w:val="24"/>
      <w:szCs w:val="20"/>
    </w:rPr>
  </w:style>
  <w:style w:type="paragraph" w:styleId="14">
    <w:name w:val="Body Text"/>
    <w:basedOn w:val="1"/>
    <w:next w:val="1"/>
    <w:link w:val="67"/>
    <w:uiPriority w:val="99"/>
    <w:pPr>
      <w:widowControl/>
      <w:snapToGrid w:val="0"/>
      <w:spacing w:before="60" w:after="160" w:line="259" w:lineRule="auto"/>
      <w:ind w:right="113"/>
    </w:pPr>
    <w:rPr>
      <w:kern w:val="0"/>
      <w:sz w:val="18"/>
      <w:szCs w:val="20"/>
    </w:rPr>
  </w:style>
  <w:style w:type="paragraph" w:styleId="15">
    <w:name w:val="Body Text Indent"/>
    <w:basedOn w:val="1"/>
    <w:next w:val="16"/>
    <w:link w:val="68"/>
    <w:uiPriority w:val="99"/>
    <w:pPr>
      <w:spacing w:after="120"/>
      <w:ind w:left="420" w:leftChars="200"/>
    </w:pPr>
    <w:rPr>
      <w:kern w:val="0"/>
      <w:sz w:val="24"/>
      <w:szCs w:val="20"/>
    </w:rPr>
  </w:style>
  <w:style w:type="paragraph" w:styleId="16">
    <w:name w:val="header"/>
    <w:basedOn w:val="1"/>
    <w:next w:val="17"/>
    <w:link w:val="69"/>
    <w:unhideWhenUsed/>
    <w:qFormat/>
    <w:uiPriority w:val="99"/>
    <w:pPr>
      <w:tabs>
        <w:tab w:val="center" w:pos="4153"/>
        <w:tab w:val="right" w:pos="8306"/>
      </w:tabs>
      <w:snapToGrid w:val="0"/>
      <w:jc w:val="center"/>
    </w:pPr>
    <w:rPr>
      <w:sz w:val="18"/>
      <w:szCs w:val="18"/>
    </w:rPr>
  </w:style>
  <w:style w:type="paragraph" w:customStyle="1" w:styleId="17">
    <w:name w:val="样式5"/>
    <w:basedOn w:val="18"/>
    <w:next w:val="1"/>
    <w:qFormat/>
    <w:uiPriority w:val="0"/>
    <w:pPr>
      <w:pBdr>
        <w:top w:val="single" w:color="auto" w:sz="4" w:space="1"/>
      </w:pBdr>
      <w:tabs>
        <w:tab w:val="left" w:pos="0"/>
        <w:tab w:val="left" w:pos="870"/>
        <w:tab w:val="left" w:pos="1080"/>
        <w:tab w:val="left" w:pos="3150"/>
        <w:tab w:val="center" w:pos="4153"/>
        <w:tab w:val="right" w:pos="8306"/>
      </w:tabs>
      <w:spacing w:line="240" w:lineRule="auto"/>
      <w:ind w:firstLine="0"/>
      <w:jc w:val="center"/>
    </w:pPr>
    <w:rPr>
      <w:rFonts w:ascii="宋体"/>
      <w:szCs w:val="21"/>
    </w:rPr>
  </w:style>
  <w:style w:type="paragraph" w:customStyle="1" w:styleId="18">
    <w:name w:val="正文1"/>
    <w:basedOn w:val="19"/>
    <w:next w:val="1"/>
    <w:qFormat/>
    <w:uiPriority w:val="0"/>
    <w:pPr>
      <w:tabs>
        <w:tab w:val="left" w:pos="0"/>
        <w:tab w:val="left" w:pos="870"/>
        <w:tab w:val="left" w:pos="1080"/>
        <w:tab w:val="left" w:pos="3150"/>
      </w:tabs>
      <w:spacing w:before="60" w:line="460" w:lineRule="exact"/>
      <w:ind w:firstLine="200"/>
    </w:pPr>
  </w:style>
  <w:style w:type="paragraph" w:customStyle="1" w:styleId="19">
    <w:name w:val="正文首行缩进 2 + Times New Roman"/>
    <w:basedOn w:val="1"/>
    <w:qFormat/>
    <w:uiPriority w:val="0"/>
    <w:pPr>
      <w:tabs>
        <w:tab w:val="left" w:pos="0"/>
        <w:tab w:val="left" w:pos="870"/>
        <w:tab w:val="left" w:pos="1080"/>
        <w:tab w:val="left" w:pos="3150"/>
      </w:tabs>
      <w:autoSpaceDE w:val="0"/>
      <w:autoSpaceDN w:val="0"/>
      <w:spacing w:line="360" w:lineRule="auto"/>
      <w:ind w:firstLine="480" w:firstLineChars="200"/>
      <w:jc w:val="left"/>
    </w:pPr>
    <w:rPr>
      <w:color w:val="0070C0"/>
      <w:sz w:val="24"/>
    </w:rPr>
  </w:style>
  <w:style w:type="paragraph" w:styleId="20">
    <w:name w:val="Block Text"/>
    <w:basedOn w:val="1"/>
    <w:qFormat/>
    <w:uiPriority w:val="0"/>
    <w:pPr>
      <w:autoSpaceDE w:val="0"/>
      <w:autoSpaceDN w:val="0"/>
      <w:adjustRightInd w:val="0"/>
      <w:spacing w:line="537" w:lineRule="exact"/>
      <w:ind w:left="88" w:right="6"/>
    </w:pPr>
    <w:rPr>
      <w:kern w:val="0"/>
      <w:sz w:val="28"/>
    </w:rPr>
  </w:style>
  <w:style w:type="paragraph" w:styleId="21">
    <w:name w:val="toc 3"/>
    <w:basedOn w:val="1"/>
    <w:next w:val="1"/>
    <w:semiHidden/>
    <w:qFormat/>
    <w:uiPriority w:val="39"/>
    <w:pPr>
      <w:widowControl/>
      <w:ind w:left="840" w:leftChars="400"/>
      <w:jc w:val="left"/>
    </w:pPr>
    <w:rPr>
      <w:rFonts w:asciiTheme="minorHAnsi" w:hAnsiTheme="minorHAnsi" w:eastAsiaTheme="minorEastAsia" w:cstheme="minorBidi"/>
      <w:szCs w:val="21"/>
    </w:rPr>
  </w:style>
  <w:style w:type="paragraph" w:styleId="22">
    <w:name w:val="Plain Text"/>
    <w:basedOn w:val="1"/>
    <w:link w:val="70"/>
    <w:qFormat/>
    <w:uiPriority w:val="0"/>
    <w:rPr>
      <w:rFonts w:ascii="宋体" w:hAnsi="Courier New"/>
      <w:szCs w:val="21"/>
    </w:rPr>
  </w:style>
  <w:style w:type="paragraph" w:styleId="23">
    <w:name w:val="Date"/>
    <w:basedOn w:val="1"/>
    <w:next w:val="1"/>
    <w:link w:val="76"/>
    <w:qFormat/>
    <w:uiPriority w:val="0"/>
    <w:pPr>
      <w:ind w:left="100" w:leftChars="2500"/>
    </w:pPr>
    <w:rPr>
      <w:kern w:val="0"/>
      <w:sz w:val="24"/>
      <w:szCs w:val="20"/>
    </w:rPr>
  </w:style>
  <w:style w:type="paragraph" w:styleId="24">
    <w:name w:val="Body Text Indent 2"/>
    <w:basedOn w:val="1"/>
    <w:next w:val="1"/>
    <w:link w:val="72"/>
    <w:qFormat/>
    <w:uiPriority w:val="99"/>
    <w:pPr>
      <w:spacing w:beforeAutospacing="1" w:line="360" w:lineRule="auto"/>
      <w:ind w:left="420" w:leftChars="200"/>
    </w:pPr>
    <w:rPr>
      <w:rFonts w:ascii="Calibri" w:hAnsi="Calibri" w:cs="Calibri"/>
      <w:sz w:val="24"/>
      <w:szCs w:val="21"/>
    </w:rPr>
  </w:style>
  <w:style w:type="paragraph" w:styleId="25">
    <w:name w:val="Balloon Text"/>
    <w:basedOn w:val="1"/>
    <w:link w:val="73"/>
    <w:qFormat/>
    <w:uiPriority w:val="0"/>
    <w:rPr>
      <w:kern w:val="0"/>
      <w:sz w:val="18"/>
      <w:szCs w:val="20"/>
    </w:rPr>
  </w:style>
  <w:style w:type="paragraph" w:styleId="26">
    <w:name w:val="footer"/>
    <w:basedOn w:val="1"/>
    <w:link w:val="63"/>
    <w:unhideWhenUsed/>
    <w:qFormat/>
    <w:uiPriority w:val="99"/>
    <w:pPr>
      <w:tabs>
        <w:tab w:val="center" w:pos="4153"/>
        <w:tab w:val="right" w:pos="8306"/>
      </w:tabs>
      <w:snapToGrid w:val="0"/>
    </w:pPr>
    <w:rPr>
      <w:sz w:val="18"/>
      <w:szCs w:val="18"/>
    </w:rPr>
  </w:style>
  <w:style w:type="paragraph" w:styleId="27">
    <w:name w:val="toc 1"/>
    <w:basedOn w:val="1"/>
    <w:next w:val="1"/>
    <w:unhideWhenUsed/>
    <w:qFormat/>
    <w:uiPriority w:val="39"/>
    <w:pPr>
      <w:widowControl/>
      <w:adjustRightInd w:val="0"/>
      <w:snapToGrid w:val="0"/>
      <w:spacing w:line="360" w:lineRule="auto"/>
    </w:pPr>
    <w:rPr>
      <w:rFonts w:eastAsiaTheme="minorEastAsia" w:cstheme="minorBidi"/>
      <w:b/>
      <w:szCs w:val="21"/>
    </w:rPr>
  </w:style>
  <w:style w:type="paragraph" w:styleId="28">
    <w:name w:val="toc 4"/>
    <w:basedOn w:val="1"/>
    <w:next w:val="1"/>
    <w:semiHidden/>
    <w:qFormat/>
    <w:uiPriority w:val="39"/>
    <w:pPr>
      <w:ind w:left="1260" w:leftChars="600"/>
    </w:pPr>
    <w:rPr>
      <w:rFonts w:ascii="Calibri" w:hAnsi="Calibri" w:eastAsiaTheme="minorEastAsia"/>
      <w:szCs w:val="22"/>
    </w:rPr>
  </w:style>
  <w:style w:type="paragraph" w:styleId="29">
    <w:name w:val="List"/>
    <w:basedOn w:val="1"/>
    <w:next w:val="1"/>
    <w:qFormat/>
    <w:uiPriority w:val="0"/>
    <w:pPr>
      <w:ind w:left="200" w:hanging="200" w:hangingChars="200"/>
    </w:pPr>
    <w:rPr>
      <w:sz w:val="28"/>
      <w:szCs w:val="20"/>
    </w:rPr>
  </w:style>
  <w:style w:type="paragraph" w:styleId="30">
    <w:name w:val="toc 2"/>
    <w:basedOn w:val="1"/>
    <w:next w:val="1"/>
    <w:unhideWhenUsed/>
    <w:qFormat/>
    <w:uiPriority w:val="39"/>
    <w:pPr>
      <w:adjustRightInd w:val="0"/>
      <w:snapToGrid w:val="0"/>
      <w:spacing w:line="360" w:lineRule="auto"/>
      <w:ind w:left="100" w:leftChars="100"/>
    </w:pPr>
    <w:rPr>
      <w:rFonts w:eastAsiaTheme="minorEastAsia" w:cstheme="minorBidi"/>
      <w:szCs w:val="21"/>
    </w:rPr>
  </w:style>
  <w:style w:type="paragraph" w:styleId="31">
    <w:name w:val="Normal (Web)"/>
    <w:basedOn w:val="1"/>
    <w:link w:val="78"/>
    <w:qFormat/>
    <w:uiPriority w:val="99"/>
    <w:pPr>
      <w:widowControl/>
      <w:spacing w:before="100" w:beforeAutospacing="1" w:after="100" w:afterAutospacing="1"/>
      <w:jc w:val="left"/>
    </w:pPr>
    <w:rPr>
      <w:rFonts w:ascii="宋体" w:hAnsi="宋体"/>
      <w:kern w:val="0"/>
      <w:sz w:val="24"/>
      <w:szCs w:val="20"/>
    </w:rPr>
  </w:style>
  <w:style w:type="paragraph" w:styleId="32">
    <w:name w:val="Title"/>
    <w:basedOn w:val="1"/>
    <w:next w:val="1"/>
    <w:link w:val="64"/>
    <w:qFormat/>
    <w:uiPriority w:val="99"/>
    <w:pPr>
      <w:adjustRightInd w:val="0"/>
      <w:snapToGrid w:val="0"/>
      <w:jc w:val="center"/>
      <w:outlineLvl w:val="0"/>
    </w:pPr>
    <w:rPr>
      <w:rFonts w:ascii="等线 Light" w:hAnsi="等线 Light" w:eastAsia="等线 Light"/>
      <w:b/>
      <w:bCs/>
      <w:sz w:val="30"/>
      <w:szCs w:val="30"/>
    </w:rPr>
  </w:style>
  <w:style w:type="paragraph" w:styleId="33">
    <w:name w:val="annotation subject"/>
    <w:basedOn w:val="13"/>
    <w:next w:val="13"/>
    <w:link w:val="74"/>
    <w:semiHidden/>
    <w:qFormat/>
    <w:uiPriority w:val="0"/>
    <w:rPr>
      <w:b/>
      <w:kern w:val="2"/>
    </w:rPr>
  </w:style>
  <w:style w:type="paragraph" w:styleId="34">
    <w:name w:val="Body Text First Indent 2"/>
    <w:basedOn w:val="15"/>
    <w:next w:val="1"/>
    <w:link w:val="75"/>
    <w:unhideWhenUsed/>
    <w:qFormat/>
    <w:uiPriority w:val="99"/>
    <w:pPr>
      <w:ind w:firstLine="420" w:firstLineChars="200"/>
    </w:pPr>
  </w:style>
  <w:style w:type="table" w:styleId="36">
    <w:name w:val="Table Grid"/>
    <w:basedOn w:val="3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bCs/>
    </w:rPr>
  </w:style>
  <w:style w:type="character" w:styleId="39">
    <w:name w:val="page number"/>
    <w:qFormat/>
    <w:uiPriority w:val="0"/>
  </w:style>
  <w:style w:type="character" w:styleId="40">
    <w:name w:val="Emphasis"/>
    <w:basedOn w:val="37"/>
    <w:qFormat/>
    <w:uiPriority w:val="20"/>
    <w:rPr>
      <w:i/>
      <w:iCs/>
    </w:rPr>
  </w:style>
  <w:style w:type="character" w:styleId="41">
    <w:name w:val="Hyperlink"/>
    <w:basedOn w:val="37"/>
    <w:qFormat/>
    <w:uiPriority w:val="0"/>
    <w:rPr>
      <w:color w:val="0000FF"/>
      <w:u w:val="single"/>
    </w:rPr>
  </w:style>
  <w:style w:type="character" w:styleId="42">
    <w:name w:val="annotation reference"/>
    <w:semiHidden/>
    <w:qFormat/>
    <w:uiPriority w:val="0"/>
    <w:rPr>
      <w:sz w:val="21"/>
    </w:rPr>
  </w:style>
  <w:style w:type="paragraph" w:customStyle="1" w:styleId="43">
    <w:name w:val="报告正文"/>
    <w:basedOn w:val="1"/>
    <w:qFormat/>
    <w:uiPriority w:val="0"/>
    <w:pPr>
      <w:widowControl/>
      <w:adjustRightInd w:val="0"/>
      <w:snapToGrid w:val="0"/>
      <w:spacing w:line="400" w:lineRule="atLeast"/>
      <w:ind w:firstLine="200" w:firstLineChars="200"/>
    </w:pPr>
    <w:rPr>
      <w:rFonts w:cstheme="minorBidi"/>
      <w:sz w:val="24"/>
      <w:szCs w:val="20"/>
    </w:rPr>
  </w:style>
  <w:style w:type="paragraph" w:customStyle="1" w:styleId="44">
    <w:name w:val="标题二"/>
    <w:basedOn w:val="1"/>
    <w:next w:val="43"/>
    <w:qFormat/>
    <w:uiPriority w:val="6"/>
    <w:pPr>
      <w:keepNext/>
      <w:keepLines/>
      <w:numPr>
        <w:ilvl w:val="1"/>
        <w:numId w:val="1"/>
      </w:numPr>
      <w:adjustRightInd w:val="0"/>
      <w:snapToGrid w:val="0"/>
      <w:spacing w:line="500" w:lineRule="atLeast"/>
      <w:jc w:val="left"/>
      <w:outlineLvl w:val="1"/>
    </w:pPr>
    <w:rPr>
      <w:b/>
      <w:color w:val="000000" w:themeColor="text1"/>
      <w:sz w:val="28"/>
      <w:szCs w:val="28"/>
      <w:lang w:val="zh-CN"/>
      <w14:textFill>
        <w14:solidFill>
          <w14:schemeClr w14:val="tx1"/>
        </w14:solidFill>
      </w14:textFill>
    </w:rPr>
  </w:style>
  <w:style w:type="paragraph" w:customStyle="1" w:styleId="45">
    <w:name w:val="标题三"/>
    <w:basedOn w:val="1"/>
    <w:next w:val="43"/>
    <w:qFormat/>
    <w:uiPriority w:val="6"/>
    <w:pPr>
      <w:keepNext/>
      <w:keepLines/>
      <w:numPr>
        <w:ilvl w:val="2"/>
        <w:numId w:val="1"/>
      </w:numPr>
      <w:adjustRightInd w:val="0"/>
      <w:snapToGrid w:val="0"/>
      <w:spacing w:line="500" w:lineRule="atLeast"/>
      <w:jc w:val="left"/>
      <w:outlineLvl w:val="2"/>
    </w:pPr>
    <w:rPr>
      <w:rFonts w:asciiTheme="minorEastAsia" w:hAnsiTheme="minorEastAsia"/>
      <w:b/>
      <w:bCs/>
      <w:kern w:val="0"/>
      <w:sz w:val="24"/>
      <w:szCs w:val="32"/>
    </w:rPr>
  </w:style>
  <w:style w:type="paragraph" w:customStyle="1" w:styleId="46">
    <w:name w:val="标题四"/>
    <w:basedOn w:val="1"/>
    <w:next w:val="43"/>
    <w:qFormat/>
    <w:uiPriority w:val="7"/>
    <w:pPr>
      <w:widowControl/>
      <w:numPr>
        <w:ilvl w:val="3"/>
        <w:numId w:val="1"/>
      </w:numPr>
      <w:adjustRightInd w:val="0"/>
      <w:snapToGrid w:val="0"/>
      <w:spacing w:line="500" w:lineRule="atLeast"/>
      <w:jc w:val="left"/>
      <w:outlineLvl w:val="3"/>
    </w:pPr>
    <w:rPr>
      <w:b/>
      <w:color w:val="000000" w:themeColor="text1"/>
      <w:sz w:val="24"/>
      <w:szCs w:val="21"/>
      <w14:textFill>
        <w14:solidFill>
          <w14:schemeClr w14:val="tx1"/>
        </w14:solidFill>
      </w14:textFill>
    </w:rPr>
  </w:style>
  <w:style w:type="paragraph" w:customStyle="1" w:styleId="47">
    <w:name w:val="标题一"/>
    <w:basedOn w:val="1"/>
    <w:next w:val="43"/>
    <w:qFormat/>
    <w:uiPriority w:val="5"/>
    <w:pPr>
      <w:keepNext/>
      <w:keepLines/>
      <w:pageBreakBefore/>
      <w:numPr>
        <w:ilvl w:val="0"/>
        <w:numId w:val="1"/>
      </w:numPr>
      <w:adjustRightInd w:val="0"/>
      <w:snapToGrid w:val="0"/>
      <w:spacing w:line="500" w:lineRule="atLeast"/>
      <w:jc w:val="left"/>
      <w:outlineLvl w:val="0"/>
    </w:pPr>
    <w:rPr>
      <w:b/>
      <w:bCs/>
      <w:kern w:val="44"/>
      <w:sz w:val="30"/>
      <w:szCs w:val="44"/>
    </w:rPr>
  </w:style>
  <w:style w:type="paragraph" w:customStyle="1" w:styleId="48">
    <w:name w:val="表格文字"/>
    <w:basedOn w:val="1"/>
    <w:link w:val="86"/>
    <w:qFormat/>
    <w:uiPriority w:val="0"/>
    <w:pPr>
      <w:adjustRightInd w:val="0"/>
      <w:snapToGrid w:val="0"/>
      <w:jc w:val="center"/>
    </w:pPr>
    <w:rPr>
      <w:rFonts w:eastAsiaTheme="minorEastAsia"/>
      <w:color w:val="000000" w:themeColor="text1"/>
      <w:szCs w:val="21"/>
      <w14:textFill>
        <w14:solidFill>
          <w14:schemeClr w14:val="tx1"/>
        </w14:solidFill>
      </w14:textFill>
    </w:rPr>
  </w:style>
  <w:style w:type="paragraph" w:customStyle="1" w:styleId="49">
    <w:name w:val="表头"/>
    <w:basedOn w:val="1"/>
    <w:next w:val="43"/>
    <w:qFormat/>
    <w:uiPriority w:val="1"/>
    <w:pPr>
      <w:widowControl/>
      <w:adjustRightInd w:val="0"/>
      <w:snapToGrid w:val="0"/>
      <w:spacing w:line="500" w:lineRule="atLeast"/>
      <w:jc w:val="center"/>
    </w:pPr>
    <w:rPr>
      <w:b/>
      <w:snapToGrid w:val="0"/>
      <w:color w:val="000000" w:themeColor="text1"/>
      <w:kern w:val="0"/>
      <w:szCs w:val="20"/>
      <w14:textFill>
        <w14:solidFill>
          <w14:schemeClr w14:val="tx1"/>
        </w14:solidFill>
      </w14:textFill>
    </w:rPr>
  </w:style>
  <w:style w:type="paragraph" w:customStyle="1" w:styleId="50">
    <w:name w:val="图底文字"/>
    <w:basedOn w:val="1"/>
    <w:next w:val="43"/>
    <w:qFormat/>
    <w:uiPriority w:val="4"/>
    <w:pPr>
      <w:adjustRightInd w:val="0"/>
      <w:snapToGrid w:val="0"/>
      <w:jc w:val="center"/>
    </w:pPr>
    <w:rPr>
      <w:rFonts w:eastAsiaTheme="minorEastAsia"/>
      <w:b/>
      <w:color w:val="000000"/>
      <w:szCs w:val="21"/>
    </w:rPr>
  </w:style>
  <w:style w:type="paragraph" w:customStyle="1" w:styleId="51">
    <w:name w:val="图片"/>
    <w:basedOn w:val="1"/>
    <w:next w:val="43"/>
    <w:qFormat/>
    <w:uiPriority w:val="3"/>
    <w:pPr>
      <w:adjustRightInd w:val="0"/>
      <w:snapToGrid w:val="0"/>
      <w:spacing w:before="50" w:beforeLines="50"/>
      <w:jc w:val="center"/>
    </w:pPr>
    <w:rPr>
      <w:rFonts w:eastAsiaTheme="minorEastAsia" w:cstheme="minorBidi"/>
      <w:color w:val="000000"/>
      <w:szCs w:val="21"/>
    </w:rPr>
  </w:style>
  <w:style w:type="character" w:customStyle="1" w:styleId="52">
    <w:name w:val="标题 1 字符"/>
    <w:basedOn w:val="37"/>
    <w:link w:val="2"/>
    <w:qFormat/>
    <w:uiPriority w:val="9"/>
    <w:rPr>
      <w:rFonts w:asciiTheme="minorHAnsi" w:hAnsiTheme="minorHAnsi" w:eastAsiaTheme="minorEastAsia" w:cstheme="minorBidi"/>
      <w:b/>
      <w:bCs/>
      <w:kern w:val="44"/>
      <w:sz w:val="28"/>
      <w:szCs w:val="44"/>
    </w:rPr>
  </w:style>
  <w:style w:type="character" w:customStyle="1" w:styleId="53">
    <w:name w:val="标题 2 字符"/>
    <w:basedOn w:val="37"/>
    <w:link w:val="3"/>
    <w:semiHidden/>
    <w:qFormat/>
    <w:uiPriority w:val="99"/>
    <w:rPr>
      <w:rFonts w:asciiTheme="majorHAnsi" w:hAnsiTheme="majorHAnsi" w:eastAsiaTheme="majorEastAsia" w:cstheme="majorBidi"/>
      <w:b/>
      <w:bCs/>
      <w:kern w:val="2"/>
      <w:sz w:val="32"/>
      <w:szCs w:val="32"/>
    </w:rPr>
  </w:style>
  <w:style w:type="character" w:customStyle="1" w:styleId="54">
    <w:name w:val="标题 3 字符"/>
    <w:basedOn w:val="37"/>
    <w:link w:val="4"/>
    <w:semiHidden/>
    <w:qFormat/>
    <w:uiPriority w:val="99"/>
    <w:rPr>
      <w:rFonts w:asciiTheme="minorHAnsi" w:hAnsiTheme="minorHAnsi" w:cstheme="minorBidi"/>
      <w:b/>
      <w:bCs/>
      <w:sz w:val="32"/>
      <w:szCs w:val="32"/>
    </w:rPr>
  </w:style>
  <w:style w:type="character" w:customStyle="1" w:styleId="55">
    <w:name w:val="标题 4 字符"/>
    <w:basedOn w:val="37"/>
    <w:link w:val="5"/>
    <w:semiHidden/>
    <w:qFormat/>
    <w:uiPriority w:val="99"/>
    <w:rPr>
      <w:rFonts w:asciiTheme="majorHAnsi" w:hAnsiTheme="majorHAnsi" w:eastAsiaTheme="majorEastAsia" w:cstheme="majorBidi"/>
      <w:b/>
      <w:bCs/>
      <w:sz w:val="28"/>
      <w:szCs w:val="28"/>
    </w:rPr>
  </w:style>
  <w:style w:type="character" w:customStyle="1" w:styleId="56">
    <w:name w:val="标题 5 字符"/>
    <w:basedOn w:val="37"/>
    <w:link w:val="6"/>
    <w:semiHidden/>
    <w:qFormat/>
    <w:uiPriority w:val="99"/>
    <w:rPr>
      <w:rFonts w:asciiTheme="minorHAnsi" w:hAnsiTheme="minorHAnsi" w:cstheme="minorBidi"/>
      <w:b/>
      <w:bCs/>
      <w:sz w:val="28"/>
      <w:szCs w:val="28"/>
    </w:rPr>
  </w:style>
  <w:style w:type="character" w:customStyle="1" w:styleId="57">
    <w:name w:val="标题 6 字符"/>
    <w:basedOn w:val="37"/>
    <w:link w:val="7"/>
    <w:semiHidden/>
    <w:qFormat/>
    <w:uiPriority w:val="99"/>
    <w:rPr>
      <w:rFonts w:asciiTheme="majorHAnsi" w:hAnsiTheme="majorHAnsi" w:eastAsiaTheme="majorEastAsia" w:cstheme="majorBidi"/>
      <w:b/>
      <w:bCs/>
      <w:sz w:val="21"/>
      <w:szCs w:val="21"/>
    </w:rPr>
  </w:style>
  <w:style w:type="character" w:customStyle="1" w:styleId="58">
    <w:name w:val="标题 7 字符"/>
    <w:basedOn w:val="37"/>
    <w:link w:val="8"/>
    <w:semiHidden/>
    <w:qFormat/>
    <w:uiPriority w:val="99"/>
    <w:rPr>
      <w:rFonts w:asciiTheme="minorHAnsi" w:hAnsiTheme="minorHAnsi" w:cstheme="minorBidi"/>
      <w:b/>
      <w:bCs/>
      <w:sz w:val="21"/>
      <w:szCs w:val="21"/>
    </w:rPr>
  </w:style>
  <w:style w:type="character" w:customStyle="1" w:styleId="59">
    <w:name w:val="标题 8 字符"/>
    <w:basedOn w:val="37"/>
    <w:link w:val="9"/>
    <w:semiHidden/>
    <w:qFormat/>
    <w:uiPriority w:val="99"/>
    <w:rPr>
      <w:rFonts w:asciiTheme="majorHAnsi" w:hAnsiTheme="majorHAnsi" w:eastAsiaTheme="majorEastAsia" w:cstheme="majorBidi"/>
      <w:sz w:val="21"/>
      <w:szCs w:val="21"/>
    </w:rPr>
  </w:style>
  <w:style w:type="character" w:customStyle="1" w:styleId="60">
    <w:name w:val="标题 9 字符"/>
    <w:basedOn w:val="37"/>
    <w:link w:val="10"/>
    <w:semiHidden/>
    <w:qFormat/>
    <w:uiPriority w:val="99"/>
    <w:rPr>
      <w:rFonts w:asciiTheme="majorHAnsi" w:hAnsiTheme="majorHAnsi" w:eastAsiaTheme="majorEastAsia" w:cstheme="majorBidi"/>
      <w:sz w:val="21"/>
      <w:szCs w:val="21"/>
    </w:rPr>
  </w:style>
  <w:style w:type="paragraph" w:customStyle="1" w:styleId="61">
    <w:name w:val="附件文字"/>
    <w:basedOn w:val="1"/>
    <w:next w:val="43"/>
    <w:qFormat/>
    <w:uiPriority w:val="99"/>
    <w:pPr>
      <w:widowControl/>
      <w:adjustRightInd w:val="0"/>
      <w:snapToGrid w:val="0"/>
      <w:jc w:val="left"/>
    </w:pPr>
    <w:rPr>
      <w:b/>
      <w:bCs/>
      <w:snapToGrid w:val="0"/>
      <w:color w:val="000000" w:themeColor="text1"/>
      <w:kern w:val="0"/>
      <w:sz w:val="24"/>
      <w14:textFill>
        <w14:solidFill>
          <w14:schemeClr w14:val="tx1"/>
        </w14:solidFill>
      </w14:textFill>
    </w:rPr>
  </w:style>
  <w:style w:type="paragraph" w:styleId="62">
    <w:name w:val="List Paragraph"/>
    <w:basedOn w:val="1"/>
    <w:qFormat/>
    <w:uiPriority w:val="99"/>
    <w:pPr>
      <w:widowControl/>
      <w:ind w:firstLine="420" w:firstLineChars="200"/>
      <w:jc w:val="left"/>
    </w:pPr>
    <w:rPr>
      <w:rFonts w:asciiTheme="minorHAnsi" w:hAnsiTheme="minorHAnsi" w:eastAsiaTheme="minorEastAsia" w:cstheme="minorBidi"/>
      <w:szCs w:val="21"/>
    </w:rPr>
  </w:style>
  <w:style w:type="character" w:customStyle="1" w:styleId="63">
    <w:name w:val="页脚 字符"/>
    <w:basedOn w:val="37"/>
    <w:link w:val="26"/>
    <w:qFormat/>
    <w:uiPriority w:val="99"/>
    <w:rPr>
      <w:rFonts w:ascii="Times New Roman" w:hAnsi="Times New Roman" w:eastAsia="宋体" w:cs="Times New Roman"/>
      <w:kern w:val="2"/>
      <w:sz w:val="18"/>
      <w:szCs w:val="18"/>
    </w:rPr>
  </w:style>
  <w:style w:type="character" w:customStyle="1" w:styleId="64">
    <w:name w:val="标题 字符"/>
    <w:basedOn w:val="37"/>
    <w:link w:val="32"/>
    <w:qFormat/>
    <w:uiPriority w:val="99"/>
    <w:rPr>
      <w:rFonts w:ascii="等线 Light" w:hAnsi="等线 Light" w:eastAsia="等线 Light" w:cs="Times New Roman"/>
      <w:b/>
      <w:bCs/>
      <w:kern w:val="2"/>
      <w:sz w:val="30"/>
      <w:szCs w:val="30"/>
    </w:rPr>
  </w:style>
  <w:style w:type="paragraph" w:customStyle="1" w:styleId="65">
    <w:name w:val="俺的正文"/>
    <w:basedOn w:val="1"/>
    <w:qFormat/>
    <w:uiPriority w:val="0"/>
    <w:pPr>
      <w:adjustRightInd w:val="0"/>
      <w:snapToGrid w:val="0"/>
      <w:spacing w:line="400" w:lineRule="exact"/>
      <w:ind w:firstLine="200" w:firstLineChars="200"/>
    </w:pPr>
    <w:rPr>
      <w:sz w:val="24"/>
    </w:rPr>
  </w:style>
  <w:style w:type="character" w:customStyle="1" w:styleId="66">
    <w:name w:val="批注文字 字符"/>
    <w:basedOn w:val="37"/>
    <w:link w:val="13"/>
    <w:semiHidden/>
    <w:qFormat/>
    <w:uiPriority w:val="0"/>
    <w:rPr>
      <w:rFonts w:ascii="Times New Roman" w:hAnsi="Times New Roman" w:eastAsia="宋体" w:cs="Times New Roman"/>
      <w:sz w:val="24"/>
      <w:szCs w:val="20"/>
    </w:rPr>
  </w:style>
  <w:style w:type="character" w:customStyle="1" w:styleId="67">
    <w:name w:val="正文文本 字符"/>
    <w:basedOn w:val="37"/>
    <w:link w:val="14"/>
    <w:qFormat/>
    <w:uiPriority w:val="99"/>
    <w:rPr>
      <w:rFonts w:ascii="Times New Roman" w:hAnsi="Times New Roman" w:eastAsia="宋体" w:cs="Times New Roman"/>
      <w:sz w:val="18"/>
      <w:szCs w:val="20"/>
    </w:rPr>
  </w:style>
  <w:style w:type="character" w:customStyle="1" w:styleId="68">
    <w:name w:val="正文文本缩进 字符"/>
    <w:basedOn w:val="37"/>
    <w:link w:val="15"/>
    <w:qFormat/>
    <w:uiPriority w:val="99"/>
    <w:rPr>
      <w:rFonts w:ascii="Times New Roman" w:hAnsi="Times New Roman" w:eastAsia="宋体" w:cs="Times New Roman"/>
      <w:sz w:val="24"/>
      <w:szCs w:val="20"/>
    </w:rPr>
  </w:style>
  <w:style w:type="character" w:customStyle="1" w:styleId="69">
    <w:name w:val="页眉 字符"/>
    <w:basedOn w:val="37"/>
    <w:link w:val="16"/>
    <w:qFormat/>
    <w:uiPriority w:val="99"/>
    <w:rPr>
      <w:rFonts w:ascii="Times New Roman" w:hAnsi="Times New Roman" w:eastAsia="宋体" w:cs="Times New Roman"/>
      <w:kern w:val="2"/>
      <w:sz w:val="18"/>
      <w:szCs w:val="18"/>
    </w:rPr>
  </w:style>
  <w:style w:type="character" w:customStyle="1" w:styleId="70">
    <w:name w:val="纯文本 字符"/>
    <w:basedOn w:val="37"/>
    <w:link w:val="22"/>
    <w:qFormat/>
    <w:uiPriority w:val="0"/>
    <w:rPr>
      <w:rFonts w:ascii="宋体" w:hAnsi="Courier New" w:eastAsia="宋体" w:cs="Times New Roman"/>
      <w:kern w:val="2"/>
    </w:rPr>
  </w:style>
  <w:style w:type="character" w:customStyle="1" w:styleId="71">
    <w:name w:val="日期 字符"/>
    <w:basedOn w:val="37"/>
    <w:semiHidden/>
    <w:qFormat/>
    <w:uiPriority w:val="0"/>
    <w:rPr>
      <w:rFonts w:ascii="Times New Roman" w:hAnsi="Times New Roman" w:eastAsia="宋体" w:cs="Times New Roman"/>
      <w:kern w:val="2"/>
      <w:szCs w:val="24"/>
    </w:rPr>
  </w:style>
  <w:style w:type="character" w:customStyle="1" w:styleId="72">
    <w:name w:val="正文文本缩进 2 字符"/>
    <w:basedOn w:val="37"/>
    <w:link w:val="24"/>
    <w:qFormat/>
    <w:uiPriority w:val="99"/>
    <w:rPr>
      <w:rFonts w:ascii="Calibri" w:hAnsi="Calibri" w:eastAsia="宋体" w:cs="Calibri"/>
      <w:kern w:val="2"/>
      <w:sz w:val="24"/>
    </w:rPr>
  </w:style>
  <w:style w:type="character" w:customStyle="1" w:styleId="73">
    <w:name w:val="批注框文本 字符"/>
    <w:basedOn w:val="37"/>
    <w:link w:val="25"/>
    <w:qFormat/>
    <w:uiPriority w:val="0"/>
    <w:rPr>
      <w:rFonts w:ascii="Times New Roman" w:hAnsi="Times New Roman" w:eastAsia="宋体" w:cs="Times New Roman"/>
      <w:sz w:val="18"/>
      <w:szCs w:val="20"/>
    </w:rPr>
  </w:style>
  <w:style w:type="character" w:customStyle="1" w:styleId="74">
    <w:name w:val="批注主题 字符"/>
    <w:basedOn w:val="66"/>
    <w:link w:val="33"/>
    <w:semiHidden/>
    <w:qFormat/>
    <w:uiPriority w:val="0"/>
    <w:rPr>
      <w:rFonts w:ascii="Times New Roman" w:hAnsi="Times New Roman" w:eastAsia="宋体" w:cs="Times New Roman"/>
      <w:b/>
      <w:kern w:val="2"/>
      <w:sz w:val="24"/>
      <w:szCs w:val="20"/>
    </w:rPr>
  </w:style>
  <w:style w:type="character" w:customStyle="1" w:styleId="75">
    <w:name w:val="正文文本首行缩进 2 字符"/>
    <w:basedOn w:val="68"/>
    <w:link w:val="34"/>
    <w:qFormat/>
    <w:uiPriority w:val="99"/>
    <w:rPr>
      <w:rFonts w:ascii="Times New Roman" w:hAnsi="Times New Roman" w:eastAsia="宋体" w:cs="Times New Roman"/>
      <w:sz w:val="24"/>
      <w:szCs w:val="20"/>
    </w:rPr>
  </w:style>
  <w:style w:type="character" w:customStyle="1" w:styleId="76">
    <w:name w:val="日期 字符1"/>
    <w:link w:val="23"/>
    <w:qFormat/>
    <w:locked/>
    <w:uiPriority w:val="0"/>
    <w:rPr>
      <w:rFonts w:ascii="Times New Roman" w:hAnsi="Times New Roman" w:eastAsia="宋体" w:cs="Times New Roman"/>
      <w:sz w:val="24"/>
      <w:szCs w:val="20"/>
    </w:rPr>
  </w:style>
  <w:style w:type="character" w:customStyle="1" w:styleId="77">
    <w:name w:val="页脚 字符1"/>
    <w:qFormat/>
    <w:locked/>
    <w:uiPriority w:val="99"/>
    <w:rPr>
      <w:sz w:val="18"/>
    </w:rPr>
  </w:style>
  <w:style w:type="character" w:customStyle="1" w:styleId="78">
    <w:name w:val="普通(网站) 字符"/>
    <w:link w:val="31"/>
    <w:qFormat/>
    <w:locked/>
    <w:uiPriority w:val="0"/>
    <w:rPr>
      <w:rFonts w:ascii="宋体" w:hAnsi="宋体" w:eastAsia="宋体" w:cs="Times New Roman"/>
      <w:sz w:val="24"/>
      <w:szCs w:val="20"/>
    </w:rPr>
  </w:style>
  <w:style w:type="character" w:customStyle="1" w:styleId="79">
    <w:name w:val="表格 Char"/>
    <w:link w:val="80"/>
    <w:qFormat/>
    <w:locked/>
    <w:uiPriority w:val="0"/>
    <w:rPr>
      <w:rFonts w:ascii="宋体"/>
    </w:rPr>
  </w:style>
  <w:style w:type="paragraph" w:customStyle="1" w:styleId="80">
    <w:name w:val="表格"/>
    <w:basedOn w:val="1"/>
    <w:next w:val="1"/>
    <w:link w:val="79"/>
    <w:qFormat/>
    <w:uiPriority w:val="0"/>
    <w:pPr>
      <w:adjustRightInd w:val="0"/>
      <w:snapToGrid w:val="0"/>
      <w:spacing w:beforeLines="10" w:afterLines="10" w:line="259" w:lineRule="auto"/>
      <w:jc w:val="center"/>
    </w:pPr>
    <w:rPr>
      <w:rFonts w:ascii="宋体" w:hAnsiTheme="minorHAnsi" w:eastAsiaTheme="minorEastAsia" w:cstheme="minorBidi"/>
      <w:kern w:val="0"/>
      <w:szCs w:val="21"/>
    </w:rPr>
  </w:style>
  <w:style w:type="character" w:customStyle="1" w:styleId="81">
    <w:name w:val="表格内 Char"/>
    <w:link w:val="82"/>
    <w:qFormat/>
    <w:uiPriority w:val="0"/>
  </w:style>
  <w:style w:type="paragraph" w:customStyle="1" w:styleId="82">
    <w:name w:val="表格内"/>
    <w:basedOn w:val="1"/>
    <w:link w:val="81"/>
    <w:qFormat/>
    <w:uiPriority w:val="0"/>
    <w:pPr>
      <w:overflowPunct w:val="0"/>
      <w:adjustRightInd w:val="0"/>
      <w:jc w:val="center"/>
      <w:textAlignment w:val="baseline"/>
    </w:pPr>
    <w:rPr>
      <w:rFonts w:asciiTheme="minorHAnsi" w:hAnsiTheme="minorHAnsi" w:eastAsiaTheme="minorEastAsia" w:cstheme="minorBidi"/>
      <w:kern w:val="0"/>
      <w:szCs w:val="21"/>
    </w:rPr>
  </w:style>
  <w:style w:type="character" w:customStyle="1" w:styleId="83">
    <w:name w:val="批注文字 字符1"/>
    <w:semiHidden/>
    <w:qFormat/>
    <w:uiPriority w:val="0"/>
    <w:rPr>
      <w:rFonts w:ascii="Times New Roman" w:hAnsi="Times New Roman" w:eastAsia="宋体"/>
      <w:sz w:val="24"/>
    </w:rPr>
  </w:style>
  <w:style w:type="character" w:customStyle="1" w:styleId="84">
    <w:name w:val="0正文 Char"/>
    <w:link w:val="85"/>
    <w:qFormat/>
    <w:uiPriority w:val="0"/>
    <w:rPr>
      <w:sz w:val="24"/>
    </w:rPr>
  </w:style>
  <w:style w:type="paragraph" w:customStyle="1" w:styleId="85">
    <w:name w:val="0正文"/>
    <w:basedOn w:val="15"/>
    <w:next w:val="16"/>
    <w:link w:val="84"/>
    <w:unhideWhenUsed/>
    <w:qFormat/>
    <w:uiPriority w:val="0"/>
    <w:pPr>
      <w:spacing w:line="360" w:lineRule="auto"/>
      <w:ind w:firstLine="200"/>
    </w:pPr>
    <w:rPr>
      <w:rFonts w:asciiTheme="minorHAnsi" w:hAnsiTheme="minorHAnsi" w:eastAsiaTheme="minorEastAsia" w:cstheme="minorBidi"/>
      <w:szCs w:val="21"/>
    </w:rPr>
  </w:style>
  <w:style w:type="character" w:customStyle="1" w:styleId="86">
    <w:name w:val="表格文字 Char Char"/>
    <w:link w:val="48"/>
    <w:qFormat/>
    <w:uiPriority w:val="0"/>
    <w:rPr>
      <w:rFonts w:ascii="Times New Roman" w:hAnsi="Times New Roman" w:cs="Times New Roman"/>
      <w:color w:val="000000" w:themeColor="text1"/>
      <w:kern w:val="2"/>
      <w14:textFill>
        <w14:solidFill>
          <w14:schemeClr w14:val="tx1"/>
        </w14:solidFill>
      </w14:textFill>
    </w:rPr>
  </w:style>
  <w:style w:type="character" w:customStyle="1" w:styleId="87">
    <w:name w:val="正文文本 字符1"/>
    <w:semiHidden/>
    <w:qFormat/>
    <w:uiPriority w:val="0"/>
    <w:rPr>
      <w:rFonts w:ascii="Times New Roman" w:hAnsi="Times New Roman" w:eastAsia="宋体"/>
      <w:sz w:val="24"/>
    </w:rPr>
  </w:style>
  <w:style w:type="paragraph" w:customStyle="1" w:styleId="88">
    <w:name w:val="表标题"/>
    <w:next w:val="1"/>
    <w:qFormat/>
    <w:uiPriority w:val="0"/>
    <w:pPr>
      <w:spacing w:before="60"/>
      <w:jc w:val="center"/>
    </w:pPr>
    <w:rPr>
      <w:rFonts w:ascii="Times New Roman" w:hAnsi="Times New Roman" w:eastAsia="宋体" w:cs="Times New Roman"/>
      <w:b/>
      <w:kern w:val="2"/>
      <w:sz w:val="24"/>
      <w:szCs w:val="24"/>
      <w:lang w:val="en-US" w:eastAsia="zh-CN" w:bidi="ar-SA"/>
    </w:rPr>
  </w:style>
  <w:style w:type="paragraph" w:customStyle="1" w:styleId="89">
    <w:name w:val="列表段落1"/>
    <w:basedOn w:val="1"/>
    <w:qFormat/>
    <w:uiPriority w:val="0"/>
    <w:pPr>
      <w:ind w:firstLine="420"/>
    </w:pPr>
    <w:rPr>
      <w:rFonts w:ascii="Calibri" w:hAnsi="Calibri"/>
      <w:szCs w:val="22"/>
    </w:rPr>
  </w:style>
  <w:style w:type="paragraph" w:customStyle="1" w:styleId="90">
    <w:name w:val="图表标题用字体"/>
    <w:basedOn w:val="1"/>
    <w:next w:val="1"/>
    <w:qFormat/>
    <w:uiPriority w:val="0"/>
    <w:pPr>
      <w:spacing w:before="50" w:beforeLines="50" w:after="50" w:afterLines="50"/>
      <w:jc w:val="center"/>
    </w:pPr>
    <w:rPr>
      <w:rFonts w:hint="eastAsia"/>
      <w:b/>
      <w:kern w:val="0"/>
      <w:sz w:val="24"/>
    </w:rPr>
  </w:style>
  <w:style w:type="paragraph" w:customStyle="1" w:styleId="9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表格头"/>
    <w:basedOn w:val="1"/>
    <w:qFormat/>
    <w:uiPriority w:val="0"/>
    <w:pPr>
      <w:adjustRightInd w:val="0"/>
      <w:snapToGrid w:val="0"/>
      <w:spacing w:line="400" w:lineRule="exact"/>
      <w:jc w:val="center"/>
    </w:pPr>
    <w:rPr>
      <w:b/>
      <w:bCs/>
      <w:kern w:val="0"/>
      <w:szCs w:val="21"/>
    </w:rPr>
  </w:style>
  <w:style w:type="paragraph" w:customStyle="1" w:styleId="93">
    <w:name w:val="标题 21"/>
    <w:basedOn w:val="1"/>
    <w:next w:val="1"/>
    <w:qFormat/>
    <w:uiPriority w:val="0"/>
    <w:pPr>
      <w:keepNext/>
      <w:keepLines/>
      <w:spacing w:before="260" w:after="260" w:line="416" w:lineRule="auto"/>
      <w:outlineLvl w:val="1"/>
    </w:pPr>
    <w:rPr>
      <w:rFonts w:ascii="Arial" w:hAnsi="Arial" w:eastAsia="黑体"/>
      <w:b/>
      <w:bCs/>
      <w:sz w:val="32"/>
      <w:szCs w:val="32"/>
    </w:rPr>
  </w:style>
  <w:style w:type="paragraph" w:customStyle="1" w:styleId="94">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95">
    <w:name w:val="表文字"/>
    <w:qFormat/>
    <w:uiPriority w:val="0"/>
    <w:pPr>
      <w:spacing w:before="20" w:beforeLines="20" w:after="20" w:afterLines="20"/>
      <w:jc w:val="center"/>
    </w:pPr>
    <w:rPr>
      <w:rFonts w:ascii="Times New Roman" w:hAnsi="Times New Roman" w:eastAsia="宋体" w:cs="Times New Roman"/>
      <w:sz w:val="21"/>
      <w:szCs w:val="22"/>
      <w:lang w:val="en-US" w:eastAsia="zh-CN" w:bidi="ar-SA"/>
    </w:rPr>
  </w:style>
  <w:style w:type="paragraph" w:customStyle="1" w:styleId="96">
    <w:name w:val="￥正文"/>
    <w:basedOn w:val="1"/>
    <w:qFormat/>
    <w:uiPriority w:val="0"/>
    <w:pPr>
      <w:adjustRightInd w:val="0"/>
      <w:spacing w:after="120" w:line="440" w:lineRule="atLeast"/>
      <w:ind w:firstLine="560" w:firstLineChars="200"/>
    </w:pPr>
    <w:rPr>
      <w:rFonts w:ascii="宋体" w:hAnsi="宋体"/>
      <w:kern w:val="0"/>
      <w:sz w:val="24"/>
      <w:szCs w:val="28"/>
    </w:rPr>
  </w:style>
  <w:style w:type="paragraph" w:customStyle="1" w:styleId="97">
    <w:name w:val="样式 正文缩进 + 首行缩进:  2 字符"/>
    <w:basedOn w:val="11"/>
    <w:qFormat/>
    <w:uiPriority w:val="0"/>
    <w:pPr>
      <w:tabs>
        <w:tab w:val="left" w:pos="539"/>
        <w:tab w:val="left" w:pos="1257"/>
      </w:tabs>
      <w:spacing w:line="360" w:lineRule="auto"/>
      <w:ind w:firstLine="720" w:firstLineChars="200"/>
    </w:pPr>
    <w:rPr>
      <w:rFonts w:cs="宋体"/>
      <w:sz w:val="24"/>
    </w:rPr>
  </w:style>
  <w:style w:type="paragraph" w:customStyle="1" w:styleId="98">
    <w:name w:val="正文 段前: 8.15 磅"/>
    <w:basedOn w:val="1"/>
    <w:qFormat/>
    <w:uiPriority w:val="0"/>
    <w:pPr>
      <w:spacing w:before="163"/>
      <w:ind w:firstLine="480"/>
    </w:pPr>
    <w:rPr>
      <w:rFonts w:cs="宋体"/>
      <w:szCs w:val="20"/>
    </w:rPr>
  </w:style>
  <w:style w:type="paragraph" w:customStyle="1" w:styleId="99">
    <w:name w:val="表头2014"/>
    <w:basedOn w:val="92"/>
    <w:qFormat/>
    <w:uiPriority w:val="0"/>
  </w:style>
  <w:style w:type="paragraph" w:customStyle="1" w:styleId="100">
    <w:name w:val="Q"/>
    <w:basedOn w:val="1"/>
    <w:qFormat/>
    <w:uiPriority w:val="0"/>
    <w:pPr>
      <w:spacing w:line="440" w:lineRule="exact"/>
      <w:ind w:firstLine="200" w:firstLineChars="200"/>
    </w:pPr>
    <w:rPr>
      <w:bCs/>
      <w:spacing w:val="10"/>
      <w:sz w:val="24"/>
    </w:rPr>
  </w:style>
  <w:style w:type="paragraph" w:customStyle="1" w:styleId="101">
    <w:name w:val="表头（铸造）3 Char Char"/>
    <w:basedOn w:val="1"/>
    <w:unhideWhenUsed/>
    <w:qFormat/>
    <w:uiPriority w:val="0"/>
    <w:pPr>
      <w:spacing w:line="360" w:lineRule="auto"/>
      <w:jc w:val="center"/>
    </w:pPr>
    <w:rPr>
      <w:rFonts w:eastAsia="方正宋黑简体" w:cs="宋体"/>
      <w:b/>
      <w:sz w:val="24"/>
    </w:rPr>
  </w:style>
  <w:style w:type="paragraph" w:customStyle="1" w:styleId="102">
    <w:name w:val="表格标题新"/>
    <w:basedOn w:val="1"/>
    <w:qFormat/>
    <w:uiPriority w:val="0"/>
    <w:pPr>
      <w:tabs>
        <w:tab w:val="left" w:pos="0"/>
      </w:tabs>
      <w:snapToGrid w:val="0"/>
      <w:spacing w:beforeLines="50"/>
      <w:jc w:val="center"/>
    </w:pPr>
    <w:rPr>
      <w:rFonts w:ascii="黑体" w:eastAsia="黑体"/>
      <w:snapToGrid w:val="0"/>
      <w:kern w:val="0"/>
    </w:rPr>
  </w:style>
  <w:style w:type="paragraph" w:customStyle="1" w:styleId="103">
    <w:name w:val="_Style 4"/>
    <w:qFormat/>
    <w:uiPriority w:val="0"/>
    <w:pPr>
      <w:widowControl w:val="0"/>
      <w:jc w:val="both"/>
    </w:pPr>
    <w:rPr>
      <w:rFonts w:ascii="Times New Roman" w:hAnsi="Times New Roman" w:eastAsia="仿宋_GB2312" w:cs="Times New Roman"/>
      <w:kern w:val="2"/>
      <w:sz w:val="24"/>
      <w:szCs w:val="22"/>
      <w:lang w:val="en-US" w:eastAsia="zh-CN" w:bidi="ar-SA"/>
    </w:rPr>
  </w:style>
  <w:style w:type="paragraph" w:customStyle="1" w:styleId="104">
    <w:name w:val="报告书表格文（林）"/>
    <w:basedOn w:val="1"/>
    <w:qFormat/>
    <w:uiPriority w:val="0"/>
    <w:pPr>
      <w:spacing w:line="280" w:lineRule="exact"/>
      <w:jc w:val="center"/>
    </w:pPr>
  </w:style>
  <w:style w:type="paragraph" w:customStyle="1" w:styleId="105">
    <w:name w:val="图表题"/>
    <w:basedOn w:val="106"/>
    <w:next w:val="1"/>
    <w:qFormat/>
    <w:uiPriority w:val="0"/>
    <w:pPr>
      <w:snapToGrid w:val="0"/>
      <w:spacing w:before="0" w:beforeLines="50" w:after="0" w:afterLines="0" w:line="240" w:lineRule="auto"/>
      <w:jc w:val="center"/>
      <w:textAlignment w:val="auto"/>
    </w:pPr>
    <w:rPr>
      <w:rFonts w:ascii="黑体" w:hAnsi="宋体" w:eastAsia="黑体"/>
      <w:b/>
      <w:bCs/>
      <w:kern w:val="2"/>
      <w:szCs w:val="24"/>
    </w:rPr>
  </w:style>
  <w:style w:type="paragraph" w:customStyle="1" w:styleId="106">
    <w:name w:val="正文格式"/>
    <w:basedOn w:val="1"/>
    <w:qFormat/>
    <w:uiPriority w:val="0"/>
    <w:pPr>
      <w:spacing w:before="78" w:beforeLines="25" w:after="78" w:afterLines="25" w:line="300" w:lineRule="auto"/>
      <w:textAlignment w:val="baseline"/>
    </w:pPr>
    <w:rPr>
      <w:kern w:val="0"/>
      <w:szCs w:val="20"/>
    </w:rPr>
  </w:style>
  <w:style w:type="paragraph" w:customStyle="1" w:styleId="107">
    <w:name w:val="Normal_61"/>
    <w:qFormat/>
    <w:uiPriority w:val="0"/>
    <w:pPr>
      <w:spacing w:before="120" w:after="240"/>
      <w:jc w:val="both"/>
    </w:pPr>
    <w:rPr>
      <w:rFonts w:ascii="Calibri" w:hAnsi="Calibri" w:eastAsia="Calibri" w:cs="Times New Roman"/>
      <w:sz w:val="22"/>
      <w:szCs w:val="22"/>
      <w:lang w:val="ru-RU" w:eastAsia="en-US" w:bidi="ar-SA"/>
    </w:rPr>
  </w:style>
  <w:style w:type="paragraph" w:customStyle="1" w:styleId="108">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lang w:val="en-US" w:eastAsia="zh-CN" w:bidi="ar-SA"/>
    </w:rPr>
  </w:style>
  <w:style w:type="paragraph" w:customStyle="1" w:styleId="109">
    <w:name w:val="Table Paragraph"/>
    <w:basedOn w:val="1"/>
    <w:qFormat/>
    <w:uiPriority w:val="0"/>
    <w:rPr>
      <w:rFonts w:ascii="宋体" w:hAnsi="宋体" w:cs="宋体"/>
      <w:lang w:val="zh-CN" w:bidi="zh-CN"/>
    </w:rPr>
  </w:style>
  <w:style w:type="paragraph" w:customStyle="1" w:styleId="110">
    <w:name w:val="正文001"/>
    <w:basedOn w:val="1"/>
    <w:qFormat/>
    <w:uiPriority w:val="0"/>
    <w:pPr>
      <w:spacing w:before="60" w:line="420" w:lineRule="exact"/>
      <w:ind w:firstLine="482"/>
    </w:pPr>
    <w:rPr>
      <w:sz w:val="24"/>
    </w:rPr>
  </w:style>
  <w:style w:type="paragraph" w:customStyle="1" w:styleId="111">
    <w:name w:val="表格中文字"/>
    <w:basedOn w:val="1"/>
    <w:qFormat/>
    <w:uiPriority w:val="0"/>
    <w:pPr>
      <w:snapToGrid w:val="0"/>
      <w:jc w:val="center"/>
    </w:pPr>
    <w:rPr>
      <w:szCs w:val="21"/>
    </w:rPr>
  </w:style>
  <w:style w:type="paragraph" w:customStyle="1" w:styleId="112">
    <w:name w:val="Re-正文"/>
    <w:basedOn w:val="1"/>
    <w:qFormat/>
    <w:uiPriority w:val="3"/>
    <w:pPr>
      <w:spacing w:line="360" w:lineRule="auto"/>
      <w:ind w:firstLine="200" w:firstLineChars="200"/>
    </w:pPr>
  </w:style>
  <w:style w:type="paragraph" w:customStyle="1" w:styleId="113">
    <w:name w:val="正文 楷体"/>
    <w:basedOn w:val="1"/>
    <w:qFormat/>
    <w:uiPriority w:val="0"/>
    <w:pPr>
      <w:spacing w:line="500" w:lineRule="exact"/>
      <w:ind w:firstLine="200" w:firstLineChars="200"/>
    </w:pPr>
    <w:rPr>
      <w:rFonts w:ascii="楷体_GB2312" w:hAnsi="楷体_GB2312" w:eastAsia="楷体_GB2312"/>
    </w:rPr>
  </w:style>
  <w:style w:type="paragraph" w:customStyle="1" w:styleId="11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15">
    <w:name w:val="样式 标题 1一级标题 + 段前: 0.5 行 段后: 0.5 行"/>
    <w:basedOn w:val="2"/>
    <w:qFormat/>
    <w:uiPriority w:val="99"/>
    <w:pPr>
      <w:keepLines w:val="0"/>
      <w:widowControl w:val="0"/>
      <w:tabs>
        <w:tab w:val="left" w:pos="4425"/>
      </w:tabs>
      <w:overflowPunct w:val="0"/>
      <w:snapToGrid w:val="0"/>
      <w:spacing w:before="120" w:after="160" w:line="320" w:lineRule="exact"/>
      <w:ind w:left="432" w:hanging="432"/>
      <w:jc w:val="both"/>
      <w:outlineLvl w:val="9"/>
    </w:pPr>
    <w:rPr>
      <w:rFonts w:ascii="Times New Roman" w:hAnsi="Times New Roman" w:eastAsia="黑体" w:cs="Times New Roman"/>
      <w:color w:val="000000"/>
      <w:spacing w:val="-6"/>
      <w:sz w:val="21"/>
      <w:szCs w:val="21"/>
    </w:rPr>
  </w:style>
  <w:style w:type="paragraph" w:customStyle="1" w:styleId="116">
    <w:name w:val="报告表正文"/>
    <w:basedOn w:val="1"/>
    <w:qFormat/>
    <w:uiPriority w:val="0"/>
    <w:pPr>
      <w:widowControl/>
      <w:topLinePunct/>
      <w:autoSpaceDE w:val="0"/>
      <w:adjustRightInd w:val="0"/>
      <w:snapToGrid w:val="0"/>
      <w:spacing w:before="100" w:beforeAutospacing="1" w:after="100" w:afterAutospacing="1" w:line="400" w:lineRule="exact"/>
      <w:ind w:left="20" w:leftChars="20" w:right="20" w:rightChars="20" w:firstLine="200" w:firstLineChars="200"/>
      <w:textAlignment w:val="baseline"/>
    </w:pPr>
    <w:rPr>
      <w:rFonts w:cs="Arial"/>
      <w:color w:val="000000"/>
      <w:szCs w:val="21"/>
    </w:rPr>
  </w:style>
  <w:style w:type="paragraph" w:customStyle="1" w:styleId="117">
    <w:name w:val="报告表表头"/>
    <w:basedOn w:val="1"/>
    <w:qFormat/>
    <w:uiPriority w:val="0"/>
    <w:pPr>
      <w:widowControl/>
      <w:kinsoku w:val="0"/>
      <w:topLinePunct/>
      <w:autoSpaceDE w:val="0"/>
      <w:autoSpaceDN w:val="0"/>
      <w:adjustRightInd w:val="0"/>
      <w:snapToGrid w:val="0"/>
      <w:spacing w:line="400" w:lineRule="atLeast"/>
      <w:jc w:val="center"/>
      <w:textAlignment w:val="baseline"/>
    </w:pPr>
    <w:rPr>
      <w:b/>
      <w:color w:val="000000"/>
      <w:kern w:val="0"/>
      <w:szCs w:val="21"/>
    </w:rPr>
  </w:style>
  <w:style w:type="paragraph" w:customStyle="1" w:styleId="118">
    <w:name w:val="0"/>
    <w:basedOn w:val="1"/>
    <w:qFormat/>
    <w:uiPriority w:val="0"/>
    <w:pPr>
      <w:widowControl/>
      <w:snapToGrid w:val="0"/>
      <w:spacing w:line="560" w:lineRule="exact"/>
    </w:pPr>
    <w:rPr>
      <w:rFonts w:ascii="仿宋_GB2312" w:eastAsia="仿宋_GB2312"/>
      <w:b/>
      <w:color w:val="000000"/>
      <w:kern w:val="0"/>
      <w:sz w:val="28"/>
      <w:szCs w:val="21"/>
    </w:rPr>
  </w:style>
  <w:style w:type="paragraph" w:customStyle="1" w:styleId="119">
    <w:name w:val="表内"/>
    <w:basedOn w:val="1"/>
    <w:qFormat/>
    <w:uiPriority w:val="0"/>
    <w:pPr>
      <w:adjustRightInd w:val="0"/>
      <w:snapToGrid w:val="0"/>
      <w:spacing w:beforeLines="100" w:afterLines="50"/>
      <w:jc w:val="center"/>
    </w:pPr>
    <w:rPr>
      <w:rFonts w:eastAsia="黑体" w:cs="Courier New"/>
      <w:bCs/>
      <w:sz w:val="28"/>
      <w:szCs w:val="28"/>
    </w:rPr>
  </w:style>
  <w:style w:type="character" w:customStyle="1" w:styleId="120">
    <w:name w:val="font11"/>
    <w:basedOn w:val="37"/>
    <w:qFormat/>
    <w:uiPriority w:val="0"/>
    <w:rPr>
      <w:rFonts w:hint="eastAsia" w:ascii="宋体" w:hAnsi="宋体" w:eastAsia="宋体"/>
      <w:color w:val="000000"/>
      <w:sz w:val="21"/>
      <w:szCs w:val="21"/>
      <w:u w:val="none"/>
    </w:rPr>
  </w:style>
  <w:style w:type="paragraph" w:customStyle="1" w:styleId="121">
    <w:name w:val="样式 小四 黑色 行距: 固定值 25 磅1"/>
    <w:basedOn w:val="1"/>
    <w:qFormat/>
    <w:uiPriority w:val="0"/>
    <w:pPr>
      <w:spacing w:line="500" w:lineRule="exact"/>
      <w:ind w:firstLine="480" w:firstLineChars="200"/>
    </w:pPr>
    <w:rPr>
      <w:rFonts w:cs="宋体"/>
      <w:color w:val="000000"/>
      <w:sz w:val="24"/>
    </w:rPr>
  </w:style>
  <w:style w:type="paragraph" w:customStyle="1" w:styleId="122">
    <w:name w:val="表格文本"/>
    <w:basedOn w:val="1"/>
    <w:qFormat/>
    <w:uiPriority w:val="0"/>
    <w:pPr>
      <w:jc w:val="center"/>
    </w:pPr>
    <w:rPr>
      <w:szCs w:val="21"/>
    </w:rPr>
  </w:style>
  <w:style w:type="paragraph" w:customStyle="1" w:styleId="123">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124">
    <w:name w:val="font21"/>
    <w:basedOn w:val="37"/>
    <w:qFormat/>
    <w:uiPriority w:val="0"/>
    <w:rPr>
      <w:rFonts w:hint="default" w:ascii="Times New Roman" w:hAnsi="Times New Roman" w:cs="Times New Roman"/>
      <w:color w:val="000000"/>
      <w:sz w:val="21"/>
      <w:szCs w:val="21"/>
      <w:u w:val="none"/>
    </w:rPr>
  </w:style>
  <w:style w:type="character" w:customStyle="1" w:styleId="125">
    <w:name w:val="15"/>
    <w:basedOn w:val="37"/>
    <w:qFormat/>
    <w:uiPriority w:val="0"/>
    <w:rPr>
      <w:rFonts w:hint="default" w:ascii="Times New Roman" w:hAnsi="Times New Roman" w:cs="Times New Roman"/>
      <w:color w:val="000000"/>
      <w:sz w:val="21"/>
      <w:szCs w:val="21"/>
    </w:rPr>
  </w:style>
  <w:style w:type="paragraph" w:customStyle="1" w:styleId="126">
    <w:name w:val="正文3"/>
    <w:qFormat/>
    <w:uiPriority w:val="0"/>
    <w:pPr>
      <w:jc w:val="both"/>
    </w:pPr>
    <w:rPr>
      <w:rFonts w:ascii="Times New Roman" w:hAnsi="Times New Roman" w:eastAsia="宋体" w:cs="Times New Roman"/>
      <w:kern w:val="2"/>
      <w:sz w:val="21"/>
      <w:szCs w:val="21"/>
      <w:lang w:val="en-US" w:eastAsia="zh-CN" w:bidi="ar-SA"/>
    </w:rPr>
  </w:style>
  <w:style w:type="paragraph" w:customStyle="1" w:styleId="127">
    <w:name w:val="Other|1"/>
    <w:basedOn w:val="1"/>
    <w:qFormat/>
    <w:uiPriority w:val="0"/>
    <w:pPr>
      <w:spacing w:after="120" w:line="408" w:lineRule="auto"/>
      <w:ind w:firstLine="400"/>
      <w:jc w:val="left"/>
    </w:pPr>
    <w:rPr>
      <w:rFonts w:ascii="宋体" w:hAnsi="宋体" w:cs="宋体"/>
      <w:color w:val="000000"/>
      <w:kern w:val="0"/>
      <w:sz w:val="24"/>
    </w:rPr>
  </w:style>
  <w:style w:type="paragraph" w:customStyle="1" w:styleId="12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9">
    <w:name w:val="框架格式"/>
    <w:basedOn w:val="1"/>
    <w:qFormat/>
    <w:uiPriority w:val="0"/>
    <w:pPr>
      <w:adjustRightInd w:val="0"/>
    </w:pPr>
    <w:rPr>
      <w:szCs w:val="21"/>
    </w:rPr>
  </w:style>
  <w:style w:type="paragraph" w:customStyle="1" w:styleId="130">
    <w:name w:val="表格标题"/>
    <w:basedOn w:val="1"/>
    <w:qFormat/>
    <w:uiPriority w:val="0"/>
    <w:pPr>
      <w:adjustRightInd w:val="0"/>
      <w:snapToGrid w:val="0"/>
      <w:jc w:val="center"/>
    </w:pPr>
    <w:rPr>
      <w:b/>
      <w:bCs/>
      <w:sz w:val="24"/>
    </w:rPr>
  </w:style>
  <w:style w:type="paragraph" w:customStyle="1" w:styleId="131">
    <w:name w:val="表头-le"/>
    <w:basedOn w:val="1"/>
    <w:qFormat/>
    <w:uiPriority w:val="0"/>
    <w:pPr>
      <w:jc w:val="center"/>
    </w:pPr>
    <w:rPr>
      <w:b/>
      <w:szCs w:val="21"/>
    </w:rPr>
  </w:style>
  <w:style w:type="paragraph" w:customStyle="1" w:styleId="132">
    <w:name w:val="表头-Bo"/>
    <w:basedOn w:val="131"/>
    <w:qFormat/>
    <w:uiPriority w:val="0"/>
    <w:rPr>
      <w:rFonts w:eastAsia="华文楷体"/>
    </w:rPr>
  </w:style>
  <w:style w:type="paragraph" w:customStyle="1" w:styleId="133">
    <w:name w:val="表文-Bo"/>
    <w:basedOn w:val="132"/>
    <w:qFormat/>
    <w:uiPriority w:val="0"/>
    <w:rPr>
      <w:b w:val="0"/>
    </w:rPr>
  </w:style>
  <w:style w:type="paragraph" w:customStyle="1" w:styleId="134">
    <w:name w:val="环评表头"/>
    <w:basedOn w:val="1"/>
    <w:qFormat/>
    <w:uiPriority w:val="0"/>
    <w:pPr>
      <w:widowControl/>
      <w:jc w:val="center"/>
    </w:pPr>
    <w:rPr>
      <w:b/>
      <w:kern w:val="0"/>
      <w:sz w:val="24"/>
    </w:rPr>
  </w:style>
  <w:style w:type="paragraph" w:customStyle="1" w:styleId="135">
    <w:name w:val="环评表格"/>
    <w:basedOn w:val="1"/>
    <w:qFormat/>
    <w:uiPriority w:val="0"/>
    <w:pPr>
      <w:jc w:val="center"/>
    </w:pPr>
    <w:rPr>
      <w:kern w:val="0"/>
      <w:szCs w:val="21"/>
    </w:rPr>
  </w:style>
  <w:style w:type="paragraph" w:customStyle="1" w:styleId="136">
    <w:name w:val="报告书正文"/>
    <w:basedOn w:val="1"/>
    <w:qFormat/>
    <w:uiPriority w:val="0"/>
    <w:pPr>
      <w:widowControl/>
      <w:spacing w:line="360" w:lineRule="auto"/>
      <w:ind w:firstLine="200" w:firstLineChars="200"/>
      <w:jc w:val="left"/>
    </w:pPr>
    <w:rPr>
      <w:kern w:val="0"/>
      <w:sz w:val="24"/>
    </w:rPr>
  </w:style>
  <w:style w:type="paragraph" w:customStyle="1" w:styleId="137">
    <w:name w:val="报告书表格"/>
    <w:basedOn w:val="1"/>
    <w:qFormat/>
    <w:uiPriority w:val="0"/>
    <w:pPr>
      <w:adjustRightInd w:val="0"/>
      <w:jc w:val="center"/>
    </w:pPr>
    <w:rPr>
      <w:kern w:val="0"/>
      <w:sz w:val="20"/>
      <w:szCs w:val="20"/>
    </w:rPr>
  </w:style>
  <w:style w:type="paragraph" w:customStyle="1" w:styleId="138">
    <w:name w:val="正文首行缩进＋湿地"/>
    <w:basedOn w:val="1"/>
    <w:qFormat/>
    <w:uiPriority w:val="0"/>
    <w:pPr>
      <w:spacing w:line="440" w:lineRule="exact"/>
      <w:ind w:firstLine="540" w:firstLineChars="225"/>
      <w:jc w:val="left"/>
    </w:pPr>
    <w:rPr>
      <w:rFonts w:ascii="仿宋_GB2312" w:hAnsi="宋体" w:eastAsia="仿宋_GB2312" w:cs="宋体"/>
      <w:kern w:val="0"/>
      <w:sz w:val="28"/>
      <w:szCs w:val="28"/>
    </w:rPr>
  </w:style>
  <w:style w:type="paragraph" w:customStyle="1" w:styleId="139">
    <w:name w:val="正文首行缩进1"/>
    <w:basedOn w:val="14"/>
    <w:qFormat/>
    <w:uiPriority w:val="0"/>
    <w:pPr>
      <w:widowControl w:val="0"/>
      <w:snapToGrid/>
      <w:spacing w:before="0" w:after="120" w:line="240" w:lineRule="auto"/>
      <w:ind w:right="0" w:firstLine="420" w:firstLineChars="100"/>
      <w:jc w:val="left"/>
    </w:pPr>
    <w:rPr>
      <w:kern w:val="2"/>
      <w:sz w:val="21"/>
      <w:szCs w:val="21"/>
    </w:rPr>
  </w:style>
  <w:style w:type="paragraph" w:customStyle="1" w:styleId="140">
    <w:name w:val="Table Text"/>
    <w:basedOn w:val="1"/>
    <w:semiHidden/>
    <w:qFormat/>
    <w:uiPriority w:val="0"/>
    <w:pPr>
      <w:spacing w:line="360" w:lineRule="auto"/>
      <w:ind w:firstLine="200" w:firstLineChars="200"/>
      <w:jc w:val="left"/>
    </w:pPr>
    <w:rPr>
      <w:rFonts w:ascii="宋体" w:hAnsi="宋体" w:cs="宋体"/>
      <w:sz w:val="24"/>
    </w:rPr>
  </w:style>
  <w:style w:type="paragraph" w:customStyle="1" w:styleId="141">
    <w:name w:val="一级标题"/>
    <w:basedOn w:val="1"/>
    <w:qFormat/>
    <w:uiPriority w:val="0"/>
    <w:pPr>
      <w:widowControl/>
      <w:spacing w:line="360" w:lineRule="auto"/>
      <w:ind w:firstLine="539" w:firstLineChars="200"/>
      <w:jc w:val="left"/>
    </w:pPr>
    <w:rPr>
      <w:rFonts w:ascii="宋体" w:hAnsi="宋体" w:eastAsia="黑体" w:cs="宋体"/>
      <w:kern w:val="0"/>
      <w:sz w:val="28"/>
      <w:szCs w:val="28"/>
    </w:rPr>
  </w:style>
  <w:style w:type="paragraph" w:customStyle="1" w:styleId="142">
    <w:name w:val="Table caption|1"/>
    <w:basedOn w:val="1"/>
    <w:qFormat/>
    <w:uiPriority w:val="0"/>
    <w:pPr>
      <w:spacing w:line="360" w:lineRule="auto"/>
      <w:ind w:firstLine="200" w:firstLineChars="200"/>
      <w:jc w:val="left"/>
    </w:pPr>
    <w:rPr>
      <w:rFonts w:ascii="宋体" w:hAnsi="宋体" w:cs="宋体"/>
      <w:sz w:val="22"/>
      <w:szCs w:val="22"/>
    </w:rPr>
  </w:style>
  <w:style w:type="paragraph" w:customStyle="1" w:styleId="143">
    <w:name w:val="3 博创表格内容"/>
    <w:basedOn w:val="1"/>
    <w:semiHidden/>
    <w:qFormat/>
    <w:uiPriority w:val="0"/>
    <w:pPr>
      <w:autoSpaceDE w:val="0"/>
      <w:autoSpaceDN w:val="0"/>
      <w:jc w:val="center"/>
    </w:pPr>
    <w:rPr>
      <w:rFonts w:cs="宋体"/>
      <w:kern w:val="0"/>
      <w:szCs w:val="21"/>
    </w:rPr>
  </w:style>
  <w:style w:type="character" w:customStyle="1" w:styleId="144">
    <w:name w:val="16"/>
    <w:basedOn w:val="37"/>
    <w:qFormat/>
    <w:uiPriority w:val="0"/>
    <w:rPr>
      <w:rFonts w:hint="default" w:ascii="Times New Roman" w:hAnsi="Times New Roman" w:cs="Times New Roman"/>
    </w:rPr>
  </w:style>
  <w:style w:type="paragraph" w:customStyle="1" w:styleId="145">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146">
    <w:name w:val="正文5"/>
    <w:qFormat/>
    <w:uiPriority w:val="0"/>
    <w:pPr>
      <w:jc w:val="both"/>
    </w:pPr>
    <w:rPr>
      <w:rFonts w:ascii="Times New Roman" w:hAnsi="Times New Roman" w:eastAsia="宋体" w:cs="Times New Roman"/>
      <w:kern w:val="2"/>
      <w:sz w:val="21"/>
      <w:szCs w:val="21"/>
      <w:lang w:val="en-US" w:eastAsia="zh-CN" w:bidi="ar-SA"/>
    </w:rPr>
  </w:style>
  <w:style w:type="paragraph" w:customStyle="1" w:styleId="147">
    <w:name w:val="ds-markdown-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text_zoqav"/>
    <w:basedOn w:val="37"/>
    <w:qFormat/>
    <w:uiPriority w:val="0"/>
  </w:style>
  <w:style w:type="character" w:customStyle="1" w:styleId="149">
    <w:name w:val="rich_media_meta"/>
    <w:basedOn w:val="37"/>
    <w:qFormat/>
    <w:uiPriority w:val="0"/>
  </w:style>
  <w:style w:type="paragraph" w:customStyle="1" w:styleId="150">
    <w:name w:val="图表"/>
    <w:basedOn w:val="1"/>
    <w:qFormat/>
    <w:uiPriority w:val="0"/>
    <w:pPr>
      <w:widowControl/>
      <w:jc w:val="center"/>
    </w:pPr>
    <w:rPr>
      <w:kern w:val="0"/>
      <w:szCs w:val="21"/>
    </w:rPr>
  </w:style>
  <w:style w:type="paragraph" w:customStyle="1" w:styleId="151">
    <w:name w:val="正文6"/>
    <w:qFormat/>
    <w:uiPriority w:val="0"/>
    <w:pPr>
      <w:jc w:val="both"/>
    </w:pPr>
    <w:rPr>
      <w:rFonts w:ascii="Times New Roman" w:hAnsi="Times New Roman" w:eastAsia="宋体" w:cs="Times New Roman"/>
      <w:kern w:val="2"/>
      <w:sz w:val="21"/>
      <w:szCs w:val="21"/>
      <w:lang w:val="en-US" w:eastAsia="zh-CN" w:bidi="ar-SA"/>
    </w:rPr>
  </w:style>
  <w:style w:type="character" w:customStyle="1" w:styleId="152">
    <w:name w:val="mord"/>
    <w:basedOn w:val="37"/>
    <w:qFormat/>
    <w:uiPriority w:val="0"/>
  </w:style>
  <w:style w:type="character" w:customStyle="1" w:styleId="153">
    <w:name w:val="mopen"/>
    <w:basedOn w:val="37"/>
    <w:qFormat/>
    <w:uiPriority w:val="0"/>
  </w:style>
  <w:style w:type="character" w:customStyle="1" w:styleId="154">
    <w:name w:val="vlist-s"/>
    <w:basedOn w:val="37"/>
    <w:qFormat/>
    <w:uiPriority w:val="0"/>
  </w:style>
  <w:style w:type="character" w:customStyle="1" w:styleId="155">
    <w:name w:val="mclose"/>
    <w:basedOn w:val="37"/>
    <w:qFormat/>
    <w:uiPriority w:val="0"/>
  </w:style>
  <w:style w:type="character" w:customStyle="1" w:styleId="156">
    <w:name w:val="mrel"/>
    <w:basedOn w:val="37"/>
    <w:qFormat/>
    <w:uiPriority w:val="0"/>
  </w:style>
  <w:style w:type="character" w:customStyle="1" w:styleId="157">
    <w:name w:val="mbin"/>
    <w:basedOn w:val="37"/>
    <w:qFormat/>
    <w:uiPriority w:val="0"/>
  </w:style>
  <w:style w:type="character" w:customStyle="1" w:styleId="158">
    <w:name w:val="mspace"/>
    <w:basedOn w:val="3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8" Type="http://schemas.openxmlformats.org/officeDocument/2006/relationships/fontTable" Target="fontTable.xml"/><Relationship Id="rId47" Type="http://schemas.openxmlformats.org/officeDocument/2006/relationships/customXml" Target="../customXml/item3.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jpeg"/><Relationship Id="rId4" Type="http://schemas.openxmlformats.org/officeDocument/2006/relationships/footer" Target="footer2.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jpeg"/><Relationship Id="rId33" Type="http://schemas.openxmlformats.org/officeDocument/2006/relationships/image" Target="media/image28.png"/><Relationship Id="rId32" Type="http://schemas.openxmlformats.org/officeDocument/2006/relationships/image" Target="media/image27.jpe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d9b47e59-fb7c-4e57-8809-45b4f89cd41e</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6AFB6F0B</paraID>
      <start>53</start>
      <end>56</end>
      <status>unmodified</status>
      <modifiedWord/>
      <trackRevisions>false</trackRevisions>
    </reviewItem>
    <reviewItem>
      <errorID>3ecacbd8-773b-4dcc-a4fa-0c4ae4f97a79</errorID>
      <errorWord>[2023]74号</errorWord>
      <group>L1_Knowledge</group>
      <groupName>知识性问题</groupName>
      <ability>L2_Knowledge</ability>
      <abilityName>其他知识</abilityName>
      <candidateList>
        <item>〔2023〕74号</item>
      </candidateList>
      <explain>发文字号格式错误。</explain>
      <paraID>516B3928</paraID>
      <start>39</start>
      <end>48</end>
      <status>unmodified</status>
      <modifiedWord/>
      <trackRevisions>false</trackRevisions>
    </reviewItem>
    <reviewItem>
      <errorID>09d71c1c-8467-4e01-9052-fadd11354c60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197C92FE</paraID>
      <start>22</start>
      <end>23</end>
      <status>unmodified</status>
      <modifiedWord/>
      <trackRevisions>false</trackRevisions>
    </reviewItem>
    <reviewItem>
      <errorID>17338408-3d4a-42c2-9aec-30f703c19016</errorID>
      <errorWord>[2024]77号</errorWord>
      <group>L1_Knowledge</group>
      <groupName>知识性问题</groupName>
      <ability>L2_Knowledge</ability>
      <abilityName>其他知识</abilityName>
      <candidateList>
        <item>〔2024〕77号</item>
      </candidateList>
      <explain>发文字号格式错误。</explain>
      <paraID>7080B543</paraID>
      <start>74</start>
      <end>83</end>
      <status>unmodified</status>
      <modifiedWord/>
      <trackRevisions>false</trackRevisions>
    </reviewItem>
    <reviewItem>
      <errorID>2c6e975c-5f8e-46eb-8175-161b52b02d6c</errorID>
      <errorWord>[2021]第55号</errorWord>
      <group>L1_Knowledge</group>
      <groupName>知识性问题</groupName>
      <ability>L2_Knowledge</ability>
      <abilityName>其他知识</abilityName>
      <candidateList>
        <item>〔2021〕55号</item>
      </candidateList>
      <explain>发文字号格式错误。</explain>
      <paraID>7F8FBBFF</paraID>
      <start>54</start>
      <end>64</end>
      <status>unmodified</status>
      <modifiedWord/>
      <trackRevisions>false</trackRevisions>
    </reviewItem>
    <reviewItem>
      <errorID>7703e47e-1572-462d-877b-336e17de865c</errorID>
      <errorWord>亟需</errorWord>
      <group>L1_Word</group>
      <groupName>字词问题</groupName>
      <ability>L2_Typo</ability>
      <abilityName>字词错误</abilityName>
      <candidateList>
        <item>亟须</item>
      </candidateList>
      <explain>存在发音相同字词的误用。</explain>
      <paraID>601AEA86</paraID>
      <start>107</start>
      <end>109</end>
      <status>unmodified</status>
      <modifiedWord/>
      <trackRevisions>false</trackRevisions>
    </reviewItem>
    <reviewItem>
      <errorID>f2068884-ac2a-4a78-913d-7d825b837a58</errorID>
      <errorWord>[2023]74号</errorWord>
      <group>L1_Knowledge</group>
      <groupName>知识性问题</groupName>
      <ability>L2_Knowledge</ability>
      <abilityName>其他知识</abilityName>
      <candidateList>
        <item>〔2023〕74号</item>
      </candidateList>
      <explain>发文字号格式错误。</explain>
      <paraID>628C37FF</paraID>
      <start>54</start>
      <end>63</end>
      <status>unmodified</status>
      <modifiedWord/>
      <trackRevisions>false</trackRevisions>
    </reviewItem>
    <reviewItem>
      <errorID>fbdf85d9-5e4b-40a9-bcbc-8369440d24fe</errorID>
      <errorWord>实际情况做</errorWord>
      <group>L1_Word</group>
      <groupName>字词问题</groupName>
      <ability>L2_Typo</ability>
      <abilityName>字词错误</abilityName>
      <candidateList>
        <item>实际情况作</item>
      </candidateList>
      <explain/>
      <paraID> CB4FE8B</paraID>
      <start>38</start>
      <end>43</end>
      <status>unmodified</status>
      <modifiedWord/>
      <trackRevisions>false</trackRevisions>
    </reviewItem>
    <reviewItem>
      <errorID>a3c85897-e126-4b9a-8db8-bfb0df4c4fe7</errorID>
      <errorWord>[2021]第55号</errorWord>
      <group>L1_Knowledge</group>
      <groupName>知识性问题</groupName>
      <ability>L2_Knowledge</ability>
      <abilityName>其他知识</abilityName>
      <candidateList>
        <item>〔2021〕55号</item>
      </candidateList>
      <explain>发文字号格式错误。</explain>
      <paraID>6FDF0B8A</paraID>
      <start>56</start>
      <end>66</end>
      <status>unmodified</status>
      <modifiedWord/>
      <trackRevisions>false</trackRevisions>
    </reviewItem>
    <reviewItem>
      <errorID>42090ac6-146e-4ccc-bac5-2704b356c0c5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320960F1</paraID>
      <start>41</start>
      <end>45</end>
      <status>unmodified</status>
      <modifiedWord/>
      <trackRevisions>false</trackRevisions>
    </reviewItem>
    <reviewItem>
      <errorID>56461729-5b65-41d8-9978-2e1220987d39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320960F1</paraID>
      <start>66</start>
      <end>69</end>
      <status>unmodified</status>
      <modifiedWord/>
      <trackRevisions>false</trackRevisions>
    </reviewItem>
    <reviewItem>
      <errorID>033fcee5-335e-45d4-8ff9-a519b23b84d3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381904A1</paraID>
      <start>0</start>
      <end>2</end>
      <status>unmodified</status>
      <modifiedWord/>
      <trackRevisions>false</trackRevisions>
    </reviewItem>
    <reviewItem>
      <errorID>48ef9f0c-afe3-451c-a65b-7ae34d0ae8f2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1FA93A24</paraID>
      <start>0</start>
      <end>2</end>
      <status>unmodified</status>
      <modifiedWord/>
      <trackRevisions>false</trackRevisions>
    </reviewItem>
    <reviewItem>
      <errorID>672d2e18-8c60-49e1-b9c0-2e22ec09ee39</errorID>
      <errorWord>"</errorWord>
      <group>L1_Format</group>
      <groupName>格式问题</groupName>
      <ability>L2_HalfPunc_CN</ability>
      <abilityName>全半角问题</abilityName>
      <candidateList>
        <item>“</item>
      </candidateList>
      <explain>文本全半角错误。</explain>
      <paraID>1A612DFF</paraID>
      <start>41</start>
      <end>42</end>
      <status>unmodified</status>
      <modifiedWord/>
      <trackRevisions>false</trackRevisions>
    </reviewItem>
    <reviewItem>
      <errorID>4445e5af-d434-4504-9667-68ac04c38141</errorID>
      <errorWord>"</errorWord>
      <group>L1_Format</group>
      <groupName>格式问题</groupName>
      <ability>L2_HalfPunc_CN</ability>
      <abilityName>全半角问题</abilityName>
      <candidateList>
        <item>”</item>
      </candidateList>
      <explain>文本全半角错误。</explain>
      <paraID>1A612DFF</paraID>
      <start>87</start>
      <end>88</end>
      <status>unmodified</status>
      <modifiedWord/>
      <trackRevisions>false</trackRevisions>
    </reviewItem>
    <reviewItem>
      <errorID>c6036ff3-3612-4080-8cb7-7bd359dd51c1</errorID>
      <errorWord>"</errorWord>
      <group>L1_Format</group>
      <groupName>格式问题</groupName>
      <ability>L2_HalfPunc_CN</ability>
      <abilityName>全半角问题</abilityName>
      <candidateList>
        <item>“</item>
      </candidateList>
      <explain>文本全半角错误。</explain>
      <paraID>1A612DFF</paraID>
      <start>95</start>
      <end>96</end>
      <status>unmodified</status>
      <modifiedWord/>
      <trackRevisions>false</trackRevisions>
    </reviewItem>
    <reviewItem>
      <errorID>f961673f-4e5c-4810-8724-6ac6d88fa3df</errorID>
      <errorWord>"</errorWord>
      <group>L1_Format</group>
      <groupName>格式问题</groupName>
      <ability>L2_HalfPunc_CN</ability>
      <abilityName>全半角问题</abilityName>
      <candidateList>
        <item>”</item>
      </candidateList>
      <explain>文本全半角错误。</explain>
      <paraID>1A612DFF</paraID>
      <start>131</start>
      <end>132</end>
      <status>unmodified</status>
      <modifiedWord/>
      <trackRevisions>false</trackRevisions>
    </reviewItem>
    <reviewItem>
      <errorID>c2ca5318-3ae1-4d7c-b110-f3b32e58b0ce</errorID>
      <errorWord>"</errorWord>
      <group>L1_Format</group>
      <groupName>格式问题</groupName>
      <ability>L2_HalfPunc_CN</ability>
      <abilityName>全半角问题</abilityName>
      <candidateList>
        <item>“</item>
      </candidateList>
      <explain>文本全半角错误。</explain>
      <paraID>1D2E3EB2</paraID>
      <start>22</start>
      <end>23</end>
      <status>unmodified</status>
      <modifiedWord/>
      <trackRevisions>false</trackRevisions>
    </reviewItem>
    <reviewItem>
      <errorID>deb8b81c-1e57-425e-8a36-018770b91f3a</errorID>
      <errorWord>"</errorWord>
      <group>L1_Format</group>
      <groupName>格式问题</groupName>
      <ability>L2_HalfPunc_CN</ability>
      <abilityName>全半角问题</abilityName>
      <candidateList>
        <item>”</item>
      </candidateList>
      <explain>文本全半角错误。</explain>
      <paraID>1D2E3EB2</paraID>
      <start>27</start>
      <end>28</end>
      <status>unmodified</status>
      <modifiedWord/>
      <trackRevisions>false</trackRevisions>
    </reviewItem>
    <reviewItem>
      <errorID>27d69f91-3995-4a4e-be59-ec15bb176a3d</errorID>
      <errorWord>"</errorWord>
      <group>L1_Format</group>
      <groupName>格式问题</groupName>
      <ability>L2_HalfPunc_CN</ability>
      <abilityName>全半角问题</abilityName>
      <candidateList>
        <item>“</item>
      </candidateList>
      <explain>文本全半角错误。</explain>
      <paraID>49BC17CF</paraID>
      <start>26</start>
      <end>27</end>
      <status>unmodified</status>
      <modifiedWord/>
      <trackRevisions>false</trackRevisions>
    </reviewItem>
    <reviewItem>
      <errorID>a1ac3249-d631-493d-bb87-a3842b09ea5c</errorID>
      <errorWord>"</errorWord>
      <group>L1_Format</group>
      <groupName>格式问题</groupName>
      <ability>L2_HalfPunc_CN</ability>
      <abilityName>全半角问题</abilityName>
      <candidateList>
        <item>”</item>
      </candidateList>
      <explain>文本全半角错误。</explain>
      <paraID>49BC17CF</paraID>
      <start>60</start>
      <end>61</end>
      <status>unmodified</status>
      <modifiedWord/>
      <trackRevisions>false</trackRevisions>
    </reviewItem>
    <reviewItem>
      <errorID>c670279d-23b3-491f-a141-b13720f7886a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755984A8</paraID>
      <start>0</start>
      <end>2</end>
      <status>unmodified</status>
      <modifiedWord/>
      <trackRevisions>false</trackRevisions>
    </reviewItem>
    <reviewItem>
      <errorID>c32ba70c-a9e3-4b5b-bb3f-4be6af7d93ba</errorID>
      <errorWord>，</errorWord>
      <group>L1_Word</group>
      <groupName>字词问题</groupName>
      <ability>L2_Typo</ability>
      <abilityName>字词错误</abilityName>
      <candidateList>
        <item>，对</item>
      </candidateList>
      <explain/>
      <paraID>2DDCA50F</paraID>
      <start>130</start>
      <end>131</end>
      <status>unmodified</status>
      <modifiedWord/>
      <trackRevisions>false</trackRevisions>
    </reviewItem>
    <reviewItem>
      <errorID>c2b15dda-c3c3-4caa-8332-2409c10f757b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26F9EA0D</paraID>
      <start>0</start>
      <end>2</end>
      <status>unmodified</status>
      <modifiedWord/>
      <trackRevisions>false</trackRevisions>
    </reviewItem>
    <reviewItem>
      <errorID>5174bbf6-64a0-4c37-b6ab-ab632ab6842d</errorID>
      <errorWord>城乡结合部</errorWord>
      <group>L1_Knowledge</group>
      <groupName>知识性问题</groupName>
      <ability>L2_Knowledge</ability>
      <abilityName>其他知识</abilityName>
      <candidateList>
        <item>城乡接合部</item>
      </candidateList>
      <explain/>
      <paraID>389F5BC1</paraID>
      <start>328</start>
      <end>333</end>
      <status>unmodified</status>
      <modifiedWord/>
      <trackRevisions>false</trackRevisions>
    </reviewItem>
    <reviewItem>
      <errorID>2f39720b-c49e-4528-bdc8-66024616bc6e</errorID>
      <errorWord>公转铁</errorWord>
      <group>L1_Political</group>
      <groupName>政治性问题</groupName>
      <ability>L2_Keyword</ability>
      <abilityName>固定表述</abilityName>
      <candidateList>
        <item>“公转铁”</item>
      </candidateList>
      <explain>注意检查当前固定表述标点是否使用规范。</explain>
      <paraID>2E66AB30</paraID>
      <start>546</start>
      <end>549</end>
      <status>unmodified</status>
      <modifiedWord/>
      <trackRevisions>false</trackRevisions>
    </reviewItem>
    <reviewItem>
      <errorID>687eec5d-b72d-4ede-ba0c-c1baa36d143b</errorID>
      <errorWord>公转水</errorWord>
      <group>L1_Political</group>
      <groupName>政治性问题</groupName>
      <ability>L2_Keyword</ability>
      <abilityName>固定表述</abilityName>
      <candidateList>
        <item>“公转水”</item>
      </candidateList>
      <explain>注意检查当前固定表述标点是否使用规范。</explain>
      <paraID>2E66AB30</paraID>
      <start>550</start>
      <end>553</end>
      <status>unmodified</status>
      <modifiedWord/>
      <trackRevisions>false</trackRevisions>
    </reviewItem>
    <reviewItem>
      <errorID>72e40563-bb1d-405f-895b-208229490e3e</errorID>
      <errorWord>城乡结合部</errorWord>
      <group>L1_Knowledge</group>
      <groupName>知识性问题</groupName>
      <ability>L2_Knowledge</ability>
      <abilityName>其他知识</abilityName>
      <candidateList>
        <item>城乡接合部</item>
      </candidateList>
      <explain/>
      <paraID> B2F751C</paraID>
      <start>55</start>
      <end>60</end>
      <status>unmodified</status>
      <modifiedWord/>
      <trackRevisions>false</trackRevisions>
    </reviewItem>
    <reviewItem>
      <errorID>93085b52-8466-497c-9989-6e22df755e8a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B2F751C</paraID>
      <start>120</start>
      <end>121</end>
      <status>unmodified</status>
      <modifiedWord/>
      <trackRevisions>false</trackRevisions>
    </reviewItem>
    <reviewItem>
      <errorID>ac1a1dd7-8f91-46fc-877e-6aa132cb4225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313D70D0</paraID>
      <start>0</start>
      <end>2</end>
      <status>unmodified</status>
      <modifiedWord/>
      <trackRevisions>false</trackRevisions>
    </reviewItem>
    <reviewItem>
      <errorID>bea02f37-a8e4-49d1-ac92-d3388a43a8d3</errorID>
      <errorWord>;</errorWord>
      <group>L1_Format</group>
      <groupName>格式问题</groupName>
      <ability>L2_HalfPunc_CN</ability>
      <abilityName>全半角问题</abilityName>
      <candidateList>
        <item>；</item>
      </candidateList>
      <explain>文本全半角错误。</explain>
      <paraID> D3F79B7</paraID>
      <start>79</start>
      <end>80</end>
      <status>unmodified</status>
      <modifiedWord/>
      <trackRevisions>false</trackRevisions>
    </reviewItem>
    <reviewItem>
      <errorID>7bec0a83-9d9a-48b9-a86c-73e1ff420c5f</errorID>
      <errorWord>;</errorWord>
      <group>L1_Format</group>
      <groupName>格式问题</groupName>
      <ability>L2_HalfPunc_CN</ability>
      <abilityName>全半角问题</abilityName>
      <candidateList>
        <item>；</item>
      </candidateList>
      <explain>文本全半角错误。</explain>
      <paraID> D3F79B7</paraID>
      <start>173</start>
      <end>174</end>
      <status>unmodified</status>
      <modifiedWord/>
      <trackRevisions>false</trackRevisions>
    </reviewItem>
    <reviewItem>
      <errorID>0a8c8489-d9e3-4abc-856f-797b5c07f9fd</errorID>
      <errorWord>;</errorWord>
      <group>L1_Format</group>
      <groupName>格式问题</groupName>
      <ability>L2_HalfPunc_CN</ability>
      <abilityName>全半角问题</abilityName>
      <candidateList>
        <item>；</item>
      </candidateList>
      <explain>文本全半角错误。</explain>
      <paraID>320B5BF7</paraID>
      <start>39</start>
      <end>40</end>
      <status>unmodified</status>
      <modifiedWord/>
      <trackRevisions>false</trackRevisions>
    </reviewItem>
    <reviewItem>
      <errorID>fce732c1-b1a5-44e4-affe-b22be65d9700</errorID>
      <errorWord>;</errorWord>
      <group>L1_Format</group>
      <groupName>格式问题</groupName>
      <ability>L2_HalfPunc_CN</ability>
      <abilityName>全半角问题</abilityName>
      <candidateList>
        <item>；</item>
      </candidateList>
      <explain>文本全半角错误。</explain>
      <paraID>320B5BF7</paraID>
      <start>102</start>
      <end>103</end>
      <status>unmodified</status>
      <modifiedWord/>
      <trackRevisions>false</trackRevisions>
    </reviewItem>
    <reviewItem>
      <errorID>992ab79e-77ac-4727-8ba0-263249beea2c</errorID>
      <errorWord>城乡结合部</errorWord>
      <group>L1_Knowledge</group>
      <groupName>知识性问题</groupName>
      <ability>L2_Knowledge</ability>
      <abilityName>其他知识</abilityName>
      <candidateList>
        <item>城乡接合部</item>
      </candidateList>
      <explain/>
      <paraID>17C98D8F</paraID>
      <start>123</start>
      <end>128</end>
      <status>unmodified</status>
      <modifiedWord/>
      <trackRevisions>false</trackRevisions>
    </reviewItem>
    <reviewItem>
      <errorID>15f0b94f-8df6-4fdc-b82c-b09285f32787</errorID>
      <errorWord>程</errorWord>
      <group>L1_Word</group>
      <groupName>字词问题</groupName>
      <ability>L2_Typo</ability>
      <abilityName>字词错误</abilityName>
      <candidateList>
        <item>程中</item>
      </candidateList>
      <explain/>
      <paraID>2A485256</paraID>
      <start>58</start>
      <end>59</end>
      <status>unmodified</status>
      <modifiedWord/>
      <trackRevisions>false</trackRevisions>
    </reviewItem>
    <reviewItem>
      <errorID>e9f06539-85f8-4df9-a0ca-d8838b0c6a77</errorID>
      <errorWord>，</errorWord>
      <group>L1_Word</group>
      <groupName>字词问题</groupName>
      <ability>L2_Typo</ability>
      <abilityName>字词错误</abilityName>
      <candidateList>
        <item>，在</item>
      </candidateList>
      <explain/>
      <paraID>320D20D6</paraID>
      <start>71</start>
      <end>72</end>
      <status>unmodified</status>
      <modifiedWord/>
      <trackRevisions>false</trackRevisions>
    </reviewItem>
    <reviewItem>
      <errorID>dcd9d2dd-0bde-4355-adb0-661bc8485c05</errorID>
      <errorWord>;</errorWord>
      <group>L1_Format</group>
      <groupName>格式问题</groupName>
      <ability>L2_HalfPunc_CN</ability>
      <abilityName>全半角问题</abilityName>
      <candidateList>
        <item>；</item>
      </candidateList>
      <explain>文本全半角错误。</explain>
      <paraID>2878D64B</paraID>
      <start>58</start>
      <end>59</end>
      <status>unmodified</status>
      <modifiedWord/>
      <trackRevisions>false</trackRevisions>
    </reviewItem>
    <reviewItem>
      <errorID>02eb08d8-5cd4-4a79-964d-543c5f00266e</errorID>
      <errorWord>资源的集约利用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词汇“资源节约集约利用”在特定场景下为固定表述形式，请确认此处的“资源的集约利用”是否存在不当。</explain>
      <paraID>715987D2</paraID>
      <start>108</start>
      <end>115</end>
      <status>unmodified</status>
      <modifiedWord/>
      <trackRevisions>false</trackRevisions>
    </reviewItem>
    <reviewItem>
      <errorID>2c5d35e0-30cf-49e1-a428-f257dc6a274b</errorID>
      <errorWord>-</errorWord>
      <group>L1_Format</group>
      <groupName>格式问题</groupName>
      <ability>L2_HalfPunc_CN</ability>
      <abilityName>全半角问题</abilityName>
      <candidateList>
        <item>－</item>
      </candidateList>
      <explain>文本全半角错误。</explain>
      <paraID>4105B948</paraID>
      <start>127</start>
      <end>128</end>
      <status>unmodified</status>
      <modifiedWord/>
      <trackRevisions>false</trackRevisions>
    </reviewItem>
    <reviewItem>
      <errorID>543ec7cf-a8c8-4948-baf1-833489c69259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7ACD51AD</paraID>
      <start>0</start>
      <end>2</end>
      <status>unmodified</status>
      <modifiedWord/>
      <trackRevisions>false</trackRevisions>
    </reviewItem>
    <reviewItem>
      <errorID>79cc51d6-b6e6-4880-b63c-24a32418f1dc</errorID>
      <errorWord>&lt;</errorWord>
      <group>L1_Format</group>
      <groupName>格式问题</groupName>
      <ability>L2_HalfPunc_CN</ability>
      <abilityName>全半角问题</abilityName>
      <candidateList>
        <item>〈</item>
      </candidateList>
      <explain>文本全半角错误。</explain>
      <paraID>7ACD51AD</paraID>
      <start>11</start>
      <end>12</end>
      <status>unmodified</status>
      <modifiedWord/>
      <trackRevisions>false</trackRevisions>
    </reviewItem>
    <reviewItem>
      <errorID>713f01d2-f5be-4842-8b69-a8c49a24e19b</errorID>
      <errorWord>&gt;的通知》</errorWord>
      <group>L1_Punc</group>
      <groupName>标点问题</groupName>
      <ability>L2_Punc_CN</ability>
      <abilityName>标点符号问题</abilityName>
      <candidateList>
        <item>〉的通知》</item>
      </candidateList>
      <explain/>
      <paraID>7ACD51AD</paraID>
      <start>24</start>
      <end>29</end>
      <status>unmodified</status>
      <modifiedWord/>
      <trackRevisions>false</trackRevisions>
    </reviewItem>
    <reviewItem>
      <errorID>58ad722a-669a-4ee5-b41d-51d012415f75</errorID>
      <errorWord>环评的</errorWord>
      <group>L1_Word</group>
      <groupName>字词问题</groupName>
      <ability>L2_Typo</ability>
      <abilityName>字词错误</abilityName>
      <candidateList>
        <item>环评</item>
      </candidateList>
      <explain/>
      <paraID>549E3A79</paraID>
      <start>47</start>
      <end>50</end>
      <status>unmodified</status>
      <modifiedWord/>
      <trackRevisions>false</trackRevisions>
    </reviewItem>
    <reviewItem>
      <errorID>87d40c1f-d887-486c-900d-ca6f6afe63b7</errorID>
      <errorWord>、以及</errorWord>
      <group>L1_Punc</group>
      <groupName>标点问题</groupName>
      <ability>L2_Punc_CN</ability>
      <abilityName>标点符号问题</abilityName>
      <candidateList>
        <item>，以及</item>
      </candidateList>
      <explain>连接词前后不宜使用顿号，建议使用逗号。</explain>
      <paraID>18704D1D</paraID>
      <start>36</start>
      <end>39</end>
      <status>unmodified</status>
      <modifiedWord/>
      <trackRevisions>false</trackRevisions>
    </reviewItem>
    <reviewItem>
      <errorID>ac4c125e-52a1-4843-acc0-a4f77ca8ae69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61DDE9D2</paraID>
      <start>0</start>
      <end>2</end>
      <status>unmodified</status>
      <modifiedWord/>
      <trackRevisions>false</trackRevisions>
    </reviewItem>
    <reviewItem>
      <errorID>83593847-50d5-4f09-a8a7-dde66b5cc08a</errorID>
      <errorWord>工业园区中</errorWord>
      <group>L1_Word</group>
      <groupName>字词问题</groupName>
      <ability>L2_Typo</ability>
      <abilityName>字词错误</abilityName>
      <candidateList>
        <item>工业园区</item>
      </candidateList>
      <explain/>
      <paraID>28F6A7E1</paraID>
      <start>25</start>
      <end>30</end>
      <status>unmodified</status>
      <modifiedWord/>
      <trackRevisions>false</trackRevisions>
    </reviewItem>
    <reviewItem>
      <errorID>f95c7c64-be0d-40d3-ab5e-09d9c2b90730</errorID>
      <errorWord>作</errorWord>
      <group>L1_Word</group>
      <groupName>字词问题</groupName>
      <ability>L2_Typo</ability>
      <abilityName>字词错误</abilityName>
      <candidateList>
        <item>做</item>
      </candidateList>
      <explain>存在发音相同字词的误用。</explain>
      <paraID>28F6A7E1</paraID>
      <start>68</start>
      <end>69</end>
      <status>unmodified</status>
      <modifiedWord/>
      <trackRevisions>false</trackRevisions>
    </reviewItem>
    <reviewItem>
      <errorID>45f47361-8b5e-449c-b7e3-581034390e65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1FCF35A9</paraID>
      <start>0</start>
      <end>2</end>
      <status>unmodified</status>
      <modifiedWord/>
      <trackRevisions>false</trackRevisions>
    </reviewItem>
    <reviewItem>
      <errorID>8bbb5978-ed1b-4448-858a-058c9eb12cf4</errorID>
      <errorWord>城乡结合部</errorWord>
      <group>L1_Knowledge</group>
      <groupName>知识性问题</groupName>
      <ability>L2_Knowledge</ability>
      <abilityName>其他知识</abilityName>
      <candidateList>
        <item>城乡接合部</item>
      </candidateList>
      <explain/>
      <paraID>4CB20C6F</paraID>
      <start>7</start>
      <end>12</end>
      <status>unmodified</status>
      <modifiedWord/>
      <trackRevisions>false</trackRevisions>
    </reviewItem>
    <reviewItem>
      <errorID>171916f3-32a8-4919-a471-b3bbe9846060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4CB20C6F</paraID>
      <start>72</start>
      <end>73</end>
      <status>unmodified</status>
      <modifiedWord/>
      <trackRevisions>false</trackRevisions>
    </reviewItem>
    <reviewItem>
      <errorID>12f359f6-0c68-4c81-935b-e03cd11576a5</errorID>
      <errorWord>、以及</errorWord>
      <group>L1_Punc</group>
      <groupName>标点问题</groupName>
      <ability>L2_Punc_CN</ability>
      <abilityName>标点符号问题</abilityName>
      <candidateList>
        <item>，以及</item>
      </candidateList>
      <explain>连接词前后不宜使用顿号，建议使用逗号。</explain>
      <paraID>6593D36E</paraID>
      <start>38</start>
      <end>41</end>
      <status>unmodified</status>
      <modifiedWord/>
      <trackRevisions>false</trackRevisions>
    </reviewItem>
    <reviewItem>
      <errorID>6b9739d1-64d8-4129-b428-721fda191425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2C039610</paraID>
      <start>0</start>
      <end>2</end>
      <status>unmodified</status>
      <modifiedWord/>
      <trackRevisions>false</trackRevisions>
    </reviewItem>
    <reviewItem>
      <errorID>54f37c14-6b09-4117-814a-c35f204e19dc</errorID>
      <errorWord>[2024]46号</errorWord>
      <group>L1_Knowledge</group>
      <groupName>知识性问题</groupName>
      <ability>L2_Knowledge</ability>
      <abilityName>其他知识</abilityName>
      <candidateList>
        <item>〔2024〕46号</item>
      </candidateList>
      <explain>发文字号格式错误。</explain>
      <paraID>2C039610</paraID>
      <start>27</start>
      <end>36</end>
      <status>unmodified</status>
      <modifiedWord/>
      <trackRevisions>false</trackRevisions>
    </reviewItem>
    <reviewItem>
      <errorID>c4f7d480-f46a-4e19-a07a-7cadca343a70</errorID>
      <errorWord>县（市）区</errorWord>
      <group>L1_Political</group>
      <groupName>政治性问题</groupName>
      <ability>L2_Unpolitical</ability>
      <abilityName>政治敏感错误</abilityName>
      <candidateList>
        <item>县（市、区）</item>
      </candidateList>
      <explain/>
      <paraID>23734A4F</paraID>
      <start>35</start>
      <end>40</end>
      <status>unmodified</status>
      <modifiedWord/>
      <trackRevisions>false</trackRevisions>
    </reviewItem>
    <reviewItem>
      <errorID>eee9c9b3-34b6-43ce-9b7c-2326886009b4</errorID>
      <errorWord>、以及</errorWord>
      <group>L1_Punc</group>
      <groupName>标点问题</groupName>
      <ability>L2_Punc_CN</ability>
      <abilityName>标点符号问题</abilityName>
      <candidateList>
        <item>，以及</item>
      </candidateList>
      <explain>连接词前后不宜使用顿号，建议使用逗号。</explain>
      <paraID>70401E0C</paraID>
      <start>46</start>
      <end>49</end>
      <status>unmodified</status>
      <modifiedWord/>
      <trackRevisions>false</trackRevisions>
    </reviewItem>
    <reviewItem>
      <errorID>4db5e545-3f19-4dbc-9239-ec8893d2a161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797398F9</paraID>
      <start>0</start>
      <end>3</end>
      <status>unmodified</status>
      <modifiedWord/>
      <trackRevisions>false</trackRevisions>
    </reviewItem>
    <reviewItem>
      <errorID>5a3ef1e8-82eb-4c92-87fc-08cd3cb371f5</errorID>
      <errorWord>，</errorWord>
      <group>L1_Word</group>
      <groupName>字词问题</groupName>
      <ability>L2_Typo</ability>
      <abilityName>字词错误</abilityName>
      <candidateList>
        <item>，在</item>
      </candidateList>
      <explain/>
      <paraID>746F5E2F</paraID>
      <start>58</start>
      <end>59</end>
      <status>unmodified</status>
      <modifiedWord/>
      <trackRevisions>false</trackRevisions>
    </reviewItem>
    <reviewItem>
      <errorID>8697fefe-19a8-496e-8d37-5649203dcfe6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430ABCAC</paraID>
      <start>0</start>
      <end>3</end>
      <status>unmodified</status>
      <modifiedWord/>
      <trackRevisions>false</trackRevisions>
    </reviewItem>
    <reviewItem>
      <errorID>f72feb87-6bee-4215-bbb9-0c280da06b2f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304E31B3</paraID>
      <start>0</start>
      <end>3</end>
      <status>unmodified</status>
      <modifiedWord/>
      <trackRevisions>false</trackRevisions>
    </reviewItem>
    <reviewItem>
      <errorID>d960aec6-51eb-458b-80aa-ccd78f26046d</errorID>
      <errorWord>《国家污染防治技术指导目录》（2025年）</errorWord>
      <group>L1_Knowledge</group>
      <groupName>知识性问题</groupName>
      <ability>L2_Knowledge</ability>
      <abilityName>其他知识</abilityName>
      <candidateList>
        <item>《国家污染防治技术指导目录（2025年）》</item>
      </candidateList>
      <explain>疑似政策文件、法律法规名称等书写不规范，请注意检查。</explain>
      <paraID>42D5712D</paraID>
      <start>25</start>
      <end>46</end>
      <status>unmodified</status>
      <modifiedWord/>
      <trackRevisions>false</trackRevisions>
    </reviewItem>
    <reviewItem>
      <errorID>356c2bf8-2e6c-4056-9d59-afda6c551877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67CD30A4</paraID>
      <start>0</start>
      <end>2</end>
      <status>unmodified</status>
      <modifiedWord/>
      <trackRevisions>false</trackRevisions>
    </reviewItem>
    <reviewItem>
      <errorID>cd4892df-a5a2-4900-b70e-e39fee28d71b</errorID>
      <errorWord>:</errorWord>
      <group>L1_Format</group>
      <groupName>格式问题</groupName>
      <ability>L2_HalfPunc_CN</ability>
      <abilityName>全半角问题</abilityName>
      <candidateList>
        <item>：</item>
      </candidateList>
      <explain>文本全半角错误。</explain>
      <paraID>21E1FF79</paraID>
      <start>4</start>
      <end>5</end>
      <status>unmodified</status>
      <modifiedWord/>
      <trackRevisions>false</trackRevisions>
    </reviewItem>
    <reviewItem>
      <errorID>bf830bce-2747-45e5-b726-0ffafaf2d400</errorID>
      <errorWord>（</errorWord>
      <group>L1_Format</group>
      <groupName>格式问题</groupName>
      <ability>L2_HalfPunc_CN</ability>
      <abilityName>全半角问题</abilityName>
      <candidateList>
        <item>(</item>
      </candidateList>
      <explain>文本全半角错误。</explain>
      <paraID>3CBA3FEC</paraID>
      <start>0</start>
      <end>1</end>
      <status>unmodified</status>
      <modifiedWord/>
      <trackRevisions>false</trackRevisions>
    </reviewItem>
    <reviewItem>
      <errorID>3214e319-a1aa-47fd-896c-9c641216d7fa</errorID>
      <errorWord>）</errorWord>
      <group>L1_Format</group>
      <groupName>格式问题</groupName>
      <ability>L2_HalfPunc_CN</ability>
      <abilityName>全半角问题</abilityName>
      <candidateList>
        <item>)</item>
      </candidateList>
      <explain>文本全半角错误。</explain>
      <paraID>3CBA3FEC</paraID>
      <start>4</start>
      <end>5</end>
      <status>unmodified</status>
      <modifiedWord/>
      <trackRevisions>false</trackRevisions>
    </reviewItem>
    <reviewItem>
      <errorID>a55c9520-ea28-41a0-94fc-c3e380288a6b</errorID>
      <errorWord>全部为</errorWord>
      <group>L1_Word</group>
      <groupName>字词问题</groupName>
      <ability>L2_Typo</ability>
      <abilityName>字词错误</abilityName>
      <candidateList>
        <item>全部</item>
      </candidateList>
      <explain/>
      <paraID>3EDE3E07</paraID>
      <start>15</start>
      <end>18</end>
      <status>unmodified</status>
      <modifiedWord/>
      <trackRevisions>false</trackRevisions>
    </reviewItem>
    <reviewItem>
      <errorID>d11a17e2-148e-4f5f-b8b4-2c8b4b26900e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5091E085</paraID>
      <start>0</start>
      <end>2</end>
      <status>unmodified</status>
      <modifiedWord/>
      <trackRevisions>false</trackRevisions>
    </reviewItem>
    <reviewItem>
      <errorID>d117b04f-eff5-437b-8127-cf0736e5950c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7EBDBE89</paraID>
      <start>0</start>
      <end>2</end>
      <status>unmodified</status>
      <modifiedWord/>
      <trackRevisions>false</trackRevisions>
    </reviewItem>
    <reviewItem>
      <errorID>ee616c83-a16b-452f-b3a5-34c28fe59bfe</errorID>
      <errorWord>：</errorWord>
      <group>L1_Format</group>
      <groupName>格式问题</groupName>
      <ability>L2_HalfPunc_CN</ability>
      <abilityName>全半角问题</abilityName>
      <candidateList>
        <item>:</item>
      </candidateList>
      <explain>文本全半角错误。</explain>
      <paraID>4B365B8E</paraID>
      <start>11</start>
      <end>12</end>
      <status>unmodified</status>
      <modifiedWord/>
      <trackRevisions>false</trackRevisions>
    </reviewItem>
    <reviewItem>
      <errorID>51a8beae-de8e-4302-b2e9-1e592a2473ab</errorID>
      <errorWord>：</errorWord>
      <group>L1_Format</group>
      <groupName>格式问题</groupName>
      <ability>L2_HalfPunc_CN</ability>
      <abilityName>全半角问题</abilityName>
      <candidateList>
        <item>:</item>
      </candidateList>
      <explain>文本全半角错误。</explain>
      <paraID>4B365B8E</paraID>
      <start>13</start>
      <end>14</end>
      <status>unmodified</status>
      <modifiedWord/>
      <trackRevisions>false</trackRevisions>
    </reviewItem>
    <reviewItem>
      <errorID>9fcd9b52-9779-49f3-8223-b34c32cb5832</errorID>
      <errorWord>(</errorWord>
      <group>L1_Format</group>
      <groupName>格式问题</groupName>
      <ability>L2_HalfPunc_CN</ability>
      <abilityName>全半角问题</abilityName>
      <candidateList>
        <item>（</item>
      </candidateList>
      <explain>文本全半角错误。</explain>
      <paraID>3818D0BE</paraID>
      <start>2</start>
      <end>3</end>
      <status>unmodified</status>
      <modifiedWord/>
      <trackRevisions>false</trackRevisions>
    </reviewItem>
    <reviewItem>
      <errorID>cd8139d0-9e6b-4646-986f-d5afc1cfc09c</errorID>
      <errorWord>)</errorWord>
      <group>L1_Format</group>
      <groupName>格式问题</groupName>
      <ability>L2_HalfPunc_CN</ability>
      <abilityName>全半角问题</abilityName>
      <candidateList>
        <item>）</item>
      </candidateList>
      <explain>文本全半角错误。</explain>
      <paraID>3818D0BE</paraID>
      <start>7</start>
      <end>8</end>
      <status>unmodified</status>
      <modifiedWord/>
      <trackRevisions>false</trackRevisions>
    </reviewItem>
    <reviewItem>
      <errorID>d23bd8f1-8de6-47a7-b70e-b10616ed69c6</errorID>
      <errorWord>III</errorWord>
      <group>L1_Word</group>
      <groupName>字词问题</groupName>
      <ability>L2_Typo</ability>
      <abilityName>字词错误</abilityName>
      <candidateList>
        <item>Ⅲ</item>
      </candidateList>
      <explain/>
      <paraID>  CD5424</paraID>
      <start>0</start>
      <end>3</end>
      <status>unmodified</status>
      <modifiedWord/>
      <trackRevisions>false</trackRevisions>
    </reviewItem>
    <reviewItem>
      <errorID>f76d33e3-eea1-40d9-8767-60d81751d134</errorID>
      <errorWord>III</errorWord>
      <group>L1_Word</group>
      <groupName>字词问题</groupName>
      <ability>L2_Typo</ability>
      <abilityName>字词错误</abilityName>
      <candidateList>
        <item>Ⅲ</item>
      </candidateList>
      <explain/>
      <paraID>4453D1A9</paraID>
      <start>0</start>
      <end>3</end>
      <status>unmodified</status>
      <modifiedWord/>
      <trackRevisions>false</trackRevisions>
    </reviewItem>
    <reviewItem>
      <errorID>3e35b4a3-9ae6-4bea-a4e7-c7579dfd98e1</errorID>
      <errorWord>III类</errorWord>
      <group>L1_Knowledge</group>
      <groupName>知识性问题</groupName>
      <ability>L2_Knowledge</ability>
      <abilityName>其他知识</abilityName>
      <candidateList>
        <item>Ⅲ类</item>
      </candidateList>
      <explain>中文环境下罗马数字格式错误。</explain>
      <paraID>1869D7BA</paraID>
      <start>52</start>
      <end>56</end>
      <status>unmodified</status>
      <modifiedWord/>
      <trackRevisions>false</trackRevisions>
    </reviewItem>
    <reviewItem>
      <errorID>5b577ab7-ca2c-4e9b-aaf7-1677dc29a535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10A7F386</paraID>
      <start>0</start>
      <end>2</end>
      <status>unmodified</status>
      <modifiedWord/>
      <trackRevisions>false</trackRevisions>
    </reviewItem>
    <reviewItem>
      <errorID>b03ebd2a-a222-457c-8acd-328b1b9b1a5c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2081187D</paraID>
      <start>0</start>
      <end>2</end>
      <status>unmodified</status>
      <modifiedWord/>
      <trackRevisions>false</trackRevisions>
    </reviewItem>
    <reviewItem>
      <errorID>948b1430-cc13-4f98-80e7-812c454849f4</errorID>
      <errorWord>~</errorWord>
      <group>L1_Format</group>
      <groupName>格式问题</groupName>
      <ability>L2_HalfPunc_CN</ability>
      <abilityName>全半角问题</abilityName>
      <candidateList>
        <item>～</item>
      </candidateList>
      <explain>文本全半角错误。</explain>
      <paraID>5610EABA</paraID>
      <start>39</start>
      <end>40</end>
      <status>unmodified</status>
      <modifiedWord/>
      <trackRevisions>false</trackRevisions>
    </reviewItem>
    <reviewItem>
      <errorID>c186b2ad-69b0-443f-998a-e3233311be98</errorID>
      <errorWord>50%~74%</errorWord>
      <group>L1_Knowledge</group>
      <groupName>知识性问题</groupName>
      <ability>L2_Knowledge</ability>
      <abilityName>其他知识</abilityName>
      <candidateList>
        <item>50%～74%</item>
      </candidateList>
      <explain>1. “50%~74%”中的单位“%”仅出现在后一个数字上，容易引起歧义；根据《现代汉语标点符号数字用法规范手册》，数字表示范围两边需要使用统一的格式。2. 根据标点国标 4.13 中的规则，数字、时间或地域连接符应使用（视觉上更长的）“—”或“～”。</explain>
      <paraID>5610EABA</paraID>
      <start>82</start>
      <end>89</end>
      <status>unmodified</status>
      <modifiedWord/>
      <trackRevisions>false</trackRevisions>
    </reviewItem>
    <reviewItem>
      <errorID>185a3fd0-1f48-4378-822c-bd3296bec406</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5610EABA</paraID>
      <start>97</start>
      <end>104</end>
      <status>unmodified</status>
      <modifiedWord/>
      <trackRevisions>false</trackRevisions>
    </reviewItem>
    <reviewItem>
      <errorID>d1d1070b-13b2-45b0-aa5e-3accc63d8259</errorID>
      <errorWord>粘结性</errorWord>
      <group>L1_Word</group>
      <groupName>字词问题</groupName>
      <ability>L2_Typo</ability>
      <abilityName>字词错误</abilityName>
      <candidateList>
        <item>黏结性</item>
      </candidateList>
      <explain>存在发音相同字词的误用。</explain>
      <paraID>5610EABA</paraID>
      <start>207</start>
      <end>210</end>
      <status>unmodified</status>
      <modifiedWord/>
      <trackRevisions>false</trackRevisions>
    </reviewItem>
    <reviewItem>
      <errorID>a4f28683-a066-48bb-86fa-4b90582cdfbb</errorID>
      <errorWord>粘结性</errorWord>
      <group>L1_Word</group>
      <groupName>字词问题</groupName>
      <ability>L2_Typo</ability>
      <abilityName>字词错误</abilityName>
      <candidateList>
        <item>黏结性</item>
      </candidateList>
      <explain>存在发音相同字词的误用。</explain>
      <paraID>5610EABA</paraID>
      <start>231</start>
      <end>234</end>
      <status>unmodified</status>
      <modifiedWord/>
      <trackRevisions>false</trackRevisions>
    </reviewItem>
    <reviewItem>
      <errorID>0c2f3014-7fb3-4789-90a4-8c7e89f6c760</errorID>
      <errorWord>粘结剂</errorWord>
      <group>L1_Word</group>
      <groupName>字词问题</groupName>
      <ability>L2_Typo</ability>
      <abilityName>字词错误</abilityName>
      <candidateList>
        <item>黏结剂</item>
      </candidateList>
      <explain/>
      <paraID>5610EABA</paraID>
      <start>248</start>
      <end>251</end>
      <status>unmodified</status>
      <modifiedWord/>
      <trackRevisions>false</trackRevisions>
    </reviewItem>
    <reviewItem>
      <errorID>e0260f08-370d-46db-ad9d-f3c17a84d407</errorID>
      <errorWord>30-74%</errorWord>
      <group>L1_Knowledge</group>
      <groupName>知识性问题</groupName>
      <ability>L2_Knowledge</ability>
      <abilityName>其他知识</abilityName>
      <candidateList>
        <item>30%—74%</item>
      </candidateList>
      <explain>1. “30-74%”中的单位“%”仅出现在后一个数字上，容易引起歧义；根据《现代汉语标点符号数字用法规范手册》，数字表示范围两边需要使用统一的格式。2. 根据标点国标 4.13 中的规则，数字、时间或地域连接符应使用（视觉上更长的）“—”或“～”。</explain>
      <paraID>7B705479</paraID>
      <start>147</start>
      <end>153</end>
      <status>unmodified</status>
      <modifiedWord/>
      <trackRevisions>false</trackRevisions>
    </reviewItem>
    <reviewItem>
      <errorID>34672127-6182-476d-b22d-21a852aa754e</errorID>
      <errorWord>20.00%-30.00%</errorWord>
      <group>L1_Knowledge</group>
      <groupName>知识性问题</groupName>
      <ability>L2_Knowledge</ability>
      <abilityName>其他知识</abilityName>
      <candidateList>
        <item>20.00%—30.00%</item>
      </candidateList>
      <explain>1. “20.00%-30.00%”中的单位“%”仅出现在后一个数字上，容易引起歧义；根据《现代汉语标点符号数字用法规范手册》，数字表示范围两边需要使用统一的格式。2. 根据标点国标 4.13 中的规则，数字、时间或地域连接符应使用（视觉上更长的）“—”或“～”。</explain>
      <paraID>5F91D839</paraID>
      <start>0</start>
      <end>13</end>
      <status>unmodified</status>
      <modifiedWord/>
      <trackRevisions>false</trackRevisions>
    </reviewItem>
    <reviewItem>
      <errorID>44ae1932-b0c1-4006-8266-959ac80f73f1</errorID>
      <errorWord>45.00%-55.00%</errorWord>
      <group>L1_Knowledge</group>
      <groupName>知识性问题</groupName>
      <ability>L2_Knowledge</ability>
      <abilityName>其他知识</abilityName>
      <candidateList>
        <item>45.00%—55.00%</item>
      </candidateList>
      <explain>1. “45.00%-55.00%”中的单位“%”仅出现在后一个数字上，容易引起歧义；根据《现代汉语标点符号数字用法规范手册》，数字表示范围两边需要使用统一的格式。2. 根据标点国标 4.13 中的规则，数字、时间或地域连接符应使用（视觉上更长的）“—”或“～”。</explain>
      <paraID>65AF4D3F</paraID>
      <start>0</start>
      <end>13</end>
      <status>unmodified</status>
      <modifiedWord/>
      <trackRevisions>false</trackRevisions>
    </reviewItem>
    <reviewItem>
      <errorID>5b6489fe-68a3-4103-9d45-07de79361180</errorID>
      <errorWord>15.00%-25.00%</errorWord>
      <group>L1_Knowledge</group>
      <groupName>知识性问题</groupName>
      <ability>L2_Knowledge</ability>
      <abilityName>其他知识</abilityName>
      <candidateList>
        <item>15.00%—25.00%</item>
      </candidateList>
      <explain>1. “15.00%-25.00%”中的单位“%”仅出现在后一个数字上，容易引起歧义；根据《现代汉语标点符号数字用法规范手册》，数字表示范围两边需要使用统一的格式。2. 根据标点国标 4.13 中的规则，数字、时间或地域连接符应使用（视觉上更长的）“—”或“～”。</explain>
      <paraID>412DC52F</paraID>
      <start>0</start>
      <end>13</end>
      <status>unmodified</status>
      <modifiedWord/>
      <trackRevisions>false</trackRevisions>
    </reviewItem>
    <reviewItem>
      <errorID>b5f174b5-a534-4167-a51f-d33fce918d0c</errorID>
      <errorWord>1.00%-4.00%</errorWord>
      <group>L1_Knowledge</group>
      <groupName>知识性问题</groupName>
      <ability>L2_Knowledge</ability>
      <abilityName>其他知识</abilityName>
      <candidateList>
        <item>1.00%—4.00%</item>
      </candidateList>
      <explain>1. “1.00%-4.00%”中的单位“%”仅出现在后一个数字上，容易引起歧义；根据《现代汉语标点符号数字用法规范手册》，数字表示范围两边需要使用统一的格式。2. 根据标点国标 4.13 中的规则，数字、时间或地域连接符应使用（视觉上更长的）“—”或“～”。</explain>
      <paraID>31A32FD3</paraID>
      <start>0</start>
      <end>11</end>
      <status>unmodified</status>
      <modifiedWord/>
      <trackRevisions>false</trackRevisions>
    </reviewItem>
    <reviewItem>
      <errorID>657fcf36-854e-40e3-9a81-451061efa946</errorID>
      <errorWord>0.20%-1.00%</errorWord>
      <group>L1_Knowledge</group>
      <groupName>知识性问题</groupName>
      <ability>L2_Knowledge</ability>
      <abilityName>其他知识</abilityName>
      <candidateList>
        <item>0.20%—1.00%</item>
      </candidateList>
      <explain>1. “0.20%-1.00%”中的单位“%”仅出现在后一个数字上，容易引起歧义；根据《现代汉语标点符号数字用法规范手册》，数字表示范围两边需要使用统一的格式。2.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178FA037</paraID>
      <start>0</start>
      <end>11</end>
      <status>unmodified</status>
      <modifiedWord/>
      <trackRevisions>false</trackRevisions>
    </reviewItem>
    <reviewItem>
      <errorID>69f6a4df-189d-4f98-869f-9040228543fb</errorID>
      <errorWord>0.015-0.10%</errorWord>
      <group>L1_Knowledge</group>
      <groupName>知识性问题</groupName>
      <ability>L2_Knowledge</ability>
      <abilityName>其他知识</abilityName>
      <candidateList>
        <item>0.015%—0.10%</item>
      </candidateList>
      <explain>1. “0.015-0.10%”中的单位“%”仅出现在后一个数字上，容易引起歧义；根据《现代汉语标点符号数字用法规范手册》，数字表示范围两边需要使用统一的格式。2. 根据标点国标 4.13 中的规则，数字、时间或地域连接符应使用（视觉上更长的）“—”或“～”。</explain>
      <paraID>196E8776</paraID>
      <start>0</start>
      <end>11</end>
      <status>unmodified</status>
      <modifiedWord/>
      <trackRevisions>false</trackRevisions>
    </reviewItem>
    <reviewItem>
      <errorID>f5a5c894-285a-497f-8b84-946925139326</errorID>
      <errorWord>0.001%-0.05%</errorWord>
      <group>L1_Knowledge</group>
      <groupName>知识性问题</groupName>
      <ability>L2_Knowledge</ability>
      <abilityName>其他知识</abilityName>
      <candidateList>
        <item>0.001%—0.05%</item>
      </candidateList>
      <explain>1. “0.001%-0.05%”中的单位“%”仅出现在后一个数字上，容易引起歧义；根据《现代汉语标点符号数字用法规范手册》，数字表示范围两边需要使用统一的格式。2. 根据标点国标 4.13 中的规则，数字、时间或地域连接符应使用（视觉上更长的）“—”或“～”。</explain>
      <paraID>1B54C94A</paraID>
      <start>0</start>
      <end>12</end>
      <status>unmodified</status>
      <modifiedWord/>
      <trackRevisions>false</trackRevisions>
    </reviewItem>
    <reviewItem>
      <errorID>aa806d9d-5507-4c3f-9663-c12f4d61b8f3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2F3EAC2C</paraID>
      <start>0</start>
      <end>2</end>
      <status>unmodified</status>
      <modifiedWord/>
      <trackRevisions>false</trackRevisions>
    </reviewItem>
    <reviewItem>
      <errorID>9c72e23c-9bcc-4dc5-aec3-19eec7db56b2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153B05AB</paraID>
      <start>0</start>
      <end>2</end>
      <status>unmodified</status>
      <modifiedWord/>
      <trackRevisions>false</trackRevisions>
    </reviewItem>
    <reviewItem>
      <errorID>c72cb7af-b8ec-44be-bdd3-1685abf175d3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69145E68</paraID>
      <start>0</start>
      <end>2</end>
      <status>unmodified</status>
      <modifiedWord/>
      <trackRevisions>false</trackRevisions>
    </reviewItem>
    <reviewItem>
      <errorID>e384665c-93b4-41c0-8daa-8649269ce6c1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3A19CA0A</paraID>
      <start>0</start>
      <end>2</end>
      <status>unmodified</status>
      <modifiedWord/>
      <trackRevisions>false</trackRevisions>
    </reviewItem>
    <reviewItem>
      <errorID>23d28e38-a1ca-4151-9e63-4e240d5cf9f9</errorID>
      <errorWord>全部为</errorWord>
      <group>L1_Word</group>
      <groupName>字词问题</groupName>
      <ability>L2_Typo</ability>
      <abilityName>字词错误</abilityName>
      <candidateList>
        <item>全部</item>
      </candidateList>
      <explain/>
      <paraID> A68C06C</paraID>
      <start>15</start>
      <end>18</end>
      <status>unmodified</status>
      <modifiedWord/>
      <trackRevisions>false</trackRevisions>
    </reviewItem>
    <reviewItem>
      <errorID>d1666ace-560e-4a33-b77f-dab462721b17</errorID>
      <errorWord>度</errorWord>
      <group>L1_Word</group>
      <groupName>字词问题</groupName>
      <ability>L2_Typo</ability>
      <abilityName>字词错误</abilityName>
      <candidateList>
        <item>度地</item>
      </candidateList>
      <explain/>
      <paraID> A68C06C</paraID>
      <start>199</start>
      <end>200</end>
      <status>unmodified</status>
      <modifiedWord/>
      <trackRevisions>false</trackRevisions>
    </reviewItem>
    <reviewItem>
      <errorID>1dd53430-263b-44e7-8d1f-c90996d43a14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6AC497ED</paraID>
      <start>0</start>
      <end>3</end>
      <status>unmodified</status>
      <modifiedWord/>
      <trackRevisions>false</trackRevisions>
    </reviewItem>
    <reviewItem>
      <errorID>1a0b9ddc-3438-433f-a77d-fdc18e87fac7</errorID>
      <errorWord>(</errorWord>
      <group>L1_Punc</group>
      <groupName>标点问题</groupName>
      <ability>L2_Punc_CN</ability>
      <abilityName>标点符号问题</abilityName>
      <candidateList/>
      <explain>同一形式括号套用。</explain>
      <paraID>4DE026A3</paraID>
      <start>16</start>
      <end>17</end>
      <status>unmodified</status>
      <modifiedWord/>
      <trackRevisions>false</trackRevisions>
    </reviewItem>
    <reviewItem>
      <errorID>938ee423-da0d-4666-8790-2de232459af7</errorID>
      <errorWord>)</errorWord>
      <group>L1_Punc</group>
      <groupName>标点问题</groupName>
      <ability>L2_Punc_CN</ability>
      <abilityName>标点符号问题</abilityName>
      <candidateList/>
      <explain>同一形式括号套用。</explain>
      <paraID>4DE026A3</paraID>
      <start>22</start>
      <end>23</end>
      <status>unmodified</status>
      <modifiedWord/>
      <trackRevisions>false</trackRevisions>
    </reviewItem>
    <reviewItem>
      <errorID>523891c9-f41e-4235-aea0-9a1e0c4586f9</errorID>
      <errorWord>(</errorWord>
      <group>L1_Punc</group>
      <groupName>标点问题</groupName>
      <ability>L2_Punc_CN</ability>
      <abilityName>标点符号问题</abilityName>
      <candidateList/>
      <explain>同一形式括号套用。</explain>
      <paraID>782E18EB</paraID>
      <start>16</start>
      <end>17</end>
      <status>unmodified</status>
      <modifiedWord/>
      <trackRevisions>false</trackRevisions>
    </reviewItem>
    <reviewItem>
      <errorID>33662fd6-6f18-41df-9d87-c8ab6ad1cabf</errorID>
      <errorWord>)</errorWord>
      <group>L1_Punc</group>
      <groupName>标点问题</groupName>
      <ability>L2_Punc_CN</ability>
      <abilityName>标点符号问题</abilityName>
      <candidateList/>
      <explain>同一形式括号套用。</explain>
      <paraID>782E18EB</paraID>
      <start>22</start>
      <end>23</end>
      <status>unmodified</status>
      <modifiedWord/>
      <trackRevisions>false</trackRevisions>
    </reviewItem>
    <reviewItem>
      <errorID>e9d55d01-c9e1-4ea9-b730-92f2ee765ce9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6FAA9A17</paraID>
      <start>0</start>
      <end>3</end>
      <status>unmodified</status>
      <modifiedWord/>
      <trackRevisions>false</trackRevisions>
    </reviewItem>
    <reviewItem>
      <errorID>fda7be04-e74a-4177-b5d5-0344e4797340</errorID>
      <errorWord>计</errorWord>
      <group>L1_Word</group>
      <groupName>字词问题</groupName>
      <ability>L2_Typo</ability>
      <abilityName>字词错误</abilityName>
      <candidateList>
        <item>计算</item>
      </candidateList>
      <explain/>
      <paraID>67171A6B</paraID>
      <start>92</start>
      <end>93</end>
      <status>unmodified</status>
      <modifiedWord/>
      <trackRevisions>false</trackRevisions>
    </reviewItem>
    <reviewItem>
      <errorID>3c39e682-3a0f-46c6-82cf-365741d27c9f</errorID>
      <errorWord>计</errorWord>
      <group>L1_Word</group>
      <groupName>字词问题</groupName>
      <ability>L2_Typo</ability>
      <abilityName>字词错误</abilityName>
      <candidateList>
        <item>计算</item>
      </candidateList>
      <explain/>
      <paraID>7EBD7722</paraID>
      <start>188</start>
      <end>189</end>
      <status>unmodified</status>
      <modifiedWord/>
      <trackRevisions>false</trackRevisions>
    </reviewItem>
    <reviewItem>
      <errorID>31c28595-20ab-40ba-9475-1ba95f6669bd</errorID>
      <errorWord>粘结剂</errorWord>
      <group>L1_Word</group>
      <groupName>字词问题</groupName>
      <ability>L2_Typo</ability>
      <abilityName>字词错误</abilityName>
      <candidateList>
        <item>黏结剂</item>
      </candidateList>
      <explain/>
      <paraID>18704530</paraID>
      <start>147</start>
      <end>150</end>
      <status>unmodified</status>
      <modifiedWord/>
      <trackRevisions>false</trackRevisions>
    </reviewItem>
    <reviewItem>
      <errorID>f23b384e-ff3b-42aa-b396-91ca5bd6df0c</errorID>
      <errorWord>:</errorWord>
      <group>L1_Format</group>
      <groupName>格式问题</groupName>
      <ability>L2_HalfPunc_CN</ability>
      <abilityName>全半角问题</abilityName>
      <candidateList>
        <item>：</item>
      </candidateList>
      <explain>文本全半角错误。</explain>
      <paraID>18704530</paraID>
      <start>210</start>
      <end>211</end>
      <status>unmodified</status>
      <modifiedWord/>
      <trackRevisions>false</trackRevisions>
    </reviewItem>
    <reviewItem>
      <errorID>52abdfe8-6a08-45f0-b181-5b37e053f1de</errorID>
      <errorWord>:</errorWord>
      <group>L1_Format</group>
      <groupName>格式问题</groupName>
      <ability>L2_HalfPunc_CN</ability>
      <abilityName>全半角问题</abilityName>
      <candidateList>
        <item>：</item>
      </candidateList>
      <explain>文本全半角错误。</explain>
      <paraID>18704530</paraID>
      <start>214</start>
      <end>215</end>
      <status>unmodified</status>
      <modifiedWord/>
      <trackRevisions>false</trackRevisions>
    </reviewItem>
    <reviewItem>
      <errorID>3aa20a83-838e-4aa8-9edf-cb45da7fc4ec</errorID>
      <errorWord>粘结</errorWord>
      <group>L1_Word</group>
      <groupName>字词问题</groupName>
      <ability>L2_Typo</ability>
      <abilityName>字词错误</abilityName>
      <candidateList>
        <item>黏结</item>
      </candidateList>
      <explain>存在发音相同字词的误用。</explain>
      <paraID>4CE8D895</paraID>
      <start>25</start>
      <end>27</end>
      <status>unmodified</status>
      <modifiedWord/>
      <trackRevisions>false</trackRevisions>
    </reviewItem>
    <reviewItem>
      <errorID>2143c4e1-280a-4c6f-8193-202c247e3c4e</errorID>
      <errorWord>粘附</errorWord>
      <group>L1_Word</group>
      <groupName>字词问题</groupName>
      <ability>L2_Alias</ability>
      <abilityName>也作/曾用词</abilityName>
      <candidateList>
        <item>黏附</item>
      </candidateList>
      <explain>词汇[粘附]为不规范表述或旧称，其规范书面表述为[黏附]。</explain>
      <paraID>4CE8D895</paraID>
      <start>93</start>
      <end>95</end>
      <status>unmodified</status>
      <modifiedWord/>
      <trackRevisions>false</trackRevisions>
    </reviewItem>
    <reviewItem>
      <errorID>d5c9fec8-46d5-4aa6-94d1-28c79dad4607</errorID>
      <errorWord>型式</errorWord>
      <group>L1_Word</group>
      <groupName>字词问题</groupName>
      <ability>L2_Typo</ability>
      <abilityName>字词错误</abilityName>
      <candidateList>
        <item>形式</item>
      </candidateList>
      <explain/>
      <paraID>48AB5B83</paraID>
      <start>131</start>
      <end>133</end>
      <status>unmodified</status>
      <modifiedWord/>
      <trackRevisions>false</trackRevisions>
    </reviewItem>
    <reviewItem>
      <errorID>8afae043-2c4a-42cd-a22d-d86998d5497a</errorID>
      <errorWord>型式</errorWord>
      <group>L1_Word</group>
      <groupName>字词问题</groupName>
      <ability>L2_Typo</ability>
      <abilityName>字词错误</abilityName>
      <candidateList>
        <item>形式</item>
      </candidateList>
      <explain/>
      <paraID>14092B97</paraID>
      <start>9</start>
      <end>11</end>
      <status>unmodified</status>
      <modifiedWord/>
      <trackRevisions>false</trackRevisions>
    </reviewItem>
    <reviewItem>
      <errorID>9c89f397-19c4-48d1-bd66-33f34b7cadcf</errorID>
      <errorWord>型式</errorWord>
      <group>L1_Word</group>
      <groupName>字词问题</groupName>
      <ability>L2_Typo</ability>
      <abilityName>字词错误</abilityName>
      <candidateList>
        <item>形式</item>
      </candidateList>
      <explain/>
      <paraID>1D5EF1E7</paraID>
      <start>23</start>
      <end>25</end>
      <status>unmodified</status>
      <modifiedWord/>
      <trackRevisions>false</trackRevisions>
    </reviewItem>
    <reviewItem>
      <errorID>5dec02ee-0d05-4a8a-81d8-7a7be8acf0a8</errorID>
      <errorWord>型式</errorWord>
      <group>L1_Word</group>
      <groupName>字词问题</groupName>
      <ability>L2_Typo</ability>
      <abilityName>字词错误</abilityName>
      <candidateList>
        <item>形式</item>
      </candidateList>
      <explain/>
      <paraID>497A9EB9</paraID>
      <start>48</start>
      <end>50</end>
      <status>unmodified</status>
      <modifiedWord/>
      <trackRevisions>false</trackRevisions>
    </reviewItem>
    <reviewItem>
      <errorID>63dcd766-fa62-4664-94fa-fd6a2dab8586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7E500AEA</paraID>
      <start>0</start>
      <end>2</end>
      <status>unmodified</status>
      <modifiedWord/>
      <trackRevisions>false</trackRevisions>
    </reviewItem>
    <reviewItem>
      <errorID>3bda129c-2dcc-4f30-825c-f4f0dda8cb94</errorID>
      <errorWord>5）、</errorWord>
      <group>L1_Punc</group>
      <groupName>标点问题</groupName>
      <ability>L2_Punc_CN</ability>
      <abilityName>标点符号问题</abilityName>
      <candidateList>
        <item>5）</item>
      </candidateList>
      <explain>根据国标GB/T 15834-2011《标点符号用法》中的4.5.3.3节，带括号的汉字数字或阿拉伯数字表次序时，后面通常不加顿号。如“（一）指导思想”“（二）行动指南”。</explain>
      <paraID>581FD23A</paraID>
      <start>86</start>
      <end>89</end>
      <status>unmodified</status>
      <modifiedWord/>
      <trackRevisions>false</trackRevisions>
    </reviewItem>
    <reviewItem>
      <errorID>f8f6ea65-ba39-4c19-8fe9-e4acb96c601f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2946DE3A</paraID>
      <start>31</start>
      <end>32</end>
      <status>unmodified</status>
      <modifiedWord/>
      <trackRevisions>false</trackRevisions>
    </reviewItem>
    <reviewItem>
      <errorID>20945617-a057-40a3-b260-e529f5ffa9ab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1EC8206D</paraID>
      <start>79</start>
      <end>80</end>
      <status>unmodified</status>
      <modifiedWord/>
      <trackRevisions>false</trackRevisions>
    </reviewItem>
    <reviewItem>
      <errorID>06d52d51-6ccf-4ee2-badf-a2f3ebe6c7ca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42571E39</paraID>
      <start>0</start>
      <end>2</end>
      <status>unmodified</status>
      <modifiedWord/>
      <trackRevisions>false</trackRevisions>
    </reviewItem>
    <reviewItem>
      <errorID>f5a61cef-a7a4-41f1-9a96-c600eb54ff3b</errorID>
      <errorWord>(</errorWord>
      <group>L1_Format</group>
      <groupName>格式问题</groupName>
      <ability>L2_HalfPunc_CN</ability>
      <abilityName>全半角问题</abilityName>
      <candidateList>
        <item>（</item>
      </candidateList>
      <explain>文本全半角错误。</explain>
      <paraID>2EAB4C3E</paraID>
      <start>43</start>
      <end>44</end>
      <status>unmodified</status>
      <modifiedWord/>
      <trackRevisions>false</trackRevisions>
    </reviewItem>
    <reviewItem>
      <errorID>a159e830-9145-420f-89ea-1382d76c4e7c</errorID>
      <errorWord>)</errorWord>
      <group>L1_Format</group>
      <groupName>格式问题</groupName>
      <ability>L2_HalfPunc_CN</ability>
      <abilityName>全半角问题</abilityName>
      <candidateList>
        <item>）</item>
      </candidateList>
      <explain>文本全半角错误。</explain>
      <paraID>2EAB4C3E</paraID>
      <start>48</start>
      <end>49</end>
      <status>unmodified</status>
      <modifiedWord/>
      <trackRevisions>false</trackRevisions>
    </reviewItem>
    <reviewItem>
      <errorID>77ce5488-e2c3-4438-8c27-a2c6e777e754</errorID>
      <errorWord>III</errorWord>
      <group>L1_Word</group>
      <groupName>字词问题</groupName>
      <ability>L2_Typo</ability>
      <abilityName>字词错误</abilityName>
      <candidateList>
        <item>Ⅲ</item>
      </candidateList>
      <explain/>
      <paraID>70148766</paraID>
      <start>0</start>
      <end>3</end>
      <status>unmodified</status>
      <modifiedWord/>
      <trackRevisions>false</trackRevisions>
    </reviewItem>
    <reviewItem>
      <errorID>689d877e-5c54-4453-9219-5abc79da44c4</errorID>
      <errorWord>III</errorWord>
      <group>L1_Word</group>
      <groupName>字词问题</groupName>
      <ability>L2_Typo</ability>
      <abilityName>字词错误</abilityName>
      <candidateList>
        <item>Ⅲ</item>
      </candidateList>
      <explain/>
      <paraID>3EE80302</paraID>
      <start>0</start>
      <end>3</end>
      <status>unmodified</status>
      <modifiedWord/>
      <trackRevisions>false</trackRevisions>
    </reviewItem>
    <reviewItem>
      <errorID>012b07e9-fc95-49ea-8c99-4a2fc874cae1</errorID>
      <errorWord>III</errorWord>
      <group>L1_Word</group>
      <groupName>字词问题</groupName>
      <ability>L2_Typo</ability>
      <abilityName>字词错误</abilityName>
      <candidateList>
        <item>Ⅲ</item>
      </candidateList>
      <explain/>
      <paraID>268468B1</paraID>
      <start>0</start>
      <end>3</end>
      <status>unmodified</status>
      <modifiedWord/>
      <trackRevisions>false</trackRevisions>
    </reviewItem>
    <reviewItem>
      <errorID>f989f3f4-49f7-4afd-8a7c-d2f4e85b7bf8</errorID>
      <errorWord>III</errorWord>
      <group>L1_Word</group>
      <groupName>字词问题</groupName>
      <ability>L2_Typo</ability>
      <abilityName>字词错误</abilityName>
      <candidateList>
        <item>Ⅲ</item>
      </candidateList>
      <explain/>
      <paraID>538F2682</paraID>
      <start>0</start>
      <end>3</end>
      <status>unmodified</status>
      <modifiedWord/>
      <trackRevisions>false</trackRevisions>
    </reviewItem>
    <reviewItem>
      <errorID>3be5555b-100a-49d6-904f-4dd5dd5d9b43</errorID>
      <errorWord>III</errorWord>
      <group>L1_Word</group>
      <groupName>字词问题</groupName>
      <ability>L2_Typo</ability>
      <abilityName>字词错误</abilityName>
      <candidateList>
        <item>Ⅲ</item>
      </candidateList>
      <explain/>
      <paraID>35C52816</paraID>
      <start>0</start>
      <end>3</end>
      <status>unmodified</status>
      <modifiedWord/>
      <trackRevisions>false</trackRevisions>
    </reviewItem>
    <reviewItem>
      <errorID>95ea8376-ba8b-4a02-915e-1c2a479ceae3</errorID>
      <errorWord>III</errorWord>
      <group>L1_Word</group>
      <groupName>字词问题</groupName>
      <ability>L2_Typo</ability>
      <abilityName>字词错误</abilityName>
      <candidateList>
        <item>Ⅲ</item>
      </candidateList>
      <explain/>
      <paraID> 11DD905</paraID>
      <start>0</start>
      <end>3</end>
      <status>unmodified</status>
      <modifiedWord/>
      <trackRevisions>false</trackRevisions>
    </reviewItem>
    <reviewItem>
      <errorID>7b103c16-93ff-4140-880a-b8893b724e60</errorID>
      <errorWord>III</errorWord>
      <group>L1_Word</group>
      <groupName>字词问题</groupName>
      <ability>L2_Typo</ability>
      <abilityName>字词错误</abilityName>
      <candidateList>
        <item>Ⅲ</item>
      </candidateList>
      <explain/>
      <paraID>2074D52C</paraID>
      <start>0</start>
      <end>3</end>
      <status>unmodified</status>
      <modifiedWord/>
      <trackRevisions>false</trackRevisions>
    </reviewItem>
    <reviewItem>
      <errorID>7db7e5b0-1b85-432a-b989-a0eb45bc20f3</errorID>
      <errorWord>III</errorWord>
      <group>L1_Word</group>
      <groupName>字词问题</groupName>
      <ability>L2_Typo</ability>
      <abilityName>字词错误</abilityName>
      <candidateList>
        <item>Ⅲ</item>
      </candidateList>
      <explain/>
      <paraID>  B80B5C</paraID>
      <start>0</start>
      <end>3</end>
      <status>unmodified</status>
      <modifiedWord/>
      <trackRevisions>false</trackRevisions>
    </reviewItem>
    <reviewItem>
      <errorID>26667526-77a4-4beb-9fe5-6dc255d566f0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27698D74</paraID>
      <start>0</start>
      <end>2</end>
      <status>unmodified</status>
      <modifiedWord/>
      <trackRevisions>false</trackRevisions>
    </reviewItem>
    <reviewItem>
      <errorID>5ad0ec87-9793-4fbb-ab60-ab75af98ba2c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7FB1336A</paraID>
      <start>0</start>
      <end>2</end>
      <status>unmodified</status>
      <modifiedWord/>
      <trackRevisions>false</trackRevisions>
    </reviewItem>
    <reviewItem>
      <errorID>ba519a9c-6f66-475f-841a-9cb42e72334b</errorID>
      <errorWord>瓦房子镇瓦房子镇</errorWord>
      <group>L1_Word</group>
      <groupName>字词问题</groupName>
      <ability>L2_Typo</ability>
      <abilityName>字词错误</abilityName>
      <candidateList>
        <item>瓦房子镇</item>
      </candidateList>
      <explain/>
      <paraID>4C0E6301</paraID>
      <start>14</start>
      <end>22</end>
      <status>unmodified</status>
      <modifiedWord/>
      <trackRevisions>false</trackRevisions>
    </reviewItem>
    <reviewItem>
      <errorID>348e6568-2aa1-4004-a6ee-ebc340d2f5bc</errorID>
      <errorWord>文化自然遗产</errorWord>
      <group>L1_Knowledge</group>
      <groupName>知识性问题</groupName>
      <ability>L2_Knowledge</ability>
      <abilityName>其他知识</abilityName>
      <candidateList>
        <item>文化和自然遗产</item>
      </candidateList>
      <explain/>
      <paraID>4C0E6301</paraID>
      <start>185</start>
      <end>191</end>
      <status>unmodified</status>
      <modifiedWord/>
      <trackRevisions>false</trackRevisions>
    </reviewItem>
    <reviewItem>
      <errorID>8babc4df-58b0-4c1e-8251-eb84dddb87b2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5EF8F866</paraID>
      <start>0</start>
      <end>2</end>
      <status>unmodified</status>
      <modifiedWord/>
      <trackRevisions>false</trackRevisions>
    </reviewItem>
    <reviewItem>
      <errorID>03dfee04-e081-4086-a56b-084397fb7d60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E02A6F5</paraID>
      <start>0</start>
      <end>2</end>
      <status>unmodified</status>
      <modifiedWord/>
      <trackRevisions>false</trackRevisions>
    </reviewItem>
    <reviewItem>
      <errorID>0bdf9cb0-2da4-4270-a176-b8c63f58dc06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7C1478E4</paraID>
      <start>0</start>
      <end>2</end>
      <status>unmodified</status>
      <modifiedWord/>
      <trackRevisions>false</trackRevisions>
    </reviewItem>
    <reviewItem>
      <errorID>f2e0695a-0c23-442c-b3e7-48d121a35a36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75CE593F</paraID>
      <start>0</start>
      <end>2</end>
      <status>unmodified</status>
      <modifiedWord/>
      <trackRevisions>false</trackRevisions>
    </reviewItem>
    <reviewItem>
      <errorID>a9d551fa-5707-4af8-8ea1-6407bf3391ce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D95E98</paraID>
      <start>0</start>
      <end>2</end>
      <status>unmodified</status>
      <modifiedWord/>
      <trackRevisions>false</trackRevisions>
    </reviewItem>
    <reviewItem>
      <errorID>e77130a4-652c-4502-8401-74fcd8cc8a18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2ECB632</paraID>
      <start>0</start>
      <end>2</end>
      <status>unmodified</status>
      <modifiedWord/>
      <trackRevisions>false</trackRevisions>
    </reviewItem>
    <reviewItem>
      <errorID>7c531b88-7159-4b7b-a997-70fcb1151e4b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46386800</paraID>
      <start>0</start>
      <end>2</end>
      <status>unmodified</status>
      <modifiedWord/>
      <trackRevisions>false</trackRevisions>
    </reviewItem>
    <reviewItem>
      <errorID>5f22c8b1-1e3e-4751-9222-c5886c4d8b30</errorID>
      <errorWord>文化自然遗产</errorWord>
      <group>L1_Knowledge</group>
      <groupName>知识性问题</groupName>
      <ability>L2_Knowledge</ability>
      <abilityName>其他知识</abilityName>
      <candidateList>
        <item>文化和自然遗产</item>
      </candidateList>
      <explain/>
      <paraID>7CFAB372</paraID>
      <start>137</start>
      <end>143</end>
      <status>unmodified</status>
      <modifiedWord/>
      <trackRevisions>false</trackRevisions>
    </reviewItem>
    <reviewItem>
      <errorID>56f88264-a465-477b-8347-6ac266ec993c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7CBACCE0</paraID>
      <start>0</start>
      <end>2</end>
      <status>unmodified</status>
      <modifiedWord/>
      <trackRevisions>false</trackRevisions>
    </reviewItem>
    <reviewItem>
      <errorID>9072e04f-e131-44d3-9d78-67bf3b4f780f</errorID>
      <errorWord>(</errorWord>
      <group>L1_Format</group>
      <groupName>格式问题</groupName>
      <ability>L2_HalfPunc_CN</ability>
      <abilityName>全半角问题</abilityName>
      <candidateList>
        <item>（</item>
      </candidateList>
      <explain>文本全半角错误。</explain>
      <paraID>33C00CD8</paraID>
      <start>52</start>
      <end>53</end>
      <status>unmodified</status>
      <modifiedWord/>
      <trackRevisions>false</trackRevisions>
    </reviewItem>
    <reviewItem>
      <errorID>20575717-1bbd-4235-bf2f-aaaabafd5baf</errorID>
      <errorWord>)</errorWord>
      <group>L1_Format</group>
      <groupName>格式问题</groupName>
      <ability>L2_HalfPunc_CN</ability>
      <abilityName>全半角问题</abilityName>
      <candidateList>
        <item>）</item>
      </candidateList>
      <explain>文本全半角错误。</explain>
      <paraID>33C00CD8</paraID>
      <start>65</start>
      <end>66</end>
      <status>unmodified</status>
      <modifiedWord/>
      <trackRevisions>false</trackRevisions>
    </reviewItem>
    <reviewItem>
      <errorID>6b4b22aa-3b72-4331-9b20-3508927aa41f</errorID>
      <errorWord>(</errorWord>
      <group>L1_Format</group>
      <groupName>格式问题</groupName>
      <ability>L2_HalfPunc_CN</ability>
      <abilityName>全半角问题</abilityName>
      <candidateList>
        <item>（</item>
      </candidateList>
      <explain>文本全半角错误。</explain>
      <paraID>65F06023</paraID>
      <start>15</start>
      <end>16</end>
      <status>unmodified</status>
      <modifiedWord/>
      <trackRevisions>false</trackRevisions>
    </reviewItem>
    <reviewItem>
      <errorID>82c189a0-1d75-4238-ad55-1a32de053e8c</errorID>
      <errorWord>)</errorWord>
      <group>L1_Format</group>
      <groupName>格式问题</groupName>
      <ability>L2_HalfPunc_CN</ability>
      <abilityName>全半角问题</abilityName>
      <candidateList>
        <item>）</item>
      </candidateList>
      <explain>文本全半角错误。</explain>
      <paraID>65F06023</paraID>
      <start>28</start>
      <end>29</end>
      <status>unmodified</status>
      <modifiedWord/>
      <trackRevisions>false</trackRevisions>
    </reviewItem>
    <reviewItem>
      <errorID>2c4b3c61-0a45-4642-a175-d7999b72b02a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1A5FF4F</paraID>
      <start>0</start>
      <end>2</end>
      <status>unmodified</status>
      <modifiedWord/>
      <trackRevisions>false</trackRevisions>
    </reviewItem>
    <reviewItem>
      <errorID>9dc68baa-ca7b-4cae-bd1a-ceb44b95707a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71AC1C47</paraID>
      <start>0</start>
      <end>2</end>
      <status>unmodified</status>
      <modifiedWord/>
      <trackRevisions>false</trackRevisions>
    </reviewItem>
    <reviewItem>
      <errorID>91d1b2e3-8927-4550-ab1d-b40ecbce7996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265BC08D</paraID>
      <start>0</start>
      <end>2</end>
      <status>unmodified</status>
      <modifiedWord/>
      <trackRevisions>false</trackRevisions>
    </reviewItem>
    <reviewItem>
      <errorID>f88cbc2b-f610-4e75-a96b-8c8c54f3a37b</errorID>
      <errorWord>（</errorWord>
      <group>L1_Punc</group>
      <groupName>标点问题</groupName>
      <ability>L2_Punc_CN</ability>
      <abilityName>标点符号问题</abilityName>
      <candidateList/>
      <explain>同一形式括号套用。</explain>
      <paraID>28F6AE2D</paraID>
      <start>30</start>
      <end>31</end>
      <status>unmodified</status>
      <modifiedWord/>
      <trackRevisions>false</trackRevisions>
    </reviewItem>
    <reviewItem>
      <errorID>12ac9420-1dbc-4270-a38c-8e9d64d7a70f</errorID>
      <errorWord>）</errorWord>
      <group>L1_Punc</group>
      <groupName>标点问题</groupName>
      <ability>L2_Punc_CN</ability>
      <abilityName>标点符号问题</abilityName>
      <candidateList/>
      <explain>同一形式括号套用。</explain>
      <paraID>28F6AE2D</paraID>
      <start>33</start>
      <end>34</end>
      <status>unmodified</status>
      <modifiedWord/>
      <trackRevisions>false</trackRevisions>
    </reviewItem>
    <reviewItem>
      <errorID>f645ba1f-f8c7-4174-84f6-d291d7f17aed</errorID>
      <errorWord>[2022]42号</errorWord>
      <group>L1_Knowledge</group>
      <groupName>知识性问题</groupName>
      <ability>L2_Knowledge</ability>
      <abilityName>其他知识</abilityName>
      <candidateList>
        <item>〔2022〕42号</item>
      </candidateList>
      <explain>发文字号格式错误。</explain>
      <paraID>1A84BCBB</paraID>
      <start>91</start>
      <end>100</end>
      <status>unmodified</status>
      <modifiedWord/>
      <trackRevisions>false</trackRevisions>
    </reviewItem>
    <reviewItem>
      <errorID>200ec2cd-93c2-49d8-ad1b-7519c0b32a08</errorID>
      <errorWord>[2020]</errorWord>
      <group>L1_Punc</group>
      <groupName>标点问题</groupName>
      <ability>L2_Punc_CN</ability>
      <abilityName>标点符号问题</abilityName>
      <candidateList>
        <item>〔2020〕</item>
      </candidateList>
      <explain/>
      <paraID> 35F46F3</paraID>
      <start>95</start>
      <end>101</end>
      <status>unmodified</status>
      <modifiedWord/>
      <trackRevisions>false</trackRevisions>
    </reviewItem>
    <reviewItem>
      <errorID>9e8e12ea-064b-42d5-9276-caa9585a7bd1</errorID>
      <errorWord>~</errorWord>
      <group>L1_Format</group>
      <groupName>格式问题</groupName>
      <ability>L2_HalfPunc_CN</ability>
      <abilityName>全半角问题</abilityName>
      <candidateList>
        <item>～</item>
      </candidateList>
      <explain>文本全半角错误。</explain>
      <paraID> B1865D2</paraID>
      <start>50</start>
      <end>51</end>
      <status>unmodified</status>
      <modifiedWord/>
      <trackRevisions>false</trackRevisions>
    </reviewItem>
    <reviewItem>
      <errorID>4dc0c5f6-2281-4342-a7d2-315ab192c747</errorID>
      <errorWord>遮盖</errorWord>
      <group>L1_Word</group>
      <groupName>字词问题</groupName>
      <ability>L2_Typo</ability>
      <abilityName>字词错误</abilityName>
      <candidateList>
        <item>遮</item>
      </candidateList>
      <explain/>
      <paraID>1BC3BE11</paraID>
      <start>48</start>
      <end>50</end>
      <status>unmodified</status>
      <modifiedWord/>
      <trackRevisions>false</trackRevisions>
    </reviewItem>
    <reviewItem>
      <errorID>1eddc058-a092-4dc5-867e-aaf162d3e220</errorID>
      <errorWord>篷</errorWord>
      <group>L1_Word</group>
      <groupName>字词问题</groupName>
      <ability>L2_Typo</ability>
      <abilityName>字词错误</abilityName>
      <candidateList>
        <item>棚</item>
      </candidateList>
      <explain>存在发音相同字词的误用。</explain>
      <paraID>1BC3BE11</paraID>
      <start>50</start>
      <end>51</end>
      <status>unmodified</status>
      <modifiedWord/>
      <trackRevisions>false</trackRevisions>
    </reviewItem>
    <reviewItem>
      <errorID>53fdd657-7408-483e-8c28-c8312fb7239b</errorID>
      <errorWord>工地</errorWord>
      <group>L1_Word</group>
      <groupName>字词问题</groupName>
      <ability>L2_Typo</ability>
      <abilityName>字词错误</abilityName>
      <candidateList>
        <item>场地</item>
      </candidateList>
      <explain>存在字形相近字词的误用。</explain>
      <paraID>443C7222</paraID>
      <start>183</start>
      <end>185</end>
      <status>unmodified</status>
      <modifiedWord/>
      <trackRevisions>false</trackRevisions>
    </reviewItem>
    <reviewItem>
      <errorID>2db4f728-fee7-4d80-951f-eacd2897535d</errorID>
      <errorWord>~</errorWord>
      <group>L1_Format</group>
      <groupName>格式问题</groupName>
      <ability>L2_HalfPunc_CN</ability>
      <abilityName>全半角问题</abilityName>
      <candidateList>
        <item>～</item>
      </candidateList>
      <explain>文本全半角错误。</explain>
      <paraID>23333668</paraID>
      <start>19</start>
      <end>20</end>
      <status>unmodified</status>
      <modifiedWord/>
      <trackRevisions>false</trackRevisions>
    </reviewItem>
    <reviewItem>
      <errorID>50b4f07d-ca6d-4e4a-b51d-ad1df944b3c9</errorID>
      <errorWord>程</errorWord>
      <group>L1_Word</group>
      <groupName>字词问题</groupName>
      <ability>L2_Typo</ability>
      <abilityName>字词错误</abilityName>
      <candidateList>
        <item>程中</item>
      </candidateList>
      <explain/>
      <paraID>56F87B0D</paraID>
      <start>51</start>
      <end>52</end>
      <status>unmodified</status>
      <modifiedWord/>
      <trackRevisions>false</trackRevisions>
    </reviewItem>
    <reviewItem>
      <errorID>fd20d7f7-d84d-4aa1-a351-6d9c96956d35</errorID>
      <errorWord>工地</errorWord>
      <group>L1_Word</group>
      <groupName>字词问题</groupName>
      <ability>L2_Typo</ability>
      <abilityName>字词错误</abilityName>
      <candidateList>
        <item>场地</item>
      </candidateList>
      <explain/>
      <paraID>15070B24</paraID>
      <start>22</start>
      <end>24</end>
      <status>unmodified</status>
      <modifiedWord/>
      <trackRevisions>false</trackRevisions>
    </reviewItem>
    <reviewItem>
      <errorID>6461676f-77b1-474b-a9cc-89bf644a5234</errorID>
      <errorWord>（</errorWord>
      <group>L1_Punc</group>
      <groupName>标点问题</groupName>
      <ability>L2_Punc_CN</ability>
      <abilityName>标点符号问题</abilityName>
      <candidateList/>
      <explain>同一形式括号套用。</explain>
      <paraID>49A1805A</paraID>
      <start>26</start>
      <end>27</end>
      <status>unmodified</status>
      <modifiedWord/>
      <trackRevisions>false</trackRevisions>
    </reviewItem>
    <reviewItem>
      <errorID>23938082-c0e6-477d-bd0d-a384a53dc8e1</errorID>
      <errorWord>(</errorWord>
      <group>L1_Punc</group>
      <groupName>标点问题</groupName>
      <ability>L2_Punc_CN</ability>
      <abilityName>标点符号问题</abilityName>
      <candidateList/>
      <explain>同一形式括号套用。</explain>
      <paraID>49A1805A</paraID>
      <start>37</start>
      <end>38</end>
      <status>unmodified</status>
      <modifiedWord/>
      <trackRevisions>false</trackRevisions>
    </reviewItem>
    <reviewItem>
      <errorID>b61a7169-128e-44f7-96fe-43f753da0d84</errorID>
      <errorWord>)</errorWord>
      <group>L1_Punc</group>
      <groupName>标点问题</groupName>
      <ability>L2_Punc_CN</ability>
      <abilityName>标点符号问题</abilityName>
      <candidateList/>
      <explain>同一形式括号套用。</explain>
      <paraID>49A1805A</paraID>
      <start>39</start>
      <end>40</end>
      <status>unmodified</status>
      <modifiedWord/>
      <trackRevisions>false</trackRevisions>
    </reviewItem>
    <reviewItem>
      <errorID>caa7e992-21b6-4cb0-b515-f5eb51e66544</errorID>
      <errorWord>）</errorWord>
      <group>L1_Punc</group>
      <groupName>标点问题</groupName>
      <ability>L2_Punc_CN</ability>
      <abilityName>标点符号问题</abilityName>
      <candidateList/>
      <explain>同一形式括号套用。</explain>
      <paraID>49A1805A</paraID>
      <start>40</start>
      <end>41</end>
      <status>unmodified</status>
      <modifiedWord/>
      <trackRevisions>false</trackRevisions>
    </reviewItem>
    <reviewItem>
      <errorID>02fa078f-a7b4-49f2-9cba-19393a64f5b6</errorID>
      <errorWord>（</errorWord>
      <group>L1_Punc</group>
      <groupName>标点问题</groupName>
      <ability>L2_Punc_CN</ability>
      <abilityName>标点符号问题</abilityName>
      <candidateList/>
      <explain>同一形式括号套用。</explain>
      <paraID>49A1805A</paraID>
      <start>45</start>
      <end>46</end>
      <status>unmodified</status>
      <modifiedWord/>
      <trackRevisions>false</trackRevisions>
    </reviewItem>
    <reviewItem>
      <errorID>b5f6a5f1-29b9-4811-a2cf-2c76c0ed2f5c</errorID>
      <errorWord>(</errorWord>
      <group>L1_Punc</group>
      <groupName>标点问题</groupName>
      <ability>L2_Punc_CN</ability>
      <abilityName>标点符号问题</abilityName>
      <candidateList/>
      <explain>同一形式括号套用。</explain>
      <paraID>49A1805A</paraID>
      <start>54</start>
      <end>55</end>
      <status>unmodified</status>
      <modifiedWord/>
      <trackRevisions>false</trackRevisions>
    </reviewItem>
    <reviewItem>
      <errorID>3d6eb930-41f2-4e29-b685-c28502d322cd</errorID>
      <errorWord>)</errorWord>
      <group>L1_Punc</group>
      <groupName>标点问题</groupName>
      <ability>L2_Punc_CN</ability>
      <abilityName>标点符号问题</abilityName>
      <candidateList/>
      <explain>同一形式括号套用。</explain>
      <paraID>49A1805A</paraID>
      <start>56</start>
      <end>57</end>
      <status>unmodified</status>
      <modifiedWord/>
      <trackRevisions>false</trackRevisions>
    </reviewItem>
    <reviewItem>
      <errorID>67fbf075-e02e-4b25-a682-015229956457</errorID>
      <errorWord>）</errorWord>
      <group>L1_Punc</group>
      <groupName>标点问题</groupName>
      <ability>L2_Punc_CN</ability>
      <abilityName>标点符号问题</abilityName>
      <candidateList/>
      <explain>同一形式括号套用。</explain>
      <paraID>49A1805A</paraID>
      <start>57</start>
      <end>58</end>
      <status>unmodified</status>
      <modifiedWord/>
      <trackRevisions>false</trackRevisions>
    </reviewItem>
    <reviewItem>
      <errorID>18fe33ce-4ca2-459c-9bfe-dc8f10c9c70e</errorID>
      <errorWord>（</errorWord>
      <group>L1_Punc</group>
      <groupName>标点问题</groupName>
      <ability>L2_Punc_CN</ability>
      <abilityName>标点符号问题</abilityName>
      <candidateList/>
      <explain>同一形式括号套用。</explain>
      <paraID>49A1805A</paraID>
      <start>62</start>
      <end>63</end>
      <status>unmodified</status>
      <modifiedWord/>
      <trackRevisions>false</trackRevisions>
    </reviewItem>
    <reviewItem>
      <errorID>f9d817c4-542a-4b97-850d-5f7deb26f38d</errorID>
      <errorWord>(</errorWord>
      <group>L1_Punc</group>
      <groupName>标点问题</groupName>
      <ability>L2_Punc_CN</ability>
      <abilityName>标点符号问题</abilityName>
      <candidateList/>
      <explain>同一形式括号套用。</explain>
      <paraID>49A1805A</paraID>
      <start>71</start>
      <end>72</end>
      <status>unmodified</status>
      <modifiedWord/>
      <trackRevisions>false</trackRevisions>
    </reviewItem>
    <reviewItem>
      <errorID>8285f002-d68b-47ab-b6e4-dac5099cc735</errorID>
      <errorWord>)</errorWord>
      <group>L1_Punc</group>
      <groupName>标点问题</groupName>
      <ability>L2_Punc_CN</ability>
      <abilityName>标点符号问题</abilityName>
      <candidateList/>
      <explain>同一形式括号套用。</explain>
      <paraID>49A1805A</paraID>
      <start>73</start>
      <end>74</end>
      <status>unmodified</status>
      <modifiedWord/>
      <trackRevisions>false</trackRevisions>
    </reviewItem>
    <reviewItem>
      <errorID>3ee47902-5292-4c5b-899f-6827fd3509ee</errorID>
      <errorWord>）</errorWord>
      <group>L1_Punc</group>
      <groupName>标点问题</groupName>
      <ability>L2_Punc_CN</ability>
      <abilityName>标点符号问题</abilityName>
      <candidateList/>
      <explain>同一形式括号套用。</explain>
      <paraID>49A1805A</paraID>
      <start>74</start>
      <end>75</end>
      <status>unmodified</status>
      <modifiedWord/>
      <trackRevisions>false</trackRevisions>
    </reviewItem>
    <reviewItem>
      <errorID>5e4c91b5-fa22-4c35-ace5-52bebe850e5b</errorID>
      <errorWord>（</errorWord>
      <group>L1_Punc</group>
      <groupName>标点问题</groupName>
      <ability>L2_Punc_CN</ability>
      <abilityName>标点符号问题</abilityName>
      <candidateList/>
      <explain>同一形式括号套用。</explain>
      <paraID>49A1805A</paraID>
      <start>82</start>
      <end>83</end>
      <status>unmodified</status>
      <modifiedWord/>
      <trackRevisions>false</trackRevisions>
    </reviewItem>
    <reviewItem>
      <errorID>15ed2d95-e0dd-4d50-98a9-fef9771bedc0</errorID>
      <errorWord>(</errorWord>
      <group>L1_Punc</group>
      <groupName>标点问题</groupName>
      <ability>L2_Punc_CN</ability>
      <abilityName>标点符号问题</abilityName>
      <candidateList/>
      <explain>同一形式括号套用。</explain>
      <paraID>49A1805A</paraID>
      <start>91</start>
      <end>92</end>
      <status>unmodified</status>
      <modifiedWord/>
      <trackRevisions>false</trackRevisions>
    </reviewItem>
    <reviewItem>
      <errorID>1825de5c-7599-4fd8-af8d-d8ef6cdb7855</errorID>
      <errorWord>)</errorWord>
      <group>L1_Punc</group>
      <groupName>标点问题</groupName>
      <ability>L2_Punc_CN</ability>
      <abilityName>标点符号问题</abilityName>
      <candidateList/>
      <explain>同一形式括号套用。</explain>
      <paraID>49A1805A</paraID>
      <start>93</start>
      <end>94</end>
      <status>unmodified</status>
      <modifiedWord/>
      <trackRevisions>false</trackRevisions>
    </reviewItem>
    <reviewItem>
      <errorID>70523ab8-0012-4458-bd99-ca491d8e1e87</errorID>
      <errorWord>）</errorWord>
      <group>L1_Punc</group>
      <groupName>标点问题</groupName>
      <ability>L2_Punc_CN</ability>
      <abilityName>标点符号问题</abilityName>
      <candidateList/>
      <explain>同一形式括号套用。</explain>
      <paraID>49A1805A</paraID>
      <start>94</start>
      <end>95</end>
      <status>unmodified</status>
      <modifiedWord/>
      <trackRevisions>false</trackRevisions>
    </reviewItem>
    <reviewItem>
      <errorID>bc5a3b3f-5a09-41c5-b51c-50ff3b781f7e</errorID>
      <errorWord>（</errorWord>
      <group>L1_Punc</group>
      <groupName>标点问题</groupName>
      <ability>L2_Punc_CN</ability>
      <abilityName>标点符号问题</abilityName>
      <candidateList/>
      <explain>同一形式括号套用。</explain>
      <paraID>49A1805A</paraID>
      <start>100</start>
      <end>101</end>
      <status>unmodified</status>
      <modifiedWord/>
      <trackRevisions>false</trackRevisions>
    </reviewItem>
    <reviewItem>
      <errorID>6a177a46-9b2b-40d3-8534-54aefb871e3a</errorID>
      <errorWord>(</errorWord>
      <group>L1_Punc</group>
      <groupName>标点问题</groupName>
      <ability>L2_Punc_CN</ability>
      <abilityName>标点符号问题</abilityName>
      <candidateList/>
      <explain>同一形式括号套用。</explain>
      <paraID>49A1805A</paraID>
      <start>109</start>
      <end>110</end>
      <status>unmodified</status>
      <modifiedWord/>
      <trackRevisions>false</trackRevisions>
    </reviewItem>
    <reviewItem>
      <errorID>c454359c-b7fe-4925-bec3-73e81ebc0e00</errorID>
      <errorWord>)</errorWord>
      <group>L1_Punc</group>
      <groupName>标点问题</groupName>
      <ability>L2_Punc_CN</ability>
      <abilityName>标点符号问题</abilityName>
      <candidateList/>
      <explain>同一形式括号套用。</explain>
      <paraID>49A1805A</paraID>
      <start>111</start>
      <end>112</end>
      <status>unmodified</status>
      <modifiedWord/>
      <trackRevisions>false</trackRevisions>
    </reviewItem>
    <reviewItem>
      <errorID>aec89873-2079-42c0-ad7e-bbb6d6dd6d6f</errorID>
      <errorWord>）</errorWord>
      <group>L1_Punc</group>
      <groupName>标点问题</groupName>
      <ability>L2_Punc_CN</ability>
      <abilityName>标点符号问题</abilityName>
      <candidateList/>
      <explain>同一形式括号套用。</explain>
      <paraID>49A1805A</paraID>
      <start>112</start>
      <end>113</end>
      <status>unmodified</status>
      <modifiedWord/>
      <trackRevisions>false</trackRevisions>
    </reviewItem>
    <reviewItem>
      <errorID>af1c7e60-55c6-4f1a-96da-70ba7ce15f38</errorID>
      <errorWord>的</errorWord>
      <group>L1_Word</group>
      <groupName>字词问题</groupName>
      <ability>L2_DDD</ability>
      <abilityName>的地得用法</abilityName>
      <candidateList>
        <item>地</item>
      </candidateList>
      <explain/>
      <paraID>5E5A1CB4</paraID>
      <start>49</start>
      <end>50</end>
      <status>unmodified</status>
      <modifiedWord/>
      <trackRevisions>false</trackRevisions>
    </reviewItem>
    <reviewItem>
      <errorID>469a9e02-e8cd-4028-869e-d585cfe8ee67</errorID>
      <errorWord>-</errorWord>
      <group>L1_Format</group>
      <groupName>格式问题</groupName>
      <ability>L2_HalfPunc_CN</ability>
      <abilityName>全半角问题</abilityName>
      <candidateList>
        <item>－</item>
      </candidateList>
      <explain>文本全半角错误。</explain>
      <paraID>6433DAD6</paraID>
      <start>28</start>
      <end>29</end>
      <status>unmodified</status>
      <modifiedWord/>
      <trackRevisions>false</trackRevisions>
    </reviewItem>
    <reviewItem>
      <errorID>32100954-5d41-44d6-9fdc-d187061ce57b</errorID>
      <errorWord>（</errorWord>
      <group>L1_Format</group>
      <groupName>格式问题</groupName>
      <ability>L2_HalfPunc_CN</ability>
      <abilityName>全半角问题</abilityName>
      <candidateList>
        <item>(</item>
      </candidateList>
      <explain>文本全半角错误。</explain>
      <paraID>345F42E6</paraID>
      <start>16</start>
      <end>17</end>
      <status>unmodified</status>
      <modifiedWord/>
      <trackRevisions>false</trackRevisions>
    </reviewItem>
    <reviewItem>
      <errorID>ee692d59-fc10-4c6b-9ef4-f1788f72538f</errorID>
      <errorWord>）</errorWord>
      <group>L1_Format</group>
      <groupName>格式问题</groupName>
      <ability>L2_HalfPunc_CN</ability>
      <abilityName>全半角问题</abilityName>
      <candidateList>
        <item>)</item>
      </candidateList>
      <explain>文本全半角错误。</explain>
      <paraID>345F42E6</paraID>
      <start>20</start>
      <end>21</end>
      <status>unmodified</status>
      <modifiedWord/>
      <trackRevisions>false</trackRevisions>
    </reviewItem>
    <reviewItem>
      <errorID>4093955a-57d1-43ab-8cd0-964d92c1e359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1A236EC4</paraID>
      <start>48</start>
      <end>49</end>
      <status>unmodified</status>
      <modifiedWord/>
      <trackRevisions>false</trackRevisions>
    </reviewItem>
    <reviewItem>
      <errorID>187832b0-6417-4ac2-9e79-314225e89772</errorID>
      <errorWord>散水</errorWord>
      <group>L1_Word</group>
      <groupName>字词问题</groupName>
      <ability>L2_Typo</ability>
      <abilityName>字词错误</abilityName>
      <candidateList>
        <item>洒水</item>
      </candidateList>
      <explain/>
      <paraID>1A41FFF5</paraID>
      <start>58</start>
      <end>60</end>
      <status>unmodified</status>
      <modifiedWord/>
      <trackRevisions>false</trackRevisions>
    </reviewItem>
    <reviewItem>
      <errorID>9c98ed60-2dd3-4902-b723-c6d35e20aa01</errorID>
      <errorWord>-</errorWord>
      <group>L1_Format</group>
      <groupName>格式问题</groupName>
      <ability>L2_HalfPunc_CN</ability>
      <abilityName>全半角问题</abilityName>
      <candidateList>
        <item>－</item>
      </candidateList>
      <explain>文本全半角错误。</explain>
      <paraID>20CCCCB4</paraID>
      <start>87</start>
      <end>88</end>
      <status>unmodified</status>
      <modifiedWord/>
      <trackRevisions>false</trackRevisions>
    </reviewItem>
    <reviewItem>
      <errorID>4b8961d9-7ab4-45d3-8a88-f70874ad7173</errorID>
      <errorWord>10-1千</errorWord>
      <group>L1_Knowledge</group>
      <groupName>知识性问题</groupName>
      <ability>L2_Knowledge</ability>
      <abilityName>其他知识</abilityName>
      <candidateList>
        <item>10—1千</item>
      </candidateList>
      <explain>1. “10-1千”中的单位“千”仅出现在后一个数字上，容易引起歧义；根据《现代汉语标点符号数字用法规范手册》，数字表示范围两边需要使用统一的格式。2.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54158F6B</paraID>
      <start>232</start>
      <end>237</end>
      <status>unmodified</status>
      <modifiedWord/>
      <trackRevisions>false</trackRevisions>
    </reviewItem>
    <reviewItem>
      <errorID>c57559e4-876c-48fd-9245-5e2f1c78ff61</errorID>
      <errorWord>-</errorWord>
      <group>L1_Format</group>
      <groupName>格式问题</groupName>
      <ability>L2_HalfPunc_CN</ability>
      <abilityName>全半角问题</abilityName>
      <candidateList>
        <item>－</item>
      </candidateList>
      <explain>文本全半角错误。</explain>
      <paraID>54158F6B</paraID>
      <start>240</start>
      <end>241</end>
      <status>unmodified</status>
      <modifiedWord/>
      <trackRevisions>false</trackRevisions>
    </reviewItem>
    <reviewItem>
      <errorID>68112166-2e11-4152-ad17-f3c73e5673c6</errorID>
      <errorWord>型式</errorWord>
      <group>L1_Word</group>
      <groupName>字词问题</groupName>
      <ability>L2_Typo</ability>
      <abilityName>字词错误</abilityName>
      <candidateList>
        <item>形式</item>
      </candidateList>
      <explain/>
      <paraID>11123068</paraID>
      <start>103</start>
      <end>105</end>
      <status>unmodified</status>
      <modifiedWord/>
      <trackRevisions>false</trackRevisions>
    </reviewItem>
    <reviewItem>
      <errorID>2c3c18ee-c130-4b15-8ae0-5bbfb39f7728</errorID>
      <errorWord>10-1千</errorWord>
      <group>L1_Knowledge</group>
      <groupName>知识性问题</groupName>
      <ability>L2_Knowledge</ability>
      <abilityName>其他知识</abilityName>
      <candidateList>
        <item>10—1千</item>
      </candidateList>
      <explain>1. “10-1千”中的单位“千”仅出现在后一个数字上，容易引起歧义；根据《现代汉语标点符号数字用法规范手册》，数字表示范围两边需要使用统一的格式。2.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5114FA71</paraID>
      <start>115</start>
      <end>120</end>
      <status>unmodified</status>
      <modifiedWord/>
      <trackRevisions>false</trackRevisions>
    </reviewItem>
    <reviewItem>
      <errorID>d68e10f0-dbfd-4426-bc7a-3e11737c96cb</errorID>
      <errorWord>-</errorWord>
      <group>L1_Format</group>
      <groupName>格式问题</groupName>
      <ability>L2_HalfPunc_CN</ability>
      <abilityName>全半角问题</abilityName>
      <candidateList>
        <item>－</item>
      </candidateList>
      <explain>文本全半角错误。</explain>
      <paraID>5114FA71</paraID>
      <start>123</start>
      <end>124</end>
      <status>unmodified</status>
      <modifiedWord/>
      <trackRevisions>false</trackRevisions>
    </reviewItem>
    <reviewItem>
      <errorID>ef6af6b5-691c-4ade-a9ec-14b910f219ca</errorID>
      <errorWord>型式</errorWord>
      <group>L1_Word</group>
      <groupName>字词问题</groupName>
      <ability>L2_Typo</ability>
      <abilityName>字词错误</abilityName>
      <candidateList>
        <item>形式</item>
      </candidateList>
      <explain/>
      <paraID>2CD8945F</paraID>
      <start>56</start>
      <end>58</end>
      <status>unmodified</status>
      <modifiedWord/>
      <trackRevisions>false</trackRevisions>
    </reviewItem>
    <reviewItem>
      <errorID>f9b1e1a0-a2cf-4d9e-87af-5cfeb5b9afeb</errorID>
      <errorWord>-</errorWord>
      <group>L1_Format</group>
      <groupName>格式问题</groupName>
      <ability>L2_HalfPunc_CN</ability>
      <abilityName>全半角问题</abilityName>
      <candidateList>
        <item>－</item>
      </candidateList>
      <explain>文本全半角错误。</explain>
      <paraID>51534DBC</paraID>
      <start>167</start>
      <end>168</end>
      <status>unmodified</status>
      <modifiedWord/>
      <trackRevisions>false</trackRevisions>
    </reviewItem>
    <reviewItem>
      <errorID>a13a4a7e-a014-4d78-b0dd-eb133c686fac</errorID>
      <errorWord>型式</errorWord>
      <group>L1_Word</group>
      <groupName>字词问题</groupName>
      <ability>L2_Typo</ability>
      <abilityName>字词错误</abilityName>
      <candidateList>
        <item>形式</item>
      </candidateList>
      <explain/>
      <paraID> 3DA18BA</paraID>
      <start>56</start>
      <end>58</end>
      <status>unmodified</status>
      <modifiedWord/>
      <trackRevisions>false</trackRevisions>
    </reviewItem>
    <reviewItem>
      <errorID>a66f06b2-de80-47d5-baeb-5759da5d7069</errorID>
      <errorWord>-</errorWord>
      <group>L1_Format</group>
      <groupName>格式问题</groupName>
      <ability>L2_HalfPunc_CN</ability>
      <abilityName>全半角问题</abilityName>
      <candidateList>
        <item>－</item>
      </candidateList>
      <explain>文本全半角错误。</explain>
      <paraID>520A23E2</paraID>
      <start>190</start>
      <end>191</end>
      <status>unmodified</status>
      <modifiedWord/>
      <trackRevisions>false</trackRevisions>
    </reviewItem>
    <reviewItem>
      <errorID>dee6d616-bbfd-40f9-a16a-54032a307da9</errorID>
      <errorWord>（</errorWord>
      <group>L1_Format</group>
      <groupName>格式问题</groupName>
      <ability>L2_HalfPunc_CN</ability>
      <abilityName>全半角问题</abilityName>
      <candidateList>
        <item>(</item>
      </candidateList>
      <explain>文本全半角错误。</explain>
      <paraID>6A0F88A4</paraID>
      <start>11</start>
      <end>12</end>
      <status>unmodified</status>
      <modifiedWord/>
      <trackRevisions>false</trackRevisions>
    </reviewItem>
    <reviewItem>
      <errorID>7aa26d8e-6d81-4c50-b94d-807a5d4de4ad</errorID>
      <errorWord>）</errorWord>
      <group>L1_Format</group>
      <groupName>格式问题</groupName>
      <ability>L2_HalfPunc_CN</ability>
      <abilityName>全半角问题</abilityName>
      <candidateList>
        <item>)</item>
      </candidateList>
      <explain>文本全半角错误。</explain>
      <paraID>6A0F88A4</paraID>
      <start>15</start>
      <end>16</end>
      <status>unmodified</status>
      <modifiedWord/>
      <trackRevisions>false</trackRevisions>
    </reviewItem>
    <reviewItem>
      <errorID>661ef950-94c8-4148-95a3-29f83402515d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7CF04B06</paraID>
      <start>48</start>
      <end>49</end>
      <status>unmodified</status>
      <modifiedWord/>
      <trackRevisions>false</trackRevisions>
    </reviewItem>
    <reviewItem>
      <errorID>58479a49-23e9-4ee9-92c7-a3e39862f99b</errorID>
      <errorWord>-</errorWord>
      <group>L1_Format</group>
      <groupName>格式问题</groupName>
      <ability>L2_HalfPunc_CN</ability>
      <abilityName>全半角问题</abilityName>
      <candidateList>
        <item>－</item>
      </candidateList>
      <explain>文本全半角错误。</explain>
      <paraID>7C55DF43</paraID>
      <start>28</start>
      <end>29</end>
      <status>unmodified</status>
      <modifiedWord/>
      <trackRevisions>false</trackRevisions>
    </reviewItem>
    <reviewItem>
      <errorID>f953760a-5b94-4589-b0d8-cafc32d547ba</errorID>
      <errorWord>（</errorWord>
      <group>L1_Format</group>
      <groupName>格式问题</groupName>
      <ability>L2_HalfPunc_CN</ability>
      <abilityName>全半角问题</abilityName>
      <candidateList>
        <item>(</item>
      </candidateList>
      <explain>文本全半角错误。</explain>
      <paraID> 563169D</paraID>
      <start>16</start>
      <end>17</end>
      <status>unmodified</status>
      <modifiedWord/>
      <trackRevisions>false</trackRevisions>
    </reviewItem>
    <reviewItem>
      <errorID>1432a5f5-174a-4984-91d2-cce48ab50956</errorID>
      <errorWord>）</errorWord>
      <group>L1_Format</group>
      <groupName>格式问题</groupName>
      <ability>L2_HalfPunc_CN</ability>
      <abilityName>全半角问题</abilityName>
      <candidateList>
        <item>)</item>
      </candidateList>
      <explain>文本全半角错误。</explain>
      <paraID> 563169D</paraID>
      <start>20</start>
      <end>21</end>
      <status>unmodified</status>
      <modifiedWord/>
      <trackRevisions>false</trackRevisions>
    </reviewItem>
    <reviewItem>
      <errorID>0588d4ff-dd8d-4994-928b-162b49d49ec4</errorID>
      <errorWord>程</errorWord>
      <group>L1_Word</group>
      <groupName>字词问题</groupName>
      <ability>L2_Typo</ability>
      <abilityName>字词错误</abilityName>
      <candidateList>
        <item>程中</item>
      </candidateList>
      <explain/>
      <paraID>2AB86858</paraID>
      <start>40</start>
      <end>41</end>
      <status>unmodified</status>
      <modifiedWord/>
      <trackRevisions>false</trackRevisions>
    </reviewItem>
    <reviewItem>
      <errorID>385072eb-3978-434b-9d01-7fc9b9d1b67b</errorID>
      <errorWord>的</errorWord>
      <group>L1_Word</group>
      <groupName>字词问题</groupName>
      <ability>L2_DDD</ability>
      <abilityName>的地得用法</abilityName>
      <candidateList>
        <item>地</item>
      </candidateList>
      <explain/>
      <paraID>7767660B</paraID>
      <start>23</start>
      <end>24</end>
      <status>unmodified</status>
      <modifiedWord/>
      <trackRevisions>false</trackRevisions>
    </reviewItem>
    <reviewItem>
      <errorID>6e1151c7-2118-4798-91e2-80b2c6ce5dc3</errorID>
      <errorWord>投入至</errorWord>
      <group>L1_Word</group>
      <groupName>字词问题</groupName>
      <ability>L2_Typo</ability>
      <abilityName>字词错误</abilityName>
      <candidateList>
        <item>投入</item>
      </candidateList>
      <explain/>
      <paraID>132D8E32</paraID>
      <start>11</start>
      <end>14</end>
      <status>unmodified</status>
      <modifiedWord/>
      <trackRevisions>false</trackRevisions>
    </reviewItem>
    <reviewItem>
      <errorID>744fe7fb-63f3-4257-9971-3bc3f30c4bbe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71E5CD98</paraID>
      <start>0</start>
      <end>2</end>
      <status>unmodified</status>
      <modifiedWord/>
      <trackRevisions>false</trackRevisions>
    </reviewItem>
    <reviewItem>
      <errorID>a87cea84-6741-4a74-b792-1877071b6842</errorID>
      <errorWord>至上</errorWord>
      <group>L1_Word</group>
      <groupName>字词问题</groupName>
      <ability>L2_Typo</ability>
      <abilityName>字词错误</abilityName>
      <candidateList>
        <item>上</item>
      </candidateList>
      <explain/>
      <paraID>413AB482</paraID>
      <start>20</start>
      <end>22</end>
      <status>unmodified</status>
      <modifiedWord/>
      <trackRevisions>false</trackRevisions>
    </reviewItem>
    <reviewItem>
      <errorID>ae2aaa41-c908-4684-ae0c-d21554777fb7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1CDA8DAD</paraID>
      <start>63</start>
      <end>64</end>
      <status>unmodified</status>
      <modifiedWord/>
      <trackRevisions>false</trackRevisions>
    </reviewItem>
    <reviewItem>
      <errorID>8220ee15-527d-4237-861d-cbd40f0474ca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6C8CA90A</paraID>
      <start>59</start>
      <end>60</end>
      <status>unmodified</status>
      <modifiedWord/>
      <trackRevisions>false</trackRevisions>
    </reviewItem>
    <reviewItem>
      <errorID>d7e7f39d-ce7c-4933-9fc7-446fae01c3a3</errorID>
      <errorWord>(</errorWord>
      <group>L1_Format</group>
      <groupName>格式问题</groupName>
      <ability>L2_HalfPunc_CN</ability>
      <abilityName>全半角问题</abilityName>
      <candidateList>
        <item>（</item>
      </candidateList>
      <explain>文本全半角错误。</explain>
      <paraID>43EDA46E</paraID>
      <start>42</start>
      <end>43</end>
      <status>unmodified</status>
      <modifiedWord/>
      <trackRevisions>false</trackRevisions>
    </reviewItem>
    <reviewItem>
      <errorID>297f36f9-1868-4a96-a709-c9bb883b5424</errorID>
      <errorWord>)</errorWord>
      <group>L1_Format</group>
      <groupName>格式问题</groupName>
      <ability>L2_HalfPunc_CN</ability>
      <abilityName>全半角问题</abilityName>
      <candidateList>
        <item>）</item>
      </candidateList>
      <explain>文本全半角错误。</explain>
      <paraID>43EDA46E</paraID>
      <start>55</start>
      <end>56</end>
      <status>unmodified</status>
      <modifiedWord/>
      <trackRevisions>false</trackRevisions>
    </reviewItem>
    <reviewItem>
      <errorID>acb5edc2-7ff4-4459-b082-a187cfbbcf8c</errorID>
      <errorWord>：</errorWord>
      <group>L1_Format</group>
      <groupName>格式问题</groupName>
      <ability>L2_HalfPunc_CN</ability>
      <abilityName>全半角问题</abilityName>
      <candidateList>
        <item>:</item>
      </candidateList>
      <explain>文本全半角错误。</explain>
      <paraID>529E2487</paraID>
      <start>1</start>
      <end>2</end>
      <status>unmodified</status>
      <modifiedWord/>
      <trackRevisions>false</trackRevisions>
    </reviewItem>
    <reviewItem>
      <errorID>3f845719-96e4-4ee2-bb1b-c2d4a1290f0a</errorID>
      <errorWord>：</errorWord>
      <group>L1_Format</group>
      <groupName>格式问题</groupName>
      <ability>L2_HalfPunc_CN</ability>
      <abilityName>全半角问题</abilityName>
      <candidateList>
        <item>:</item>
      </candidateList>
      <explain>文本全半角错误。</explain>
      <paraID>17EC3459</paraID>
      <start>1</start>
      <end>2</end>
      <status>unmodified</status>
      <modifiedWord/>
      <trackRevisions>false</trackRevisions>
    </reviewItem>
    <reviewItem>
      <errorID>0f3bc531-7381-41ae-9d2a-f23f1f6e0025</errorID>
      <errorWord>：</errorWord>
      <group>L1_Format</group>
      <groupName>格式问题</groupName>
      <ability>L2_HalfPunc_CN</ability>
      <abilityName>全半角问题</abilityName>
      <candidateList>
        <item>:</item>
      </candidateList>
      <explain>文本全半角错误。</explain>
      <paraID>602681A0</paraID>
      <start>1</start>
      <end>2</end>
      <status>unmodified</status>
      <modifiedWord/>
      <trackRevisions>false</trackRevisions>
    </reviewItem>
    <reviewItem>
      <errorID>2ad69a8c-60b0-4ca6-8f78-75b702d59049</errorID>
      <errorWord>：</errorWord>
      <group>L1_Format</group>
      <groupName>格式问题</groupName>
      <ability>L2_HalfPunc_CN</ability>
      <abilityName>全半角问题</abilityName>
      <candidateList>
        <item>:</item>
      </candidateList>
      <explain>文本全半角错误。</explain>
      <paraID>4047AFC4</paraID>
      <start>1</start>
      <end>2</end>
      <status>unmodified</status>
      <modifiedWord/>
      <trackRevisions>false</trackRevisions>
    </reviewItem>
    <reviewItem>
      <errorID>25dc614e-ef57-4fa9-a022-1b2920bac8a4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45A2FDE5</paraID>
      <start>37</start>
      <end>38</end>
      <status>unmodified</status>
      <modifiedWord/>
      <trackRevisions>false</trackRevisions>
    </reviewItem>
    <reviewItem>
      <errorID>6814fc5f-68e4-4edc-ae7a-06bc1516bf1f</errorID>
      <errorWord>"</errorWord>
      <group>L1_Format</group>
      <groupName>格式问题</groupName>
      <ability>L2_HalfPunc_CN</ability>
      <abilityName>全半角问题</abilityName>
      <candidateList>
        <item>”</item>
      </candidateList>
      <explain>文本全半角错误。</explain>
      <paraID>45A2FDE5</paraID>
      <start>51</start>
      <end>52</end>
      <status>unmodified</status>
      <modifiedWord/>
      <trackRevisions>false</trackRevisions>
    </reviewItem>
    <reviewItem>
      <errorID>c3eca7f8-05d7-4f79-9632-cd702def3314</errorID>
      <errorWord>接受</errorWord>
      <group>L1_Word</group>
      <groupName>字词问题</groupName>
      <ability>L2_Typo</ability>
      <abilityName>字词错误</abilityName>
      <candidateList>
        <item>接收</item>
      </candidateList>
      <explain>存在发音相同字词的误用。</explain>
      <paraID>7F8C9D4A</paraID>
      <start>62</start>
      <end>64</end>
      <status>unmodified</status>
      <modifiedWord/>
      <trackRevisions>false</trackRevisions>
    </reviewItem>
    <reviewItem>
      <errorID>bba27a5b-812e-4c1c-b1e6-7a33d8365753</errorID>
      <errorWord>(</errorWord>
      <group>L1_Format</group>
      <groupName>格式问题</groupName>
      <ability>L2_HalfPunc_CN</ability>
      <abilityName>全半角问题</abilityName>
      <candidateList>
        <item>（</item>
      </candidateList>
      <explain>文本全半角错误。</explain>
      <paraID>66AA18C4</paraID>
      <start>25</start>
      <end>26</end>
      <status>unmodified</status>
      <modifiedWord/>
      <trackRevisions>false</trackRevisions>
    </reviewItem>
    <reviewItem>
      <errorID>0162cec6-315b-46a1-b519-dc2e93e02072</errorID>
      <errorWord>)</errorWord>
      <group>L1_Format</group>
      <groupName>格式问题</groupName>
      <ability>L2_HalfPunc_CN</ability>
      <abilityName>全半角问题</abilityName>
      <candidateList>
        <item>）</item>
      </candidateList>
      <explain>文本全半角错误。</explain>
      <paraID>66AA18C4</paraID>
      <start>38</start>
      <end>39</end>
      <status>unmodified</status>
      <modifiedWord/>
      <trackRevisions>false</trackRevisions>
    </reviewItem>
    <reviewItem>
      <errorID>47130f16-2685-44f8-8769-61f1e47cc7c9</errorID>
      <errorWord>(</errorWord>
      <group>L1_Format</group>
      <groupName>格式问题</groupName>
      <ability>L2_HalfPunc_CN</ability>
      <abilityName>全半角问题</abilityName>
      <candidateList>
        <item>（</item>
      </candidateList>
      <explain>文本全半角错误。</explain>
      <paraID>3802F37F</paraID>
      <start>81</start>
      <end>82</end>
      <status>unmodified</status>
      <modifiedWord/>
      <trackRevisions>false</trackRevisions>
    </reviewItem>
    <reviewItem>
      <errorID>62291c8e-0f8b-4e8b-828f-e7b5886c11f3</errorID>
      <errorWord>计</errorWord>
      <group>L1_Word</group>
      <groupName>字词问题</groupName>
      <ability>L2_Typo</ability>
      <abilityName>字词错误</abilityName>
      <candidateList>
        <item>计算</item>
      </candidateList>
      <explain/>
      <paraID>537BDF12</paraID>
      <start>92</start>
      <end>93</end>
      <status>unmodified</status>
      <modifiedWord/>
      <trackRevisions>false</trackRevisions>
    </reviewItem>
    <reviewItem>
      <errorID>0092589e-652a-4159-ae0d-d7f5ed2346cf</errorID>
      <errorWord>-</errorWord>
      <group>L1_Format</group>
      <groupName>格式问题</groupName>
      <ability>L2_HalfPunc_CN</ability>
      <abilityName>全半角问题</abilityName>
      <candidateList>
        <item>－</item>
      </candidateList>
      <explain>文本全半角错误。</explain>
      <paraID>69763645</paraID>
      <start>6</start>
      <end>7</end>
      <status>unmodified</status>
      <modifiedWord/>
      <trackRevisions>false</trackRevisions>
    </reviewItem>
    <reviewItem>
      <errorID>0ac3c9fd-24c1-4f40-8f31-4e01c937b15e</errorID>
      <errorWord>-</errorWord>
      <group>L1_Format</group>
      <groupName>格式问题</groupName>
      <ability>L2_HalfPunc_CN</ability>
      <abilityName>全半角问题</abilityName>
      <candidateList>
        <item>－</item>
      </candidateList>
      <explain>文本全半角错误。</explain>
      <paraID>472A29BD</paraID>
      <start>1</start>
      <end>2</end>
      <status>unmodified</status>
      <modifiedWord/>
      <trackRevisions>false</trackRevisions>
    </reviewItem>
    <reviewItem>
      <errorID>fcdab667-ccee-45c9-b967-42a8d166c2f8</errorID>
      <errorWord>-</errorWord>
      <group>L1_Format</group>
      <groupName>格式问题</groupName>
      <ability>L2_HalfPunc_CN</ability>
      <abilityName>全半角问题</abilityName>
      <candidateList>
        <item>－</item>
      </candidateList>
      <explain>文本全半角错误。</explain>
      <paraID>37901133</paraID>
      <start>1</start>
      <end>2</end>
      <status>unmodified</status>
      <modifiedWord/>
      <trackRevisions>false</trackRevisions>
    </reviewItem>
    <reviewItem>
      <errorID>0f40f744-fc8d-457e-82fe-dcc6352b708f</errorID>
      <errorWord>-</errorWord>
      <group>L1_Format</group>
      <groupName>格式问题</groupName>
      <ability>L2_HalfPunc_CN</ability>
      <abilityName>全半角问题</abilityName>
      <candidateList>
        <item>－</item>
      </candidateList>
      <explain>文本全半角错误。</explain>
      <paraID>2CF0ADB1</paraID>
      <start>1</start>
      <end>2</end>
      <status>unmodified</status>
      <modifiedWord/>
      <trackRevisions>false</trackRevisions>
    </reviewItem>
    <reviewItem>
      <errorID>884dc6e8-cf93-4935-b232-179026305f17</errorID>
      <errorWord>-</errorWord>
      <group>L1_Format</group>
      <groupName>格式问题</groupName>
      <ability>L2_HalfPunc_CN</ability>
      <abilityName>全半角问题</abilityName>
      <candidateList>
        <item>－</item>
      </candidateList>
      <explain>文本全半角错误。</explain>
      <paraID>4979BAB9</paraID>
      <start>10</start>
      <end>11</end>
      <status>unmodified</status>
      <modifiedWord/>
      <trackRevisions>false</trackRevisions>
    </reviewItem>
    <reviewItem>
      <errorID>d413530a-707f-438f-8d3f-7c7618c3b544</errorID>
      <errorWord>-</errorWord>
      <group>L1_Format</group>
      <groupName>格式问题</groupName>
      <ability>L2_HalfPunc_CN</ability>
      <abilityName>全半角问题</abilityName>
      <candidateList>
        <item>－</item>
      </candidateList>
      <explain>文本全半角错误。</explain>
      <paraID>5249BD20</paraID>
      <start>1</start>
      <end>2</end>
      <status>unmodified</status>
      <modifiedWord/>
      <trackRevisions>false</trackRevisions>
    </reviewItem>
    <reviewItem>
      <errorID>0e4317f7-8e71-431b-82ea-1b6fffd82ccd</errorID>
      <errorWord>与</errorWord>
      <group>L1_Word</group>
      <groupName>字词问题</groupName>
      <ability>L2_Typo</ability>
      <abilityName>字词错误</abilityName>
      <candidateList>
        <item>于</item>
      </candidateList>
      <explain/>
      <paraID>36D22A95</paraID>
      <start>65</start>
      <end>66</end>
      <status>unmodified</status>
      <modifiedWord/>
      <trackRevisions>false</trackRevisions>
    </reviewItem>
    <reviewItem>
      <errorID>a80c8f61-d6f3-4466-94a6-0d1d5887a08e</errorID>
      <errorWord>-</errorWord>
      <group>L1_Format</group>
      <groupName>格式问题</groupName>
      <ability>L2_HalfPunc_CN</ability>
      <abilityName>全半角问题</abilityName>
      <candidateList>
        <item>－</item>
      </candidateList>
      <explain>文本全半角错误。</explain>
      <paraID>116F9CC5</paraID>
      <start>7</start>
      <end>8</end>
      <status>unmodified</status>
      <modifiedWord/>
      <trackRevisions>false</trackRevisions>
    </reviewItem>
    <reviewItem>
      <errorID>fbb756fc-727d-4567-bc84-091f3ad565cc</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116F9CC5</paraID>
      <start>109</start>
      <end>115</end>
      <status>unmodified</status>
      <modifiedWord/>
      <trackRevisions>false</trackRevisions>
    </reviewItem>
    <reviewItem>
      <errorID>4cffa4ff-1a6d-44fe-bc75-af96d74f45e3</errorID>
      <errorWord>主要以脱硫反应生成的亚硫酸钙和硫酸钙为主</errorWord>
      <group>L1_Grammar</group>
      <groupName>语法问题</groupName>
      <ability>L2_Grammar</ability>
      <abilityName>语法错误</abilityName>
      <candidateList>
        <item>以脱硫反应生成的亚硫酸钙和硫酸钙为主</item>
      </candidateList>
      <explain>该表达中的“主要以脱硫反应生成的亚硫酸钙和硫酸钙为主”存在语义重复。</explain>
      <paraID> 1DDDAEE</paraID>
      <start>45</start>
      <end>65</end>
      <status>unmodified</status>
      <modifiedWord/>
      <trackRevisions>false</trackRevisions>
    </reviewItem>
    <reviewItem>
      <errorID>dbacd90d-e446-4a63-acf9-7ea5f3c2ee0c</errorID>
      <errorWord>（</errorWord>
      <group>L1_Format</group>
      <groupName>格式问题</groupName>
      <ability>L2_HalfPunc_CN</ability>
      <abilityName>全半角问题</abilityName>
      <candidateList>
        <item>(</item>
      </candidateList>
      <explain>文本全半角错误。</explain>
      <paraID>31053FE4</paraID>
      <start>0</start>
      <end>1</end>
      <status>unmodified</status>
      <modifiedWord/>
      <trackRevisions>false</trackRevisions>
    </reviewItem>
    <reviewItem>
      <errorID>a6310ebe-9bfc-403e-a579-6ff075aa1fcb</errorID>
      <errorWord>）</errorWord>
      <group>L1_Format</group>
      <groupName>格式问题</groupName>
      <ability>L2_HalfPunc_CN</ability>
      <abilityName>全半角问题</abilityName>
      <candidateList>
        <item>)</item>
      </candidateList>
      <explain>文本全半角错误。</explain>
      <paraID>31053FE4</paraID>
      <start>4</start>
      <end>5</end>
      <status>unmodified</status>
      <modifiedWord/>
      <trackRevisions>false</trackRevisions>
    </reviewItem>
    <reviewItem>
      <errorID>8fea57fa-bf9b-4cbd-becd-d21e56f24e94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7F96DFFF</paraID>
      <start>0</start>
      <end>2</end>
      <status>unmodified</status>
      <modifiedWord/>
      <trackRevisions>false</trackRevisions>
    </reviewItem>
    <reviewItem>
      <errorID>1a7e154b-0db5-46af-b52a-4343036c29ef</errorID>
      <errorWord>接受</errorWord>
      <group>L1_Word</group>
      <groupName>字词问题</groupName>
      <ability>L2_Typo</ability>
      <abilityName>字词错误</abilityName>
      <candidateList>
        <item>接收</item>
      </candidateList>
      <explain>存在发音相同字词的误用。</explain>
      <paraID>40395153</paraID>
      <start>153</start>
      <end>155</end>
      <status>unmodified</status>
      <modifiedWord/>
      <trackRevisions>false</trackRevisions>
    </reviewItem>
    <reviewItem>
      <errorID>0cadd875-3c75-4443-a5da-9392e6374204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6BC13E50</paraID>
      <start>0</start>
      <end>2</end>
      <status>unmodified</status>
      <modifiedWord/>
      <trackRevisions>false</trackRevisions>
    </reviewItem>
    <reviewItem>
      <errorID>adda9d78-e2a1-4897-8925-a9f874131baa</errorID>
      <errorWord>；</errorWord>
      <group>L1_Word</group>
      <groupName>字词问题</groupName>
      <ability>L2_Typo</ability>
      <abilityName>字词错误</abilityName>
      <candidateList>
        <item>；在</item>
      </candidateList>
      <explain/>
      <paraID>2E9D8BDF</paraID>
      <start>34</start>
      <end>35</end>
      <status>unmodified</status>
      <modifiedWord/>
      <trackRevisions>false</trackRevisions>
    </reviewItem>
    <reviewItem>
      <errorID>9210bc5d-f6f5-419e-905f-41f11c7a242d</errorID>
      <errorWord>文化自然遗产</errorWord>
      <group>L1_Knowledge</group>
      <groupName>知识性问题</groupName>
      <ability>L2_Knowledge</ability>
      <abilityName>其他知识</abilityName>
      <candidateList>
        <item>文化和自然遗产</item>
      </candidateList>
      <explain/>
      <paraID>7CF71A03</paraID>
      <start>110</start>
      <end>116</end>
      <status>unmodified</status>
      <modifiedWord/>
      <trackRevisions>false</trackRevisions>
    </reviewItem>
    <reviewItem>
      <errorID>9b9da6d1-6350-473c-a247-6cb4654e4269</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7CF71A03</paraID>
      <start>141</start>
      <end>145</end>
      <status>unmodified</status>
      <modifiedWord/>
      <trackRevisions>false</trackRevisions>
    </reviewItem>
    <reviewItem>
      <errorID>a90a999b-8cf7-4687-8968-a10ab80fe71a</errorID>
      <errorWord>途经</errorWord>
      <group>L1_Word</group>
      <groupName>字词问题</groupName>
      <ability>L2_Typo</ability>
      <abilityName>字词错误</abilityName>
      <candidateList>
        <item>途径</item>
      </candidateList>
      <explain/>
      <paraID>71F11B40</paraID>
      <start>4</start>
      <end>6</end>
      <status>unmodified</status>
      <modifiedWord/>
      <trackRevisions>false</trackRevisions>
    </reviewItem>
    <reviewItem>
      <errorID>60e4e48d-ad2d-4b97-b8ac-65f506154855</errorID>
      <errorWord>，</errorWord>
      <group>L1_Word</group>
      <groupName>字词问题</groupName>
      <ability>L2_Typo</ability>
      <abilityName>字词错误</abilityName>
      <candidateList>
        <item>，一</item>
      </candidateList>
      <explain/>
      <paraID>6B2C3A61</paraID>
      <start>96</start>
      <end>97</end>
      <status>unmodified</status>
      <modifiedWord/>
      <trackRevisions>false</trackRevisions>
    </reviewItem>
    <reviewItem>
      <errorID>949c97a2-35b7-4bc9-a307-cada15c6b8e6</errorID>
      <errorWord>物</errorWord>
      <group>L1_Word</group>
      <groupName>字词问题</groupName>
      <ability>L2_Typo</ability>
      <abilityName>字词错误</abilityName>
      <candidateList>
        <item>物品</item>
      </candidateList>
      <explain/>
      <paraID>6B2C3A61</paraID>
      <start>258</start>
      <end>259</end>
      <status>unmodified</status>
      <modifiedWord/>
      <trackRevisions>false</trackRevisions>
    </reviewItem>
    <reviewItem>
      <errorID>792eb4c5-8465-46e3-98ab-20fd0d590efe</errorID>
      <errorWord>须</errorWord>
      <group>L1_Word</group>
      <groupName>字词问题</groupName>
      <ability>L2_Typo</ability>
      <abilityName>字词错误</abilityName>
      <candidateList>
        <item>需</item>
      </candidateList>
      <explain>存在发音相同字词的误用。</explain>
      <paraID>187E3F1C</paraID>
      <start>244</start>
      <end>245</end>
      <status>unmodified</status>
      <modifiedWord/>
      <trackRevisions>false</trackRevisions>
    </reviewItem>
    <reviewItem>
      <errorID>d39a062e-7b7e-4d6f-a564-b2ab4a46ff9e</errorID>
      <errorWord>[2015]4号</errorWord>
      <group>L1_Knowledge</group>
      <groupName>知识性问题</groupName>
      <ability>L2_Knowledge</ability>
      <abilityName>其他知识</abilityName>
      <candidateList>
        <item>〔2015〕4号</item>
      </candidateList>
      <explain>发文字号格式错误。</explain>
      <paraID>272CEB83</paraID>
      <start>9</start>
      <end>17</end>
      <status>unmodified</status>
      <modifiedWord/>
      <trackRevisions>false</trackRevisions>
    </reviewItem>
    <reviewItem>
      <errorID>3b10be43-202a-4d97-9024-5f057c8f4829</errorID>
      <errorWord>型式</errorWord>
      <group>L1_Word</group>
      <groupName>字词问题</groupName>
      <ability>L2_Typo</ability>
      <abilityName>字词错误</abilityName>
      <candidateList>
        <item>形式</item>
      </candidateList>
      <explain/>
      <paraID>38C6F76D</paraID>
      <start>37</start>
      <end>39</end>
      <status>unmodified</status>
      <modifiedWord/>
      <trackRevisions>false</trackRevisions>
    </reviewItem>
    <reviewItem>
      <errorID>21ac150b-9d22-4b16-b124-5e2018f38974</errorID>
      <errorWord>型式</errorWord>
      <group>L1_Word</group>
      <groupName>字词问题</groupName>
      <ability>L2_Typo</ability>
      <abilityName>字词错误</abilityName>
      <candidateList>
        <item>形式</item>
      </candidateList>
      <explain/>
      <paraID>3AD20304</paraID>
      <start>51</start>
      <end>53</end>
      <status>unmodified</status>
      <modifiedWord/>
      <trackRevisions>false</trackRevisions>
    </reviewItem>
    <reviewItem>
      <errorID>cba17234-4a50-46ef-84d6-7f16b5413b47</errorID>
      <errorWord>(</errorWord>
      <group>L1_Format</group>
      <groupName>格式问题</groupName>
      <ability>L2_HalfPunc_CN</ability>
      <abilityName>全半角问题</abilityName>
      <candidateList>
        <item>（</item>
      </candidateList>
      <explain>文本全半角错误。</explain>
      <paraID>25CA9097</paraID>
      <start>15</start>
      <end>16</end>
      <status>unmodified</status>
      <modifiedWord/>
      <trackRevisions>false</trackRevisions>
    </reviewItem>
    <reviewItem>
      <errorID>f1aa7034-05db-4799-b71a-bfb1cf53af97</errorID>
      <errorWord>)</errorWord>
      <group>L1_Format</group>
      <groupName>格式问题</groupName>
      <ability>L2_HalfPunc_CN</ability>
      <abilityName>全半角问题</abilityName>
      <candidateList>
        <item>）</item>
      </candidateList>
      <explain>文本全半角错误。</explain>
      <paraID>25CA9097</paraID>
      <start>28</start>
      <end>29</end>
      <status>unmodified</status>
      <modifiedWord/>
      <trackRevisions>false</trackRevisions>
    </reviewItem>
    <reviewItem>
      <errorID>48586ecd-2a3e-4a1d-ac4a-b2bff63dc7b1</errorID>
      <errorWord>[2017]84号</errorWord>
      <group>L1_Knowledge</group>
      <groupName>知识性问题</groupName>
      <ability>L2_Knowledge</ability>
      <abilityName>其他知识</abilityName>
      <candidateList>
        <item>〔2017〕84号</item>
      </candidateList>
      <explain>发文字号格式错误。</explain>
      <paraID>2FC7BA7F</paraID>
      <start>35</start>
      <end>44</end>
      <status>unmodified</status>
      <modifiedWord/>
      <trackRevisions>false</trackRevisions>
    </reviewItem>
    <reviewItem>
      <errorID>8ea2a1dd-95dd-4194-b9b1-082004e329fd</errorID>
      <errorWord>[2017]4号</errorWord>
      <group>L1_Knowledge</group>
      <groupName>知识性问题</groupName>
      <ability>L2_Knowledge</ability>
      <abilityName>其他知识</abilityName>
      <candidateList>
        <item>〔2017〕4号</item>
      </candidateList>
      <explain>发文字号格式错误。</explain>
      <paraID>426071B0</paraID>
      <start>23</start>
      <end>31</end>
      <status>unmodified</status>
      <modifiedWord/>
      <trackRevisions>false</trackRevisions>
    </reviewItem>
    <reviewItem>
      <errorID>d2b184d2-3f31-469f-810d-de11242b14de</errorID>
      <errorWord>型式</errorWord>
      <group>L1_Word</group>
      <groupName>字词问题</groupName>
      <ability>L2_Typo</ability>
      <abilityName>字词错误</abilityName>
      <candidateList>
        <item>形式</item>
      </candidateList>
      <explain/>
      <paraID>102CCDA5</paraID>
      <start>37</start>
      <end>39</end>
      <status>unmodified</status>
      <modifiedWord/>
      <trackRevisions>false</trackRevisions>
    </reviewItem>
    <reviewItem>
      <errorID>bce2d4bb-fe3f-4d65-ae32-d4e4d4967f70</errorID>
      <errorWord>型式</errorWord>
      <group>L1_Word</group>
      <groupName>字词问题</groupName>
      <ability>L2_Typo</ability>
      <abilityName>字词错误</abilityName>
      <candidateList>
        <item>形式</item>
      </candidateList>
      <explain/>
      <paraID>1CB2B752</paraID>
      <start>51</start>
      <end>53</end>
      <status>unmodified</status>
      <modifiedWord/>
      <trackRevisions>false</trackRevisions>
    </reviewItem>
    <reviewItem>
      <errorID>8f11f1de-b02e-4c8c-949a-cb4887e05fa0</errorID>
      <errorWord>(</errorWord>
      <group>L1_Format</group>
      <groupName>格式问题</groupName>
      <ability>L2_HalfPunc_CN</ability>
      <abilityName>全半角问题</abilityName>
      <candidateList>
        <item>（</item>
      </candidateList>
      <explain>文本全半角错误。</explain>
      <paraID> F2F9172</paraID>
      <start>15</start>
      <end>16</end>
      <status>unmodified</status>
      <modifiedWord/>
      <trackRevisions>false</trackRevisions>
    </reviewItem>
    <reviewItem>
      <errorID>da5483af-8526-4170-97b2-25b2d984c449</errorID>
      <errorWord>)</errorWord>
      <group>L1_Format</group>
      <groupName>格式问题</groupName>
      <ability>L2_HalfPunc_CN</ability>
      <abilityName>全半角问题</abilityName>
      <candidateList>
        <item>）</item>
      </candidateList>
      <explain>文本全半角错误。</explain>
      <paraID> F2F9172</paraID>
      <start>28</start>
      <end>29</end>
      <status>unmodified</status>
      <modifiedWord/>
      <trackRevisions>false</trackRevisions>
    </reviewItem>
    <reviewItem>
      <errorID>3c1bc758-0378-4b84-92f8-63f7cbfede60</errorID>
      <errorWord>生态红线</errorWord>
      <group>L1_Political</group>
      <groupName>政治性问题</groupName>
      <ability>L2_Unpolitical</ability>
      <abilityName>政治敏感错误</abilityName>
      <candidateList>
        <item>生态保护红线</item>
      </candidateList>
      <explain/>
      <paraID>6A442438</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A290A-389A-4182-9D95-D5BA00EB7E72}">
  <ds:schemaRefs/>
</ds:datastoreItem>
</file>

<file path=customXml/itemProps3.xml><?xml version="1.0" encoding="utf-8"?>
<ds:datastoreItem xmlns:ds="http://schemas.openxmlformats.org/officeDocument/2006/customXml" ds:itemID="{4826CEA0-1FBC-4D5B-AE53-E6795F71CFB5}">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16436</Words>
  <Characters>17123</Characters>
  <Lines>646</Lines>
  <Paragraphs>181</Paragraphs>
  <TotalTime>95</TotalTime>
  <ScaleCrop>false</ScaleCrop>
  <LinksUpToDate>false</LinksUpToDate>
  <CharactersWithSpaces>17145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2026-01-30T00:19:00Z</dcterms:created>
  <dc:creator>宇</dc:creator>
  <cp:lastModifiedBy>喜上眉梢</cp:lastModifiedBy>
  <dcterms:modified xsi:type="dcterms:W3CDTF">2026-09-02T08:16:37Z</dcterms:modified>
  <cp:revision>350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eyJoZGlkIjoiOTVhMGY0MThjZjIwOWRlMDMxY2FiNTE1M2U1MThmZGYiLCJ1c2VySWQiOiIzOTU3MjQyNzgifQ==</vt:lpwstr>
  </property>
  <property fmtid="{D5CDD505-2E9C-101B-9397-08002B2CF9AE}" pid="3" name="KSOProductBuildVer">
    <vt:lpwstr>2052-12.1.0.28043</vt:lpwstr>
  </property>
  <property fmtid="{D5CDD505-2E9C-101B-9397-08002B2CF9AE}" pid="4" name="ICV">
    <vt:lpwstr>903F92AC63E045DF9AC243A83231F9B6_13</vt:lpwstr>
  </property>
</Properties>
</file>