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AFE40">
      <w:pPr>
        <w:jc w:val="center"/>
        <w:rPr>
          <w:rFonts w:ascii="宋体" w:hAnsi="宋体" w:eastAsia="宋体" w:cs="宋体"/>
          <w:b/>
          <w:bCs/>
          <w:sz w:val="32"/>
          <w:szCs w:val="32"/>
        </w:rPr>
      </w:pPr>
      <w:bookmarkStart w:id="0" w:name="_GoBack"/>
      <w:bookmarkEnd w:id="0"/>
    </w:p>
    <w:p w14:paraId="7589C94E">
      <w:pPr>
        <w:jc w:val="center"/>
        <w:rPr>
          <w:rFonts w:ascii="宋体" w:hAnsi="宋体" w:eastAsia="宋体" w:cs="宋体"/>
          <w:b/>
          <w:bCs/>
          <w:sz w:val="32"/>
          <w:szCs w:val="32"/>
        </w:rPr>
      </w:pPr>
    </w:p>
    <w:p w14:paraId="7C7E0633">
      <w:pPr>
        <w:jc w:val="center"/>
        <w:rPr>
          <w:rFonts w:ascii="宋体" w:hAnsi="宋体" w:eastAsia="宋体" w:cs="宋体"/>
          <w:b/>
          <w:bCs/>
          <w:sz w:val="24"/>
        </w:rPr>
      </w:pPr>
    </w:p>
    <w:p w14:paraId="35C3F51A">
      <w:pPr>
        <w:jc w:val="center"/>
        <w:rPr>
          <w:rFonts w:ascii="宋体" w:hAnsi="宋体" w:eastAsia="宋体" w:cs="宋体"/>
          <w:b/>
          <w:bCs/>
          <w:sz w:val="24"/>
        </w:rPr>
      </w:pPr>
    </w:p>
    <w:p w14:paraId="4DC8C1B0">
      <w:pPr>
        <w:jc w:val="center"/>
        <w:rPr>
          <w:rFonts w:ascii="宋体" w:hAnsi="宋体" w:eastAsia="宋体" w:cs="宋体"/>
          <w:b/>
          <w:bCs/>
          <w:sz w:val="24"/>
        </w:rPr>
      </w:pPr>
    </w:p>
    <w:p w14:paraId="114E54BB">
      <w:pPr>
        <w:jc w:val="center"/>
        <w:rPr>
          <w:rFonts w:ascii="宋体" w:hAnsi="宋体" w:eastAsia="宋体" w:cs="宋体"/>
          <w:b/>
          <w:bCs/>
          <w:sz w:val="24"/>
        </w:rPr>
      </w:pPr>
    </w:p>
    <w:p w14:paraId="28DCAC5F">
      <w:pPr>
        <w:jc w:val="center"/>
        <w:rPr>
          <w:rFonts w:ascii="宋体" w:hAnsi="宋体" w:eastAsia="宋体" w:cs="宋体"/>
          <w:b/>
          <w:bCs/>
          <w:sz w:val="24"/>
        </w:rPr>
      </w:pPr>
    </w:p>
    <w:p w14:paraId="7A036C92">
      <w:pPr>
        <w:jc w:val="center"/>
        <w:rPr>
          <w:rFonts w:ascii="宋体" w:hAnsi="宋体" w:eastAsia="宋体" w:cs="宋体"/>
          <w:b/>
          <w:bCs/>
          <w:sz w:val="24"/>
        </w:rPr>
      </w:pPr>
    </w:p>
    <w:p w14:paraId="715E6919">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朝阳市古生物化石管理服务中心</w:t>
      </w:r>
    </w:p>
    <w:p w14:paraId="2C101085">
      <w:pPr>
        <w:jc w:val="center"/>
        <w:rPr>
          <w:rFonts w:ascii="宋体" w:hAnsi="宋体" w:eastAsia="宋体" w:cs="宋体"/>
          <w:b/>
          <w:bCs/>
          <w:sz w:val="44"/>
          <w:szCs w:val="44"/>
        </w:rPr>
      </w:pPr>
      <w:r>
        <w:rPr>
          <w:rFonts w:hint="eastAsia" w:ascii="宋体" w:hAnsi="宋体" w:eastAsia="宋体" w:cs="宋体"/>
          <w:b/>
          <w:bCs/>
          <w:sz w:val="44"/>
          <w:szCs w:val="44"/>
          <w:lang w:val="en-US" w:eastAsia="zh-CN"/>
        </w:rPr>
        <w:t>2026</w:t>
      </w:r>
      <w:r>
        <w:rPr>
          <w:rFonts w:ascii="宋体" w:hAnsi="宋体" w:eastAsia="宋体" w:cs="宋体"/>
          <w:b/>
          <w:bCs/>
          <w:sz w:val="44"/>
          <w:szCs w:val="44"/>
        </w:rPr>
        <w:t>年度部门预算</w:t>
      </w:r>
    </w:p>
    <w:p w14:paraId="79D0FDAC">
      <w:pPr>
        <w:jc w:val="center"/>
        <w:rPr>
          <w:rFonts w:ascii="宋体" w:hAnsi="宋体" w:eastAsia="宋体" w:cs="宋体"/>
          <w:sz w:val="32"/>
          <w:szCs w:val="32"/>
        </w:rPr>
      </w:pPr>
    </w:p>
    <w:p w14:paraId="556C2CB6">
      <w:pPr>
        <w:jc w:val="center"/>
        <w:rPr>
          <w:rFonts w:ascii="宋体" w:hAnsi="宋体" w:eastAsia="宋体" w:cs="宋体"/>
          <w:sz w:val="32"/>
          <w:szCs w:val="32"/>
        </w:rPr>
      </w:pPr>
    </w:p>
    <w:p w14:paraId="5EE1541D">
      <w:pPr>
        <w:jc w:val="center"/>
        <w:rPr>
          <w:rFonts w:ascii="宋体" w:hAnsi="宋体" w:eastAsia="宋体" w:cs="宋体"/>
          <w:sz w:val="32"/>
          <w:szCs w:val="32"/>
        </w:rPr>
      </w:pPr>
    </w:p>
    <w:p w14:paraId="3A41C959">
      <w:pPr>
        <w:jc w:val="center"/>
        <w:rPr>
          <w:rFonts w:ascii="宋体" w:hAnsi="宋体" w:eastAsia="宋体" w:cs="宋体"/>
          <w:sz w:val="32"/>
          <w:szCs w:val="32"/>
        </w:rPr>
      </w:pPr>
    </w:p>
    <w:p w14:paraId="28455329">
      <w:pPr>
        <w:jc w:val="center"/>
        <w:rPr>
          <w:rFonts w:ascii="宋体" w:hAnsi="宋体" w:eastAsia="宋体" w:cs="宋体"/>
          <w:sz w:val="32"/>
          <w:szCs w:val="32"/>
        </w:rPr>
      </w:pPr>
    </w:p>
    <w:p w14:paraId="59B08BE1">
      <w:pPr>
        <w:jc w:val="center"/>
        <w:rPr>
          <w:rFonts w:ascii="宋体" w:hAnsi="宋体" w:eastAsia="宋体" w:cs="宋体"/>
          <w:sz w:val="32"/>
          <w:szCs w:val="32"/>
        </w:rPr>
      </w:pPr>
    </w:p>
    <w:p w14:paraId="58FB025E">
      <w:pPr>
        <w:jc w:val="center"/>
        <w:rPr>
          <w:rFonts w:ascii="宋体" w:hAnsi="宋体" w:eastAsia="宋体" w:cs="宋体"/>
          <w:sz w:val="32"/>
          <w:szCs w:val="32"/>
        </w:rPr>
      </w:pPr>
    </w:p>
    <w:p w14:paraId="5565EB68">
      <w:pPr>
        <w:jc w:val="center"/>
        <w:rPr>
          <w:rFonts w:ascii="宋体" w:hAnsi="宋体" w:eastAsia="宋体" w:cs="宋体"/>
          <w:sz w:val="32"/>
          <w:szCs w:val="32"/>
        </w:rPr>
      </w:pPr>
    </w:p>
    <w:p w14:paraId="7B642F49">
      <w:pPr>
        <w:jc w:val="center"/>
        <w:rPr>
          <w:rFonts w:ascii="宋体" w:hAnsi="宋体" w:eastAsia="宋体" w:cs="宋体"/>
          <w:sz w:val="32"/>
          <w:szCs w:val="32"/>
        </w:rPr>
      </w:pPr>
    </w:p>
    <w:p w14:paraId="4BED1FA5">
      <w:pPr>
        <w:jc w:val="center"/>
        <w:rPr>
          <w:rFonts w:ascii="宋体" w:hAnsi="宋体" w:eastAsia="宋体" w:cs="宋体"/>
          <w:sz w:val="32"/>
          <w:szCs w:val="32"/>
        </w:rPr>
      </w:pPr>
    </w:p>
    <w:p w14:paraId="56A31C30">
      <w:pPr>
        <w:jc w:val="both"/>
        <w:rPr>
          <w:rFonts w:ascii="宋体" w:hAnsi="宋体" w:eastAsia="宋体" w:cs="宋体"/>
          <w:sz w:val="32"/>
          <w:szCs w:val="32"/>
        </w:rPr>
      </w:pPr>
    </w:p>
    <w:p w14:paraId="1E08626A">
      <w:pPr>
        <w:jc w:val="center"/>
        <w:rPr>
          <w:rFonts w:hint="eastAsia" w:ascii="黑体" w:hAnsi="黑体" w:eastAsia="黑体" w:cs="黑体"/>
          <w:b/>
          <w:bCs/>
          <w:sz w:val="32"/>
          <w:szCs w:val="32"/>
        </w:rPr>
      </w:pPr>
    </w:p>
    <w:p w14:paraId="32EBA179">
      <w:pPr>
        <w:jc w:val="center"/>
        <w:rPr>
          <w:rFonts w:hint="eastAsia" w:ascii="黑体" w:hAnsi="黑体" w:eastAsia="黑体" w:cs="黑体"/>
          <w:b/>
          <w:bCs/>
          <w:sz w:val="32"/>
          <w:szCs w:val="32"/>
        </w:rPr>
      </w:pPr>
    </w:p>
    <w:p w14:paraId="29ABD838">
      <w:pPr>
        <w:jc w:val="center"/>
        <w:rPr>
          <w:rFonts w:hint="eastAsia" w:ascii="黑体" w:hAnsi="黑体" w:eastAsia="黑体" w:cs="黑体"/>
          <w:b/>
          <w:bCs/>
          <w:sz w:val="32"/>
          <w:szCs w:val="32"/>
        </w:rPr>
      </w:pPr>
    </w:p>
    <w:p w14:paraId="5479DD67">
      <w:pPr>
        <w:jc w:val="center"/>
        <w:rPr>
          <w:rFonts w:hint="eastAsia" w:ascii="黑体" w:hAnsi="黑体" w:eastAsia="黑体" w:cs="黑体"/>
          <w:b/>
          <w:bCs/>
          <w:sz w:val="32"/>
          <w:szCs w:val="32"/>
        </w:rPr>
      </w:pPr>
    </w:p>
    <w:p w14:paraId="7FF05C64">
      <w:pPr>
        <w:jc w:val="center"/>
        <w:rPr>
          <w:rFonts w:hint="eastAsia" w:ascii="黑体" w:hAnsi="黑体" w:eastAsia="黑体" w:cs="黑体"/>
          <w:b/>
          <w:bCs/>
          <w:sz w:val="32"/>
          <w:szCs w:val="32"/>
        </w:rPr>
      </w:pPr>
    </w:p>
    <w:p w14:paraId="324C310C">
      <w:pPr>
        <w:jc w:val="center"/>
        <w:rPr>
          <w:rFonts w:ascii="黑体" w:hAnsi="黑体" w:eastAsia="黑体" w:cs="黑体"/>
          <w:b/>
          <w:bCs/>
          <w:sz w:val="32"/>
          <w:szCs w:val="32"/>
        </w:rPr>
      </w:pPr>
      <w:r>
        <w:rPr>
          <w:rFonts w:hint="eastAsia" w:ascii="黑体" w:hAnsi="黑体" w:eastAsia="黑体" w:cs="黑体"/>
          <w:b/>
          <w:bCs/>
          <w:sz w:val="32"/>
          <w:szCs w:val="32"/>
        </w:rPr>
        <w:t>目    录</w:t>
      </w:r>
    </w:p>
    <w:p w14:paraId="50EFA28F">
      <w:pPr>
        <w:jc w:val="center"/>
        <w:rPr>
          <w:rFonts w:ascii="黑体" w:hAnsi="黑体" w:eastAsia="黑体" w:cs="黑体"/>
          <w:b/>
          <w:bCs/>
          <w:sz w:val="32"/>
          <w:szCs w:val="32"/>
        </w:rPr>
      </w:pPr>
    </w:p>
    <w:p w14:paraId="05B45AFD">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朝阳市古生物化石管理服务中心</w:t>
      </w:r>
      <w:r>
        <w:rPr>
          <w:rFonts w:hint="eastAsia" w:ascii="黑体" w:hAnsi="黑体" w:eastAsia="黑体" w:cs="黑体"/>
          <w:b/>
          <w:bCs/>
          <w:sz w:val="30"/>
          <w:szCs w:val="30"/>
        </w:rPr>
        <w:t xml:space="preserve">概况 </w:t>
      </w:r>
    </w:p>
    <w:p w14:paraId="68908C4A">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14:paraId="2D0CF535">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14:paraId="01B46A30">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部分 朝阳市古生物化石管理服务中心</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 xml:space="preserve">年部门预算情况说明 </w:t>
      </w:r>
    </w:p>
    <w:p w14:paraId="286AD035">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14:paraId="1C4F30C2">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 xml:space="preserve">年朝阳市古生物化石管理服务中心部门预算批复表 </w:t>
      </w:r>
    </w:p>
    <w:p w14:paraId="0B1541C9">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14:paraId="4806654E">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14:paraId="255A8080">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14:paraId="5C4CA13B">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14:paraId="34E6A212">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14:paraId="48BEA099">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14:paraId="195ED388">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14:paraId="5A5CA74A">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14:paraId="35B0256D">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14:paraId="3C09DC35">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14:paraId="3A739198">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14:paraId="6C736451">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14:paraId="4F94E03F">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14:paraId="786AE32A">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14:paraId="135D4452">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14:paraId="0860A929">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14:paraId="1B50C62D">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14:paraId="20B8F191">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14:paraId="338823B5">
      <w:pPr>
        <w:spacing w:line="580" w:lineRule="exact"/>
        <w:ind w:firstLine="480" w:firstLineChars="200"/>
        <w:rPr>
          <w:rFonts w:ascii="仿宋_GB2312" w:hAnsi="仿宋_GB2312" w:eastAsia="仿宋_GB2312" w:cs="仿宋_GB2312"/>
          <w:sz w:val="24"/>
        </w:rPr>
      </w:pPr>
    </w:p>
    <w:p w14:paraId="400A2DE7">
      <w:pPr>
        <w:spacing w:line="580" w:lineRule="exact"/>
        <w:ind w:firstLine="480" w:firstLineChars="200"/>
        <w:rPr>
          <w:rFonts w:ascii="仿宋_GB2312" w:hAnsi="仿宋_GB2312" w:eastAsia="仿宋_GB2312" w:cs="仿宋_GB2312"/>
          <w:sz w:val="24"/>
        </w:rPr>
      </w:pPr>
    </w:p>
    <w:p w14:paraId="5177BCFD">
      <w:pPr>
        <w:spacing w:line="580" w:lineRule="exact"/>
        <w:ind w:firstLine="480" w:firstLineChars="200"/>
        <w:rPr>
          <w:rFonts w:ascii="仿宋_GB2312" w:hAnsi="仿宋_GB2312" w:eastAsia="仿宋_GB2312" w:cs="仿宋_GB2312"/>
          <w:sz w:val="24"/>
        </w:rPr>
      </w:pPr>
    </w:p>
    <w:p w14:paraId="422EE631">
      <w:pPr>
        <w:spacing w:line="580" w:lineRule="exact"/>
        <w:ind w:firstLine="480" w:firstLineChars="200"/>
        <w:rPr>
          <w:rFonts w:ascii="仿宋_GB2312" w:hAnsi="仿宋_GB2312" w:eastAsia="仿宋_GB2312" w:cs="仿宋_GB2312"/>
          <w:sz w:val="24"/>
        </w:rPr>
      </w:pPr>
    </w:p>
    <w:p w14:paraId="6A10B92F">
      <w:pPr>
        <w:spacing w:line="580" w:lineRule="exact"/>
        <w:ind w:firstLine="480" w:firstLineChars="200"/>
        <w:rPr>
          <w:rFonts w:ascii="仿宋_GB2312" w:hAnsi="仿宋_GB2312" w:eastAsia="仿宋_GB2312" w:cs="仿宋_GB2312"/>
          <w:sz w:val="24"/>
        </w:rPr>
      </w:pPr>
    </w:p>
    <w:p w14:paraId="740D5876">
      <w:pPr>
        <w:spacing w:line="580" w:lineRule="exact"/>
        <w:ind w:firstLine="480" w:firstLineChars="200"/>
        <w:rPr>
          <w:rFonts w:ascii="仿宋_GB2312" w:hAnsi="仿宋_GB2312" w:eastAsia="仿宋_GB2312" w:cs="仿宋_GB2312"/>
          <w:sz w:val="24"/>
        </w:rPr>
      </w:pPr>
    </w:p>
    <w:p w14:paraId="65BAB79F">
      <w:pPr>
        <w:spacing w:line="580" w:lineRule="exact"/>
        <w:ind w:firstLine="480" w:firstLineChars="200"/>
        <w:rPr>
          <w:rFonts w:ascii="仿宋_GB2312" w:hAnsi="仿宋_GB2312" w:eastAsia="仿宋_GB2312" w:cs="仿宋_GB2312"/>
          <w:sz w:val="24"/>
        </w:rPr>
      </w:pPr>
    </w:p>
    <w:p w14:paraId="1292B684">
      <w:pPr>
        <w:spacing w:line="580" w:lineRule="exact"/>
        <w:ind w:firstLine="480" w:firstLineChars="200"/>
        <w:rPr>
          <w:rFonts w:ascii="仿宋_GB2312" w:hAnsi="仿宋_GB2312" w:eastAsia="仿宋_GB2312" w:cs="仿宋_GB2312"/>
          <w:sz w:val="24"/>
        </w:rPr>
      </w:pPr>
    </w:p>
    <w:p w14:paraId="26723D82">
      <w:pPr>
        <w:spacing w:line="580" w:lineRule="exact"/>
        <w:ind w:firstLine="480" w:firstLineChars="200"/>
        <w:rPr>
          <w:rFonts w:ascii="仿宋_GB2312" w:hAnsi="仿宋_GB2312" w:eastAsia="仿宋_GB2312" w:cs="仿宋_GB2312"/>
          <w:sz w:val="24"/>
        </w:rPr>
      </w:pPr>
    </w:p>
    <w:p w14:paraId="1949B52D">
      <w:pPr>
        <w:spacing w:line="580" w:lineRule="exact"/>
        <w:ind w:firstLine="480" w:firstLineChars="200"/>
        <w:rPr>
          <w:rFonts w:ascii="仿宋_GB2312" w:hAnsi="仿宋_GB2312" w:eastAsia="仿宋_GB2312" w:cs="仿宋_GB2312"/>
          <w:sz w:val="24"/>
        </w:rPr>
      </w:pPr>
    </w:p>
    <w:p w14:paraId="30D0DA77">
      <w:pPr>
        <w:spacing w:line="580" w:lineRule="exact"/>
        <w:ind w:firstLine="480" w:firstLineChars="200"/>
        <w:rPr>
          <w:rFonts w:ascii="仿宋_GB2312" w:hAnsi="仿宋_GB2312" w:eastAsia="仿宋_GB2312" w:cs="仿宋_GB2312"/>
          <w:sz w:val="24"/>
        </w:rPr>
      </w:pPr>
    </w:p>
    <w:p w14:paraId="6380A8F7">
      <w:pPr>
        <w:spacing w:line="580" w:lineRule="exact"/>
        <w:ind w:firstLine="480" w:firstLineChars="200"/>
        <w:rPr>
          <w:rFonts w:ascii="仿宋_GB2312" w:hAnsi="仿宋_GB2312" w:eastAsia="仿宋_GB2312" w:cs="仿宋_GB2312"/>
          <w:sz w:val="24"/>
        </w:rPr>
      </w:pPr>
    </w:p>
    <w:p w14:paraId="40E05D9A">
      <w:pPr>
        <w:spacing w:line="580" w:lineRule="exact"/>
        <w:ind w:firstLine="480" w:firstLineChars="200"/>
        <w:rPr>
          <w:rFonts w:ascii="仿宋_GB2312" w:hAnsi="仿宋_GB2312" w:eastAsia="仿宋_GB2312" w:cs="仿宋_GB2312"/>
          <w:sz w:val="24"/>
        </w:rPr>
      </w:pPr>
    </w:p>
    <w:p w14:paraId="0388C65B">
      <w:pPr>
        <w:spacing w:line="580" w:lineRule="exact"/>
        <w:ind w:firstLine="480" w:firstLineChars="200"/>
        <w:rPr>
          <w:rFonts w:ascii="仿宋_GB2312" w:hAnsi="仿宋_GB2312" w:eastAsia="仿宋_GB2312" w:cs="仿宋_GB2312"/>
          <w:sz w:val="24"/>
        </w:rPr>
      </w:pPr>
    </w:p>
    <w:p w14:paraId="570DAB99">
      <w:pPr>
        <w:spacing w:line="580" w:lineRule="exact"/>
        <w:ind w:firstLine="480" w:firstLineChars="200"/>
        <w:rPr>
          <w:rFonts w:ascii="仿宋_GB2312" w:hAnsi="仿宋_GB2312" w:eastAsia="仿宋_GB2312" w:cs="仿宋_GB2312"/>
          <w:sz w:val="24"/>
        </w:rPr>
      </w:pPr>
    </w:p>
    <w:p w14:paraId="7DDB7D61">
      <w:pPr>
        <w:spacing w:line="580" w:lineRule="exact"/>
        <w:ind w:firstLine="480" w:firstLineChars="200"/>
        <w:rPr>
          <w:rFonts w:ascii="仿宋_GB2312" w:hAnsi="仿宋_GB2312" w:eastAsia="仿宋_GB2312" w:cs="仿宋_GB2312"/>
          <w:sz w:val="24"/>
        </w:rPr>
      </w:pPr>
    </w:p>
    <w:p w14:paraId="352F2C07">
      <w:pPr>
        <w:spacing w:line="580" w:lineRule="exact"/>
        <w:ind w:firstLine="480" w:firstLineChars="200"/>
        <w:rPr>
          <w:rFonts w:ascii="仿宋_GB2312" w:hAnsi="仿宋_GB2312" w:eastAsia="仿宋_GB2312" w:cs="仿宋_GB2312"/>
          <w:sz w:val="24"/>
        </w:rPr>
      </w:pPr>
    </w:p>
    <w:p w14:paraId="6D9A7CF1">
      <w:pPr>
        <w:spacing w:line="580" w:lineRule="exact"/>
        <w:ind w:firstLine="480" w:firstLineChars="200"/>
        <w:rPr>
          <w:rFonts w:ascii="仿宋_GB2312" w:hAnsi="仿宋_GB2312" w:eastAsia="仿宋_GB2312" w:cs="仿宋_GB2312"/>
          <w:sz w:val="24"/>
        </w:rPr>
      </w:pPr>
    </w:p>
    <w:p w14:paraId="1CBB7A46">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部分  朝阳市古生物化石管理服务中心概况</w:t>
      </w:r>
    </w:p>
    <w:p w14:paraId="7AC1885C">
      <w:pPr>
        <w:jc w:val="center"/>
        <w:rPr>
          <w:rFonts w:ascii="黑体" w:hAnsi="黑体" w:eastAsia="黑体" w:cs="黑体"/>
          <w:b/>
          <w:bCs/>
          <w:sz w:val="30"/>
          <w:szCs w:val="30"/>
        </w:rPr>
      </w:pPr>
    </w:p>
    <w:p w14:paraId="1D980CE7">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一、部门职责 </w:t>
      </w:r>
    </w:p>
    <w:p w14:paraId="76C61FCF">
      <w:pPr>
        <w:numPr>
          <w:ilvl w:val="0"/>
          <w:numId w:val="0"/>
        </w:num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深入学习贯彻习近平新时代中国特色社会主义思想，贯彻执行国家、省、市古生物化石资源管理保护和地质遗迹管理的法律、法规和有关政策，为全市古生物化石资源和地质遗迹管理保护、开发利用、向上争取、研学科普等提供服务保障。</w:t>
      </w:r>
    </w:p>
    <w:p w14:paraId="4094788D">
      <w:pPr>
        <w:numPr>
          <w:ilvl w:val="0"/>
          <w:numId w:val="0"/>
        </w:num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（二）承担古生物化石资源和发展规划编制等事务性工作；指导全市古生物化石和地质遗迹管理保护等事务性工作。</w:t>
      </w:r>
    </w:p>
    <w:p w14:paraId="6C022360">
      <w:pPr>
        <w:numPr>
          <w:ilvl w:val="0"/>
          <w:numId w:val="0"/>
        </w:num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（三）承担古生物化石市场管理事务性工作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协助公安、市场监管等部门查处古生物化石资源盗挖盗采或经营活动中的违法行为；承担古生物化石收藏、出入境管理等事务性工作。</w:t>
      </w:r>
    </w:p>
    <w:p w14:paraId="46454907">
      <w:pPr>
        <w:numPr>
          <w:ilvl w:val="0"/>
          <w:numId w:val="0"/>
        </w:num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（四）指导全市古生物化石资源的发掘、申报、鉴定等工作。</w:t>
      </w:r>
    </w:p>
    <w:p w14:paraId="59238576">
      <w:pPr>
        <w:numPr>
          <w:ilvl w:val="0"/>
          <w:numId w:val="0"/>
        </w:num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（五）承担古生物化石资源的科学研究、交流合作、宣传推广，组织开展科普教育活动等工作。</w:t>
      </w:r>
    </w:p>
    <w:p w14:paraId="4DCCA51C">
      <w:pPr>
        <w:numPr>
          <w:ilvl w:val="0"/>
          <w:numId w:val="0"/>
        </w:num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（六）配合市林业草原部门开展古生物化石地质遗迹申遗等事务性工作。</w:t>
      </w:r>
    </w:p>
    <w:p w14:paraId="1C1BD65C">
      <w:pPr>
        <w:numPr>
          <w:ilvl w:val="0"/>
          <w:numId w:val="0"/>
        </w:numPr>
        <w:spacing w:line="580" w:lineRule="exact"/>
        <w:ind w:firstLine="560" w:firstLineChars="200"/>
        <w:rPr>
          <w:rFonts w:ascii="黑体" w:hAnsi="黑体" w:eastAsia="黑体" w:cs="黑体"/>
          <w:sz w:val="28"/>
          <w:szCs w:val="28"/>
        </w:rPr>
      </w:pPr>
      <w:r>
        <w:rPr>
          <w:rFonts w:hint="eastAsia" w:ascii="仿宋_GB2312" w:hAnsi="仿宋_GB2312" w:eastAsia="仿宋_GB2312" w:cs="仿宋_GB2312"/>
          <w:sz w:val="28"/>
          <w:szCs w:val="28"/>
        </w:rPr>
        <w:t>（七）承担市自然资源局交办的其他工作。</w:t>
      </w:r>
    </w:p>
    <w:p w14:paraId="0E883C39">
      <w:pPr>
        <w:numPr>
          <w:ilvl w:val="0"/>
          <w:numId w:val="1"/>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机构设置 </w:t>
      </w:r>
    </w:p>
    <w:p w14:paraId="29A871C7">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纳入朝阳市古生物化石管理服务中心</w:t>
      </w: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年部门预算编制范围的单位包括：</w:t>
      </w:r>
      <w:r>
        <w:rPr>
          <w:rFonts w:hint="eastAsia" w:ascii="仿宋_GB2312" w:hAnsi="仿宋_GB2312" w:eastAsia="仿宋_GB2312" w:cs="仿宋_GB2312"/>
          <w:sz w:val="28"/>
          <w:szCs w:val="28"/>
        </w:rPr>
        <w:t xml:space="preserve"> </w:t>
      </w:r>
    </w:p>
    <w:p w14:paraId="63147E76">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.朝阳市古生物化石管理服务中心</w:t>
      </w:r>
    </w:p>
    <w:p w14:paraId="437E37F3">
      <w:pPr>
        <w:spacing w:line="580" w:lineRule="exact"/>
        <w:ind w:firstLine="560" w:firstLineChars="200"/>
        <w:rPr>
          <w:rFonts w:ascii="仿宋_GB2312" w:hAnsi="仿宋_GB2312" w:eastAsia="仿宋_GB2312" w:cs="仿宋_GB2312"/>
          <w:sz w:val="28"/>
          <w:szCs w:val="28"/>
        </w:rPr>
      </w:pPr>
    </w:p>
    <w:p w14:paraId="6143A104">
      <w:pPr>
        <w:spacing w:line="580" w:lineRule="exact"/>
        <w:ind w:firstLine="560" w:firstLineChars="200"/>
        <w:rPr>
          <w:rFonts w:ascii="仿宋_GB2312" w:hAnsi="仿宋_GB2312" w:eastAsia="仿宋_GB2312" w:cs="仿宋_GB2312"/>
          <w:sz w:val="28"/>
          <w:szCs w:val="28"/>
        </w:rPr>
      </w:pPr>
    </w:p>
    <w:p w14:paraId="49D49FE5">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部分 朝阳市古生物化石管理服务中心</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年部门预算情况说明</w:t>
      </w:r>
    </w:p>
    <w:p w14:paraId="380BFE22">
      <w:pPr>
        <w:jc w:val="center"/>
        <w:rPr>
          <w:rFonts w:ascii="黑体" w:hAnsi="黑体" w:eastAsia="黑体" w:cs="黑体"/>
          <w:b/>
          <w:bCs/>
          <w:sz w:val="30"/>
          <w:szCs w:val="30"/>
        </w:rPr>
      </w:pPr>
    </w:p>
    <w:p w14:paraId="437CAD9E">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14:paraId="7EDCB5E4">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247.25</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14:paraId="5C2A912A">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247.25</w:t>
      </w:r>
      <w:r>
        <w:rPr>
          <w:rFonts w:hint="eastAsia" w:ascii="仿宋_GB2312" w:hAnsi="仿宋_GB2312" w:eastAsia="仿宋_GB2312" w:cs="仿宋_GB2312"/>
          <w:sz w:val="28"/>
          <w:szCs w:val="28"/>
        </w:rPr>
        <w:t>万元；</w:t>
      </w:r>
    </w:p>
    <w:p w14:paraId="24245A1D">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32CE0797">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5D2CCE57">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14:paraId="063D95A5">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7D8E3EE0">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5C4BF6DE">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247.25</w:t>
      </w:r>
      <w:r>
        <w:rPr>
          <w:rFonts w:hint="eastAsia" w:ascii="楷体" w:hAnsi="楷体" w:eastAsia="楷体" w:cs="楷体"/>
          <w:b/>
          <w:bCs/>
          <w:sz w:val="28"/>
          <w:szCs w:val="28"/>
        </w:rPr>
        <w:t>万元，</w:t>
      </w:r>
      <w:r>
        <w:rPr>
          <w:rFonts w:ascii="宋体" w:hAnsi="宋体" w:eastAsia="宋体" w:cs="宋体"/>
          <w:sz w:val="24"/>
        </w:rPr>
        <w:t>其中：</w:t>
      </w:r>
    </w:p>
    <w:p w14:paraId="359313F2">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187.25</w:t>
      </w:r>
      <w:r>
        <w:rPr>
          <w:rFonts w:hint="eastAsia" w:ascii="仿宋_GB2312" w:hAnsi="仿宋_GB2312" w:eastAsia="仿宋_GB2312" w:cs="仿宋_GB2312"/>
          <w:sz w:val="28"/>
          <w:szCs w:val="28"/>
        </w:rPr>
        <w:t xml:space="preserve">万元； </w:t>
      </w:r>
    </w:p>
    <w:p w14:paraId="22F98671">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60</w:t>
      </w:r>
      <w:r>
        <w:rPr>
          <w:rFonts w:hint="eastAsia" w:ascii="仿宋_GB2312" w:hAnsi="仿宋_GB2312" w:eastAsia="仿宋_GB2312" w:cs="仿宋_GB2312"/>
          <w:sz w:val="28"/>
          <w:szCs w:val="28"/>
        </w:rPr>
        <w:t xml:space="preserve">万元。 </w:t>
      </w:r>
    </w:p>
    <w:p w14:paraId="47164148">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60</w:t>
      </w:r>
      <w:r>
        <w:rPr>
          <w:rFonts w:hint="eastAsia" w:ascii="仿宋_GB2312" w:hAnsi="仿宋_GB2312" w:eastAsia="仿宋_GB2312" w:cs="仿宋_GB2312"/>
          <w:sz w:val="28"/>
          <w:szCs w:val="28"/>
        </w:rPr>
        <w:t>万元。</w:t>
      </w:r>
    </w:p>
    <w:p w14:paraId="38E76D1E">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lang w:val="en-US" w:eastAsia="zh-CN"/>
        </w:rPr>
        <w:t>247.25</w:t>
      </w:r>
      <w:r>
        <w:rPr>
          <w:rFonts w:hint="eastAsia" w:ascii="黑体" w:hAnsi="黑体" w:eastAsia="黑体" w:cs="黑体"/>
          <w:sz w:val="28"/>
          <w:szCs w:val="28"/>
        </w:rPr>
        <w:t>万元，增减变化的主要原因为</w:t>
      </w:r>
      <w:r>
        <w:rPr>
          <w:rFonts w:hint="eastAsia" w:ascii="黑体" w:hAnsi="黑体" w:eastAsia="黑体" w:cs="黑体"/>
          <w:sz w:val="28"/>
          <w:szCs w:val="28"/>
          <w:lang w:eastAsia="zh-CN"/>
        </w:rPr>
        <w:t>本单位</w:t>
      </w:r>
      <w:r>
        <w:rPr>
          <w:rFonts w:hint="eastAsia" w:ascii="黑体" w:hAnsi="黑体" w:eastAsia="黑体" w:cs="黑体"/>
          <w:sz w:val="28"/>
          <w:szCs w:val="28"/>
          <w:lang w:val="en-US" w:eastAsia="zh-CN"/>
        </w:rPr>
        <w:t>2025年4月组建，2025年年初无预算</w:t>
      </w:r>
      <w:r>
        <w:rPr>
          <w:rFonts w:hint="eastAsia" w:ascii="黑体" w:hAnsi="黑体" w:eastAsia="黑体" w:cs="黑体"/>
          <w:sz w:val="28"/>
          <w:szCs w:val="28"/>
        </w:rPr>
        <w:t>。</w:t>
      </w:r>
    </w:p>
    <w:p w14:paraId="5F04D3CA">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14:paraId="7E6B075F">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年，朝阳市古生物化石管理服务中心管理专项资金共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14:paraId="01A8C527">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14:paraId="4CD6EE6A">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年朝阳市古生物化石管理服务中心机关运行经费预算为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2919E25B">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14:paraId="79397241">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年朝阳市古生物化石管理服务中心安排政府采购预算</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73352339">
      <w:pPr>
        <w:numPr>
          <w:ilvl w:val="0"/>
          <w:numId w:val="2"/>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14:paraId="22DA362E">
      <w:pPr>
        <w:numPr>
          <w:ilvl w:val="0"/>
          <w:numId w:val="0"/>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年，朝阳市古生物化石管理服务中心财政拨款预算安排的“三公”经费预算为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14:paraId="41432EAB">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14:paraId="1B1022B7">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朝阳市古生物化石管理服务中心</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14:paraId="2B43E850">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14:paraId="4F51DF82">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根据预算绩效管理要求，朝阳市古生物化石管理服务中心</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年应编制部门（单位）整体绩效目标共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个，实际编制部门（单位）整体绩效目标共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个，编制部门（单位）整体绩效目标覆盖率（实际编制绩效目标的数量/应编制绩效目标的数量）为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60</w:t>
      </w:r>
      <w:r>
        <w:rPr>
          <w:rFonts w:hint="eastAsia" w:ascii="仿宋_GB2312" w:hAnsi="仿宋_GB2312" w:eastAsia="仿宋_GB2312" w:cs="仿宋_GB2312"/>
          <w:sz w:val="28"/>
          <w:szCs w:val="28"/>
        </w:rPr>
        <w:t>万元，编制特定目标类和其他运转类绩效目标的项目覆盖率（实际编制绩效目标的数量/应编制绩效目标的数量）为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14:paraId="41F47C98">
      <w:pPr>
        <w:spacing w:line="580" w:lineRule="exact"/>
        <w:ind w:firstLine="560" w:firstLineChars="200"/>
        <w:rPr>
          <w:rFonts w:ascii="仿宋_GB2312" w:hAnsi="仿宋_GB2312" w:eastAsia="仿宋_GB2312" w:cs="仿宋_GB2312"/>
          <w:sz w:val="28"/>
          <w:szCs w:val="28"/>
        </w:rPr>
      </w:pPr>
    </w:p>
    <w:p w14:paraId="31067146">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14:paraId="12FDF35B">
      <w:pPr>
        <w:jc w:val="center"/>
        <w:rPr>
          <w:rFonts w:ascii="黑体" w:hAnsi="黑体" w:eastAsia="黑体" w:cs="黑体"/>
          <w:b/>
          <w:bCs/>
          <w:sz w:val="30"/>
          <w:szCs w:val="30"/>
        </w:rPr>
      </w:pPr>
    </w:p>
    <w:p w14:paraId="224E96C0">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14:paraId="462753DF">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14:paraId="75C349E1">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14:paraId="00235CA1">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14:paraId="07D2B30A">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14:paraId="4946F593">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 置税）、燃料费、维修费、过路过桥费、保险费、安全奖励费用等支出；公务接待费反映单位为执行公务或开展业务活动需要合理开支的接待费用。</w:t>
      </w:r>
    </w:p>
    <w:p w14:paraId="0272693B">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反映行政单位（包括实行公务员管理的事业单位）的基本支出。 </w:t>
      </w:r>
    </w:p>
    <w:p w14:paraId="33F236A0">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反映行政单位（包括实行公务员管理的事业单位）未单独设置项级科目的其他项目支出。 </w:t>
      </w:r>
    </w:p>
    <w:p w14:paraId="4346BC81">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反映事业单位的基本支出，不包括行政单位（包括实行公务员管理的事业单位）后勤服务中心、医务室等附属事业单位。 </w:t>
      </w:r>
    </w:p>
    <w:p w14:paraId="735300BA">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14:paraId="3C9BB336">
      <w:pPr>
        <w:jc w:val="center"/>
        <w:rPr>
          <w:rFonts w:hint="eastAsia" w:ascii="黑体" w:hAnsi="黑体" w:eastAsia="黑体" w:cs="黑体"/>
          <w:b/>
          <w:bCs/>
          <w:sz w:val="30"/>
          <w:szCs w:val="30"/>
        </w:rPr>
      </w:pPr>
    </w:p>
    <w:p w14:paraId="2B1D86BF">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年朝阳市古生物化石管理服务中心部门预算批复表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B55DBD"/>
    <w:multiLevelType w:val="singleLevel"/>
    <w:tmpl w:val="68B55DBD"/>
    <w:lvl w:ilvl="0" w:tentative="0">
      <w:start w:val="2"/>
      <w:numFmt w:val="chineseCounting"/>
      <w:suff w:val="nothing"/>
      <w:lvlText w:val="%1、"/>
      <w:lvlJc w:val="left"/>
    </w:lvl>
  </w:abstractNum>
  <w:abstractNum w:abstractNumId="1">
    <w:nsid w:val="68B56242"/>
    <w:multiLevelType w:val="singleLevel"/>
    <w:tmpl w:val="68B56242"/>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1D4A42DD"/>
    <w:rsid w:val="2DF873EA"/>
    <w:rsid w:val="33E391BD"/>
    <w:rsid w:val="3525D23F"/>
    <w:rsid w:val="3BC4C2AB"/>
    <w:rsid w:val="3FFFB10F"/>
    <w:rsid w:val="4BBD058A"/>
    <w:rsid w:val="797C1F0E"/>
    <w:rsid w:val="79F6B6E0"/>
    <w:rsid w:val="7B39021C"/>
    <w:rsid w:val="B5EF9364"/>
    <w:rsid w:val="B7EF642D"/>
    <w:rsid w:val="BDDECD56"/>
    <w:rsid w:val="BF5A3823"/>
    <w:rsid w:val="DEBFBEFF"/>
    <w:rsid w:val="DFFD8AAB"/>
    <w:rsid w:val="F9DF106E"/>
    <w:rsid w:val="FFAE2CCE"/>
    <w:rsid w:val="FFE78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2447</Words>
  <Characters>2553</Characters>
  <Lines>23</Lines>
  <Paragraphs>6</Paragraphs>
  <TotalTime>45</TotalTime>
  <ScaleCrop>false</ScaleCrop>
  <LinksUpToDate>false</LinksUpToDate>
  <CharactersWithSpaces>2624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2025-09-01T23:37:00Z</dcterms:created>
  <dc:creator>预算科（市预算编制审核中心）-魏上舒</dc:creator>
  <cp:lastModifiedBy>松野仙松</cp:lastModifiedBy>
  <cp:lastPrinted>2026-01-22T23:23:00Z</cp:lastPrinted>
  <dcterms:modified xsi:type="dcterms:W3CDTF">2026-01-29T06:35:04Z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CD734F183EB94FD181DDE27EFBB417D9_13</vt:lpwstr>
  </property>
</Properties>
</file>