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rels" ContentType="application/vnd.openxmlformats-package.relationships+xml"/>
  <Default Extension="bin" ContentType="application/vnd.openxmlformats-officedocument.oleObject"/>
  <Override PartName="/word/footer7.xml" ContentType="application/vnd.openxmlformats-officedocument.wordprocessingml.footer+xml"/>
  <Override PartName="/docProps/app.xml" ContentType="application/vnd.openxmlformats-officedocument.extended-properties+xml"/>
  <Override PartName="/word/footer5.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footer4.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footer6.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ackground w:color="ffffff"/>
  <w:body>
    <w:p>
      <w:pPr>
        <w:pStyle w:val="859"/>
        <w:pBdr/>
        <w:spacing w:line="540" w:lineRule="exact"/>
        <w:ind/>
        <w:rPr>
          <w:rFonts w:ascii="黑体" w:hAnsi="黑体" w:eastAsia="黑体" w:cs="黑体"/>
          <w:b w:val="0"/>
          <w:bCs/>
          <w:sz w:val="28"/>
          <w:szCs w:val="28"/>
          <w:lang w:val="en"/>
        </w:rPr>
      </w:pPr>
      <w:r>
        <w:rPr>
          <w:rFonts w:hint="eastAsia" w:ascii="黑体" w:hAnsi="黑体" w:eastAsia="黑体" w:cs="黑体"/>
          <w:b w:val="0"/>
          <w:bCs/>
          <w:sz w:val="28"/>
          <w:szCs w:val="28"/>
        </w:rPr>
        <w:t xml:space="preserve">附件</w:t>
      </w:r>
      <w:r>
        <w:rPr>
          <w:rFonts w:hint="eastAsia" w:ascii="黑体" w:hAnsi="黑体" w:eastAsia="黑体" w:cs="黑体"/>
          <w:b w:val="0"/>
          <w:bCs/>
          <w:sz w:val="28"/>
          <w:szCs w:val="28"/>
          <w:lang w:val="en-US" w:eastAsia="zh-CN"/>
        </w:rPr>
        <w:t xml:space="preserve">2</w:t>
      </w:r>
      <w:r>
        <w:rPr>
          <w:rFonts w:ascii="黑体" w:hAnsi="黑体" w:eastAsia="黑体" w:cs="黑体"/>
          <w:b w:val="0"/>
          <w:bCs/>
          <w:sz w:val="28"/>
          <w:szCs w:val="28"/>
          <w:lang w:val="en"/>
        </w:rPr>
      </w:r>
      <w:r>
        <w:rPr>
          <w:rFonts w:ascii="黑体" w:hAnsi="黑体" w:eastAsia="黑体" w:cs="黑体"/>
          <w:b w:val="0"/>
          <w:bCs/>
          <w:sz w:val="28"/>
          <w:szCs w:val="28"/>
          <w:lang w:val="en"/>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ascii="宋体" w:hAnsi="宋体"/>
          <w:b/>
          <w:sz w:val="44"/>
          <w:szCs w:val="44"/>
          <w:u w:val="single"/>
        </w:rPr>
      </w:pPr>
      <w:r>
        <w:rPr>
          <w:rFonts w:hint="eastAsia" w:ascii="宋体" w:hAnsi="宋体"/>
          <w:b/>
          <w:sz w:val="44"/>
          <w:szCs w:val="44"/>
          <w:lang w:eastAsia="zh-CN"/>
        </w:rPr>
        <w:t xml:space="preserve">2022</w:t>
      </w:r>
      <w:r>
        <w:rPr>
          <w:rFonts w:hint="eastAsia" w:ascii="宋体" w:hAnsi="宋体"/>
          <w:b/>
          <w:sz w:val="44"/>
          <w:szCs w:val="44"/>
        </w:rPr>
        <w:t xml:space="preserve">年度</w:t>
      </w:r>
      <w:r>
        <w:rPr>
          <w:rFonts w:hint="eastAsia" w:ascii="宋体" w:hAnsi="宋体"/>
          <w:b/>
          <w:sz w:val="44"/>
          <w:szCs w:val="44"/>
          <w:lang w:eastAsia="zh-CN"/>
        </w:rPr>
        <w:t xml:space="preserve">朝阳市自然资源与生态环境保护服务中心</w:t>
      </w:r>
      <w:r>
        <w:rPr>
          <w:rFonts w:hint="eastAsia" w:ascii="宋体" w:hAnsi="宋体"/>
          <w:b/>
          <w:sz w:val="44"/>
          <w:szCs w:val="44"/>
        </w:rPr>
        <w:t xml:space="preserve">部门决算公开文本</w:t>
      </w:r>
      <w:r>
        <w:rPr>
          <w:rFonts w:hint="eastAsia" w:ascii="宋体" w:hAnsi="宋体"/>
          <w:b/>
          <w:sz w:val="44"/>
          <w:szCs w:val="44"/>
          <w:u w:val="single"/>
        </w:rPr>
      </w:r>
      <w:r>
        <w:rPr>
          <w:rFonts w:hint="eastAsia" w:ascii="宋体" w:hAnsi="宋体"/>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ascii="宋体" w:hAnsi="宋体"/>
          <w:b/>
          <w:sz w:val="52"/>
          <w:szCs w:val="52"/>
        </w:rPr>
      </w:pPr>
      <w:r>
        <w:rPr>
          <w:rFonts w:hint="eastAsia" w:ascii="宋体" w:hAnsi="宋体"/>
          <w:b/>
          <w:sz w:val="52"/>
          <w:szCs w:val="52"/>
          <w:lang w:val="en-US" w:eastAsia="zh-CN"/>
        </w:rPr>
        <w:t xml:space="preserve">朝阳市自然资源与生态环境保护服务中心</w:t>
      </w:r>
      <w:r>
        <w:rPr>
          <w:rFonts w:hint="eastAsia" w:ascii="宋体" w:hAnsi="宋体"/>
          <w:b/>
          <w:sz w:val="52"/>
          <w:szCs w:val="52"/>
          <w:lang w:eastAsia="zh-CN"/>
        </w:rPr>
        <w:t xml:space="preserve">2022</w:t>
      </w:r>
      <w:r>
        <w:rPr>
          <w:rFonts w:hint="eastAsia" w:ascii="宋体" w:hAnsi="宋体"/>
          <w:b/>
          <w:sz w:val="52"/>
          <w:szCs w:val="52"/>
        </w:rPr>
        <w:t xml:space="preserve">年度部门决算</w:t>
      </w:r>
      <w:r>
        <w:rPr>
          <w:rFonts w:hint="eastAsia" w:ascii="宋体" w:hAnsi="宋体"/>
          <w:b/>
          <w:sz w:val="52"/>
          <w:szCs w:val="52"/>
        </w:rPr>
      </w:r>
      <w:r>
        <w:rPr>
          <w:rFonts w:hint="eastAsia" w:ascii="宋体" w:hAnsi="宋体"/>
          <w:b/>
          <w:sz w:val="52"/>
          <w:szCs w:val="52"/>
        </w:rPr>
      </w:r>
    </w:p>
    <w:p>
      <w:pPr>
        <w:pStyle w:val="859"/>
        <w:pBdr/>
        <w:spacing w:line="540" w:lineRule="exact"/>
        <w:ind/>
        <w:jc w:val="center"/>
        <w:rPr>
          <w:rFonts w:ascii="Times New Roman" w:hAnsi="Times New Roman" w:cs="Times New Roman"/>
          <w:b/>
          <w:sz w:val="44"/>
          <w:szCs w:val="44"/>
          <w:u w:val="single"/>
        </w:rPr>
      </w:pPr>
      <w:r>
        <w:rPr>
          <w:rFonts w:ascii="Times New Roman" w:hAnsi="Times New Roman" w:cs="Times New Roman"/>
          <w:b/>
          <w:sz w:val="44"/>
          <w:szCs w:val="44"/>
          <w:u w:val="single"/>
        </w:rPr>
      </w:r>
      <w:r>
        <w:rPr>
          <w:rFonts w:ascii="Times New Roman" w:hAnsi="Times New Roman" w:cs="Times New Roman"/>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jc w:val="center"/>
        <w:rPr>
          <w:rFonts w:hint="eastAsia"/>
          <w:b/>
          <w:sz w:val="44"/>
          <w:szCs w:val="44"/>
        </w:rPr>
      </w:pPr>
      <w:r>
        <w:rPr>
          <w:rFonts w:hint="eastAsia"/>
          <w:b/>
          <w:sz w:val="44"/>
          <w:szCs w:val="44"/>
        </w:rPr>
      </w:r>
      <w:r>
        <w:rPr>
          <w:rFonts w:hint="eastAsia"/>
          <w:b/>
          <w:sz w:val="44"/>
          <w:szCs w:val="44"/>
        </w:rPr>
      </w:r>
    </w:p>
    <w:p>
      <w:pPr>
        <w:pStyle w:val="859"/>
        <w:pBdr/>
        <w:spacing w:line="540" w:lineRule="exact"/>
        <w:ind/>
        <w:jc w:val="center"/>
        <w:rPr>
          <w:rFonts w:hint="eastAsia"/>
          <w:b/>
          <w:sz w:val="44"/>
          <w:szCs w:val="44"/>
        </w:rPr>
      </w:pPr>
      <w:r>
        <w:rPr>
          <w:rFonts w:hint="eastAsia"/>
          <w:b/>
          <w:sz w:val="44"/>
          <w:szCs w:val="44"/>
        </w:rPr>
        <w:t xml:space="preserve">目    录</w:t>
      </w:r>
      <w:r>
        <w:rPr>
          <w:rFonts w:hint="eastAsia"/>
          <w:b/>
          <w:sz w:val="44"/>
          <w:szCs w:val="44"/>
        </w:rPr>
      </w:r>
      <w:r>
        <w:rPr>
          <w:rFonts w:hint="eastAsia"/>
          <w:b/>
          <w:sz w:val="44"/>
          <w:szCs w:val="44"/>
        </w:rPr>
      </w:r>
    </w:p>
    <w:p>
      <w:pPr>
        <w:pStyle w:val="859"/>
        <w:pBdr/>
        <w:spacing w:line="540" w:lineRule="exact"/>
        <w:ind/>
        <w:rPr>
          <w:rFonts w:hint="eastAsia"/>
          <w:b/>
          <w:sz w:val="44"/>
          <w:szCs w:val="44"/>
          <w:u w:val="single"/>
        </w:rPr>
      </w:pPr>
      <w:r>
        <w:rPr>
          <w:rFonts w:hint="eastAsia"/>
          <w:b/>
          <w:sz w:val="44"/>
          <w:szCs w:val="44"/>
          <w:u w:val="single"/>
        </w:rPr>
      </w:r>
      <w:r>
        <w:rPr>
          <w:rFonts w:hint="eastAsia"/>
          <w:b/>
          <w:sz w:val="44"/>
          <w:szCs w:val="44"/>
          <w:u w:val="single"/>
        </w:rPr>
      </w:r>
    </w:p>
    <w:p>
      <w:pPr>
        <w:pStyle w:val="859"/>
        <w:pBdr/>
        <w:spacing w:line="540" w:lineRule="exact"/>
        <w:ind/>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eastAsia="zh-CN"/>
        </w:rPr>
        <w:t xml:space="preserve">部门</w:t>
      </w:r>
      <w:r>
        <w:rPr>
          <w:rFonts w:hint="eastAsia" w:ascii="黑体" w:hAnsi="黑体" w:eastAsia="黑体"/>
          <w:sz w:val="32"/>
          <w:szCs w:val="32"/>
        </w:rPr>
        <w:t xml:space="preserve">概况</w:t>
      </w:r>
      <w:r>
        <w:rPr>
          <w:rFonts w:hint="eastAsia" w:ascii="黑体" w:hAnsi="黑体" w:eastAsia="黑体"/>
          <w:sz w:val="32"/>
          <w:szCs w:val="32"/>
        </w:rPr>
      </w:r>
      <w:r>
        <w:rPr>
          <w:rFonts w:hint="eastAsia" w:ascii="黑体" w:hAnsi="黑体" w:eastAsia="黑体"/>
          <w:sz w:val="32"/>
          <w:szCs w:val="32"/>
        </w:rPr>
      </w:r>
    </w:p>
    <w:p>
      <w:pPr>
        <w:pStyle w:val="859"/>
        <w:numPr>
          <w:ilvl w:val="0"/>
          <w:numId w:val="1"/>
        </w:numPr>
        <w:pBdr/>
        <w:tabs>
          <w:tab w:val="left" w:leader="none" w:pos="720"/>
        </w:tabs>
        <w:spacing w:line="540" w:lineRule="exact"/>
        <w:ind/>
        <w:rPr>
          <w:rFonts w:hint="eastAsia" w:ascii="仿宋_GB2312" w:hAnsi="黑体" w:eastAsia="仿宋_GB2312"/>
          <w:sz w:val="32"/>
          <w:szCs w:val="32"/>
        </w:rPr>
      </w:pPr>
      <w:r>
        <w:rPr>
          <w:rFonts w:hint="eastAsia" w:ascii="仿宋_GB2312" w:hAnsi="黑体" w:eastAsia="仿宋_GB2312"/>
          <w:sz w:val="32"/>
          <w:szCs w:val="32"/>
        </w:rPr>
        <w:t xml:space="preserve">主要职责</w:t>
      </w:r>
      <w:r>
        <w:rPr>
          <w:rFonts w:hint="eastAsia" w:ascii="仿宋_GB2312" w:hAnsi="黑体" w:eastAsia="仿宋_GB2312"/>
          <w:sz w:val="32"/>
          <w:szCs w:val="32"/>
        </w:rPr>
      </w:r>
      <w:r>
        <w:rPr>
          <w:rFonts w:hint="eastAsia" w:ascii="仿宋_GB2312" w:hAnsi="黑体" w:eastAsia="仿宋_GB2312"/>
          <w:sz w:val="32"/>
          <w:szCs w:val="32"/>
        </w:rPr>
      </w:r>
    </w:p>
    <w:p>
      <w:pPr>
        <w:pStyle w:val="859"/>
        <w:numPr>
          <w:ilvl w:val="0"/>
          <w:numId w:val="1"/>
        </w:numPr>
        <w:pBdr/>
        <w:tabs>
          <w:tab w:val="left" w:leader="none" w:pos="720"/>
        </w:tabs>
        <w:spacing w:line="540" w:lineRule="exact"/>
        <w:ind/>
        <w:rPr>
          <w:rFonts w:hint="eastAsia" w:ascii="仿宋_GB2312" w:hAnsi="黑体" w:eastAsia="仿宋_GB2312"/>
          <w:sz w:val="32"/>
          <w:szCs w:val="32"/>
        </w:rPr>
      </w:pPr>
      <w:r>
        <w:rPr>
          <w:rFonts w:hint="eastAsia" w:ascii="仿宋_GB2312" w:hAnsi="黑体" w:eastAsia="仿宋_GB2312"/>
          <w:sz w:val="32"/>
          <w:szCs w:val="32"/>
        </w:rPr>
        <w:t xml:space="preserve">部门决算单位构成</w:t>
      </w:r>
      <w:r>
        <w:rPr>
          <w:rFonts w:hint="eastAsia" w:ascii="仿宋_GB2312" w:hAnsi="黑体" w:eastAsia="仿宋_GB2312"/>
          <w:sz w:val="32"/>
          <w:szCs w:val="32"/>
        </w:rPr>
      </w:r>
      <w:r>
        <w:rPr>
          <w:rFonts w:hint="eastAsia" w:ascii="仿宋_GB2312" w:hAnsi="黑体" w:eastAsia="仿宋_GB2312"/>
          <w:sz w:val="32"/>
          <w:szCs w:val="32"/>
        </w:rPr>
      </w:r>
    </w:p>
    <w:p>
      <w:pPr>
        <w:pStyle w:val="859"/>
        <w:pBdr/>
        <w:spacing w:line="540" w:lineRule="exact"/>
        <w:ind/>
        <w:rPr>
          <w:rFonts w:hint="eastAsia" w:ascii="黑体" w:hAnsi="黑体" w:eastAsia="黑体"/>
          <w:sz w:val="32"/>
          <w:szCs w:val="32"/>
        </w:rPr>
      </w:pPr>
      <w:r>
        <w:rPr>
          <w:rFonts w:hint="eastAsia" w:ascii="黑体" w:hAnsi="黑体" w:eastAsia="黑体"/>
          <w:sz w:val="32"/>
          <w:szCs w:val="32"/>
        </w:rPr>
        <w:t xml:space="preserve">第</w:t>
      </w:r>
      <w:r>
        <w:rPr>
          <w:rFonts w:hint="eastAsia" w:ascii="黑体" w:hAnsi="黑体" w:eastAsia="黑体"/>
          <w:sz w:val="32"/>
          <w:szCs w:val="32"/>
          <w:lang w:val="en-US" w:eastAsia="zh-CN"/>
        </w:rPr>
        <w:t xml:space="preserve">二</w:t>
      </w:r>
      <w:r>
        <w:rPr>
          <w:rFonts w:hint="eastAsia" w:ascii="黑体" w:hAnsi="黑体" w:eastAsia="黑体"/>
          <w:sz w:val="32"/>
          <w:szCs w:val="32"/>
        </w:rPr>
        <w:t xml:space="preserve">部分    </w:t>
      </w:r>
      <w:r>
        <w:rPr>
          <w:rFonts w:hint="eastAsia" w:ascii="黑体" w:hAnsi="黑体" w:eastAsia="黑体"/>
          <w:sz w:val="32"/>
          <w:szCs w:val="32"/>
          <w:lang w:eastAsia="zh-CN"/>
        </w:rPr>
        <w:t xml:space="preserve">2022</w:t>
      </w:r>
      <w:r>
        <w:rPr>
          <w:rFonts w:hint="eastAsia" w:ascii="黑体" w:hAnsi="黑体" w:eastAsia="黑体"/>
          <w:sz w:val="32"/>
          <w:szCs w:val="32"/>
        </w:rPr>
        <w:t xml:space="preserve">年度部门决算情况说明</w:t>
      </w:r>
      <w:r>
        <w:rPr>
          <w:rFonts w:hint="eastAsia" w:ascii="黑体" w:hAnsi="黑体" w:eastAsia="黑体"/>
          <w:sz w:val="32"/>
          <w:szCs w:val="32"/>
        </w:rPr>
      </w:r>
      <w:r>
        <w:rPr>
          <w:rFonts w:hint="eastAsia" w:ascii="黑体" w:hAnsi="黑体" w:eastAsia="黑体"/>
          <w:sz w:val="32"/>
          <w:szCs w:val="32"/>
        </w:rPr>
      </w:r>
    </w:p>
    <w:p>
      <w:pPr>
        <w:pStyle w:val="859"/>
        <w:pBdr/>
        <w:spacing w:line="540" w:lineRule="exact"/>
        <w:ind/>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 xml:space="preserve">一、收入支出决算总体情况说明</w:t>
      </w:r>
      <w:r>
        <w:rPr>
          <w:rFonts w:hint="eastAsia" w:ascii="仿宋_GB2312" w:hAnsi="Times New Roman" w:eastAsia="仿宋_GB2312" w:cs="Times New Roman"/>
          <w:sz w:val="32"/>
          <w:szCs w:val="32"/>
          <w:lang w:eastAsia="zh-CN"/>
        </w:rPr>
      </w:r>
      <w:r>
        <w:rPr>
          <w:rFonts w:hint="eastAsia" w:ascii="仿宋_GB2312" w:hAnsi="Times New Roman" w:eastAsia="仿宋_GB2312" w:cs="Times New Roman"/>
          <w:sz w:val="32"/>
          <w:szCs w:val="32"/>
          <w:lang w:eastAsia="zh-CN"/>
        </w:rPr>
      </w:r>
    </w:p>
    <w:p>
      <w:pPr>
        <w:pStyle w:val="859"/>
        <w:pBdr/>
        <w:spacing w:line="540" w:lineRule="exact"/>
        <w:ind/>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 xml:space="preserve">二、财政拨款收入支出决算情况说明</w:t>
      </w:r>
      <w:r>
        <w:rPr>
          <w:rFonts w:hint="eastAsia" w:ascii="仿宋_GB2312" w:hAnsi="Times New Roman" w:eastAsia="仿宋_GB2312" w:cs="Times New Roman"/>
          <w:sz w:val="32"/>
          <w:szCs w:val="32"/>
          <w:lang w:eastAsia="zh-CN"/>
        </w:rPr>
      </w:r>
      <w:r>
        <w:rPr>
          <w:rFonts w:hint="eastAsia" w:ascii="仿宋_GB2312" w:hAnsi="Times New Roman" w:eastAsia="仿宋_GB2312" w:cs="Times New Roman"/>
          <w:sz w:val="32"/>
          <w:szCs w:val="32"/>
          <w:lang w:eastAsia="zh-CN"/>
        </w:rPr>
      </w:r>
    </w:p>
    <w:p>
      <w:pPr>
        <w:pStyle w:val="859"/>
        <w:pBdr/>
        <w:spacing w:line="540" w:lineRule="exact"/>
        <w:ind/>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 xml:space="preserve">三、一般公共预算财政拨款“三公”经费支出决算情况说明</w:t>
      </w:r>
      <w:r>
        <w:rPr>
          <w:rFonts w:hint="eastAsia" w:ascii="仿宋_GB2312" w:hAnsi="Times New Roman" w:eastAsia="仿宋_GB2312" w:cs="Times New Roman"/>
          <w:sz w:val="32"/>
          <w:szCs w:val="32"/>
          <w:lang w:eastAsia="zh-CN"/>
        </w:rPr>
      </w:r>
      <w:r>
        <w:rPr>
          <w:rFonts w:hint="eastAsia" w:ascii="仿宋_GB2312" w:hAnsi="Times New Roman" w:eastAsia="仿宋_GB2312" w:cs="Times New Roman"/>
          <w:sz w:val="32"/>
          <w:szCs w:val="32"/>
          <w:lang w:eastAsia="zh-CN"/>
        </w:rPr>
      </w:r>
    </w:p>
    <w:p>
      <w:pPr>
        <w:pStyle w:val="859"/>
        <w:pBdr/>
        <w:spacing w:line="540" w:lineRule="exact"/>
        <w:ind/>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 xml:space="preserve">四、一般公共预算财政拨款基本支出决算情况说明</w:t>
      </w:r>
      <w:r>
        <w:rPr>
          <w:rFonts w:hint="eastAsia" w:ascii="仿宋_GB2312" w:hAnsi="Times New Roman" w:eastAsia="仿宋_GB2312" w:cs="Times New Roman"/>
          <w:sz w:val="32"/>
          <w:szCs w:val="32"/>
          <w:lang w:eastAsia="zh-CN"/>
        </w:rPr>
      </w:r>
      <w:r>
        <w:rPr>
          <w:rFonts w:hint="eastAsia" w:ascii="仿宋_GB2312" w:hAnsi="Times New Roman" w:eastAsia="仿宋_GB2312" w:cs="Times New Roman"/>
          <w:sz w:val="32"/>
          <w:szCs w:val="32"/>
          <w:lang w:eastAsia="zh-CN"/>
        </w:rPr>
      </w:r>
    </w:p>
    <w:p>
      <w:pPr>
        <w:pStyle w:val="859"/>
        <w:pBdr/>
        <w:spacing w:line="540" w:lineRule="exact"/>
        <w:ind/>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 xml:space="preserve">五、其他重要事项的情况说明</w:t>
      </w:r>
      <w:r>
        <w:rPr>
          <w:rFonts w:hint="eastAsia" w:ascii="仿宋_GB2312" w:hAnsi="Times New Roman" w:eastAsia="仿宋_GB2312" w:cs="Times New Roman"/>
          <w:sz w:val="32"/>
          <w:szCs w:val="32"/>
          <w:lang w:eastAsia="zh-CN"/>
        </w:rPr>
      </w:r>
      <w:r>
        <w:rPr>
          <w:rFonts w:hint="eastAsia" w:ascii="仿宋_GB2312" w:hAnsi="Times New Roman" w:eastAsia="仿宋_GB2312" w:cs="Times New Roman"/>
          <w:sz w:val="32"/>
          <w:szCs w:val="32"/>
          <w:lang w:eastAsia="zh-CN"/>
        </w:rPr>
      </w:r>
    </w:p>
    <w:p>
      <w:pPr>
        <w:pStyle w:val="859"/>
        <w:pBdr/>
        <w:spacing w:line="540" w:lineRule="exact"/>
        <w:ind/>
        <w:rPr>
          <w:rFonts w:hint="eastAsia" w:ascii="黑体" w:hAnsi="黑体" w:eastAsia="黑体"/>
          <w:sz w:val="32"/>
          <w:szCs w:val="32"/>
        </w:rPr>
      </w:pPr>
      <w:r>
        <w:rPr>
          <w:rFonts w:hint="eastAsia" w:ascii="黑体" w:hAnsi="黑体" w:eastAsia="黑体"/>
          <w:sz w:val="32"/>
          <w:szCs w:val="32"/>
        </w:rPr>
        <w:t xml:space="preserve">第</w:t>
      </w:r>
      <w:r>
        <w:rPr>
          <w:rFonts w:hint="eastAsia" w:ascii="黑体" w:hAnsi="黑体" w:eastAsia="黑体"/>
          <w:sz w:val="32"/>
          <w:szCs w:val="32"/>
          <w:lang w:val="en-US" w:eastAsia="zh-CN"/>
        </w:rPr>
        <w:t xml:space="preserve">三</w:t>
      </w:r>
      <w:r>
        <w:rPr>
          <w:rFonts w:hint="eastAsia" w:ascii="黑体" w:hAnsi="黑体" w:eastAsia="黑体"/>
          <w:sz w:val="32"/>
          <w:szCs w:val="32"/>
        </w:rPr>
        <w:t xml:space="preserve">部分    名词解释</w:t>
      </w:r>
      <w:r>
        <w:rPr>
          <w:rFonts w:hint="eastAsia" w:ascii="黑体" w:hAnsi="黑体" w:eastAsia="黑体"/>
          <w:sz w:val="32"/>
          <w:szCs w:val="32"/>
        </w:rPr>
      </w:r>
      <w:r>
        <w:rPr>
          <w:rFonts w:hint="eastAsia" w:ascii="黑体" w:hAnsi="黑体" w:eastAsia="黑体"/>
          <w:sz w:val="32"/>
          <w:szCs w:val="32"/>
        </w:rPr>
      </w:r>
    </w:p>
    <w:p>
      <w:pPr>
        <w:pStyle w:val="859"/>
        <w:pBdr/>
        <w:spacing w:line="540" w:lineRule="exact"/>
        <w:ind/>
        <w:rPr>
          <w:rFonts w:hint="eastAsia" w:ascii="黑体" w:hAnsi="黑体" w:eastAsia="黑体"/>
          <w:sz w:val="32"/>
          <w:szCs w:val="32"/>
        </w:rPr>
      </w:pPr>
      <w:r>
        <w:rPr>
          <w:rFonts w:hint="eastAsia" w:ascii="黑体" w:hAnsi="黑体" w:eastAsia="黑体"/>
          <w:sz w:val="32"/>
          <w:szCs w:val="32"/>
        </w:rPr>
        <w:t xml:space="preserve">第</w:t>
      </w:r>
      <w:r>
        <w:rPr>
          <w:rFonts w:hint="eastAsia" w:ascii="黑体" w:hAnsi="黑体" w:eastAsia="黑体"/>
          <w:sz w:val="32"/>
          <w:szCs w:val="32"/>
          <w:lang w:val="en-US" w:eastAsia="zh-CN"/>
        </w:rPr>
        <w:t xml:space="preserve">四</w:t>
      </w:r>
      <w:r>
        <w:rPr>
          <w:rFonts w:hint="eastAsia" w:ascii="黑体" w:hAnsi="黑体" w:eastAsia="黑体"/>
          <w:sz w:val="32"/>
          <w:szCs w:val="32"/>
        </w:rPr>
        <w:t xml:space="preserve">部分    </w:t>
      </w:r>
      <w:r>
        <w:rPr>
          <w:rFonts w:hint="eastAsia" w:ascii="黑体" w:hAnsi="黑体" w:eastAsia="黑体"/>
          <w:sz w:val="32"/>
          <w:szCs w:val="32"/>
          <w:lang w:eastAsia="zh-CN"/>
        </w:rPr>
        <w:t xml:space="preserve">2022</w:t>
      </w:r>
      <w:r>
        <w:rPr>
          <w:rFonts w:hint="eastAsia" w:ascii="黑体" w:hAnsi="黑体" w:eastAsia="黑体"/>
          <w:sz w:val="32"/>
          <w:szCs w:val="32"/>
        </w:rPr>
        <w:t xml:space="preserve">年度部门决算报表</w:t>
      </w:r>
      <w:r>
        <w:rPr>
          <w:rFonts w:hint="eastAsia" w:ascii="黑体" w:hAnsi="黑体" w:eastAsia="黑体"/>
          <w:sz w:val="32"/>
          <w:szCs w:val="32"/>
        </w:rPr>
      </w:r>
      <w:r>
        <w:rPr>
          <w:rFonts w:hint="eastAsia" w:ascii="黑体" w:hAnsi="黑体" w:eastAsia="黑体"/>
          <w:sz w:val="32"/>
          <w:szCs w:val="32"/>
        </w:rPr>
      </w:r>
    </w:p>
    <w:p>
      <w:pPr>
        <w:pStyle w:val="859"/>
        <w:pBdr/>
        <w:spacing w:line="540" w:lineRule="exact"/>
        <w:ind/>
        <w:rPr>
          <w:rFonts w:hint="eastAsia" w:ascii="仿宋_GB2312" w:hAnsi="黑体" w:eastAsia="仿宋_GB2312"/>
          <w:sz w:val="32"/>
          <w:szCs w:val="32"/>
        </w:rPr>
      </w:pPr>
      <w:r>
        <w:rPr>
          <w:rFonts w:hint="eastAsia" w:ascii="仿宋_GB2312" w:eastAsia="仿宋_GB2312"/>
          <w:sz w:val="32"/>
          <w:szCs w:val="32"/>
        </w:rPr>
        <w:t xml:space="preserve">一、</w:t>
      </w:r>
      <w:r>
        <w:rPr>
          <w:rFonts w:hint="eastAsia" w:ascii="仿宋_GB2312" w:hAnsi="仿宋" w:eastAsia="仿宋_GB2312"/>
          <w:sz w:val="32"/>
          <w:szCs w:val="32"/>
        </w:rPr>
        <w:t xml:space="preserve">收入支出决算总表</w:t>
      </w:r>
      <w:r>
        <w:rPr>
          <w:rFonts w:hint="eastAsia" w:ascii="仿宋_GB2312" w:hAnsi="黑体" w:eastAsia="仿宋_GB2312"/>
          <w:sz w:val="32"/>
          <w:szCs w:val="32"/>
        </w:rPr>
      </w:r>
      <w:r>
        <w:rPr>
          <w:rFonts w:hint="eastAsia" w:ascii="仿宋_GB2312" w:hAnsi="黑体" w:eastAsia="仿宋_GB2312"/>
          <w:sz w:val="32"/>
          <w:szCs w:val="32"/>
        </w:rPr>
      </w:r>
    </w:p>
    <w:p>
      <w:pPr>
        <w:pStyle w:val="859"/>
        <w:pBdr/>
        <w:spacing w:line="540" w:lineRule="exact"/>
        <w:ind/>
        <w:rPr>
          <w:rFonts w:hint="eastAsia" w:ascii="仿宋_GB2312" w:eastAsia="仿宋_GB2312"/>
          <w:sz w:val="32"/>
          <w:szCs w:val="32"/>
        </w:rPr>
      </w:pPr>
      <w:r>
        <w:rPr>
          <w:rFonts w:hint="eastAsia" w:ascii="仿宋_GB2312" w:eastAsia="仿宋_GB2312"/>
          <w:sz w:val="32"/>
          <w:szCs w:val="32"/>
        </w:rPr>
        <w:t xml:space="preserve">二、收入决算表</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rPr>
          <w:rFonts w:hint="eastAsia" w:ascii="仿宋_GB2312" w:eastAsia="仿宋_GB2312"/>
          <w:sz w:val="32"/>
          <w:szCs w:val="32"/>
        </w:rPr>
      </w:pPr>
      <w:r>
        <w:rPr>
          <w:rFonts w:hint="eastAsia" w:ascii="仿宋_GB2312" w:eastAsia="仿宋_GB2312"/>
          <w:sz w:val="32"/>
          <w:szCs w:val="32"/>
        </w:rPr>
        <w:t xml:space="preserve">三、支出决算表</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rPr>
          <w:rFonts w:hint="eastAsia" w:ascii="仿宋_GB2312" w:hAnsi="黑体" w:eastAsia="仿宋_GB2312"/>
          <w:sz w:val="32"/>
          <w:szCs w:val="32"/>
        </w:rPr>
      </w:pPr>
      <w:r>
        <w:rPr>
          <w:rFonts w:hint="eastAsia" w:ascii="仿宋_GB2312" w:eastAsia="仿宋_GB2312"/>
          <w:sz w:val="32"/>
          <w:szCs w:val="32"/>
        </w:rPr>
        <w:t xml:space="preserve">四、</w:t>
      </w:r>
      <w:r>
        <w:rPr>
          <w:rFonts w:hint="eastAsia" w:ascii="仿宋_GB2312" w:hAnsi="仿宋" w:eastAsia="仿宋_GB2312"/>
          <w:sz w:val="32"/>
          <w:szCs w:val="32"/>
        </w:rPr>
        <w:t xml:space="preserve">财政拨款收入支出决算表</w:t>
      </w:r>
      <w:r>
        <w:rPr>
          <w:rFonts w:hint="eastAsia" w:ascii="仿宋_GB2312" w:hAnsi="黑体" w:eastAsia="仿宋_GB2312"/>
          <w:sz w:val="32"/>
          <w:szCs w:val="32"/>
        </w:rPr>
      </w:r>
      <w:r>
        <w:rPr>
          <w:rFonts w:hint="eastAsia" w:ascii="仿宋_GB2312" w:hAnsi="黑体" w:eastAsia="仿宋_GB2312"/>
          <w:sz w:val="32"/>
          <w:szCs w:val="32"/>
        </w:rPr>
      </w:r>
    </w:p>
    <w:p>
      <w:pPr>
        <w:pStyle w:val="859"/>
        <w:pBdr/>
        <w:spacing w:line="540" w:lineRule="exact"/>
        <w:ind/>
        <w:rPr>
          <w:rFonts w:hint="eastAsia" w:ascii="仿宋_GB2312" w:eastAsia="仿宋_GB2312"/>
          <w:sz w:val="32"/>
          <w:szCs w:val="32"/>
        </w:rPr>
      </w:pPr>
      <w:r>
        <w:rPr>
          <w:rFonts w:hint="eastAsia" w:ascii="仿宋_GB2312" w:eastAsia="仿宋_GB2312"/>
          <w:sz w:val="32"/>
          <w:szCs w:val="32"/>
        </w:rPr>
        <w:t xml:space="preserve">五、一般公共预算</w:t>
      </w:r>
      <w:r>
        <w:rPr>
          <w:rFonts w:ascii="仿宋_GB2312" w:eastAsia="仿宋_GB2312"/>
          <w:sz w:val="32"/>
          <w:szCs w:val="32"/>
        </w:rPr>
        <w:t xml:space="preserve">财政拨款支出决算表</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rPr>
          <w:rFonts w:hint="eastAsia" w:ascii="仿宋_GB2312" w:eastAsia="仿宋_GB2312"/>
          <w:sz w:val="32"/>
          <w:szCs w:val="32"/>
        </w:rPr>
      </w:pPr>
      <w:r>
        <w:rPr>
          <w:rFonts w:hint="eastAsia" w:ascii="仿宋_GB2312" w:eastAsia="仿宋_GB2312"/>
          <w:sz w:val="32"/>
          <w:szCs w:val="32"/>
        </w:rPr>
        <w:t xml:space="preserve">六、一般公共预算</w:t>
      </w:r>
      <w:r>
        <w:rPr>
          <w:rFonts w:ascii="仿宋_GB2312" w:eastAsia="仿宋_GB2312"/>
          <w:sz w:val="32"/>
          <w:szCs w:val="32"/>
        </w:rPr>
        <w:t xml:space="preserve">财政拨款</w:t>
      </w:r>
      <w:r>
        <w:rPr>
          <w:rFonts w:hint="eastAsia" w:ascii="仿宋_GB2312" w:eastAsia="仿宋_GB2312"/>
          <w:sz w:val="32"/>
          <w:szCs w:val="32"/>
        </w:rPr>
        <w:t xml:space="preserve">基本支出</w:t>
      </w:r>
      <w:r>
        <w:rPr>
          <w:rFonts w:ascii="仿宋_GB2312" w:eastAsia="仿宋_GB2312"/>
          <w:sz w:val="32"/>
          <w:szCs w:val="32"/>
        </w:rPr>
        <w:t xml:space="preserve">决算表</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rPr>
          <w:rFonts w:hint="eastAsia" w:ascii="仿宋_GB2312" w:eastAsia="仿宋_GB2312"/>
          <w:sz w:val="32"/>
          <w:szCs w:val="32"/>
        </w:rPr>
      </w:pPr>
      <w:r>
        <w:rPr>
          <w:rFonts w:hint="eastAsia" w:ascii="仿宋_GB2312" w:eastAsia="仿宋_GB2312"/>
          <w:sz w:val="32"/>
          <w:szCs w:val="32"/>
        </w:rPr>
        <w:t xml:space="preserve">七、一般公共预算财政拨款“三公”经费支出决算表</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hanging="640" w:left="640"/>
        <w:rPr>
          <w:rFonts w:hint="eastAsia" w:ascii="仿宋_GB2312" w:eastAsia="仿宋_GB2312"/>
          <w:sz w:val="32"/>
          <w:szCs w:val="32"/>
        </w:rPr>
      </w:pPr>
      <w:r>
        <w:rPr>
          <w:rFonts w:hint="eastAsia" w:ascii="仿宋_GB2312" w:eastAsia="仿宋_GB2312"/>
          <w:sz w:val="32"/>
          <w:szCs w:val="32"/>
        </w:rPr>
        <w:t xml:space="preserve">八、</w:t>
      </w:r>
      <w:r>
        <w:rPr>
          <w:rFonts w:ascii="仿宋_GB2312" w:eastAsia="仿宋_GB2312"/>
          <w:sz w:val="32"/>
          <w:szCs w:val="32"/>
        </w:rPr>
        <w:t xml:space="preserve">政府性基金预算财政拨款</w:t>
      </w:r>
      <w:r>
        <w:rPr>
          <w:rFonts w:hint="eastAsia" w:ascii="仿宋_GB2312" w:eastAsia="仿宋_GB2312"/>
          <w:sz w:val="32"/>
          <w:szCs w:val="32"/>
          <w:lang w:eastAsia="zh-CN"/>
        </w:rPr>
        <w:t xml:space="preserve">收入</w:t>
      </w:r>
      <w:r>
        <w:rPr>
          <w:rFonts w:ascii="仿宋_GB2312" w:eastAsia="仿宋_GB2312"/>
          <w:sz w:val="32"/>
          <w:szCs w:val="32"/>
        </w:rPr>
        <w:t xml:space="preserve">支出决算表</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hanging="640" w:left="64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九、国有资本经营预算财政拨款支出决算表</w:t>
      </w:r>
      <w:r>
        <w:rPr>
          <w:rFonts w:hint="eastAsia" w:ascii="仿宋_GB2312" w:eastAsia="仿宋_GB2312"/>
          <w:sz w:val="32"/>
          <w:szCs w:val="32"/>
          <w:lang w:val="en-US" w:eastAsia="zh-CN"/>
        </w:rPr>
      </w:r>
      <w:r>
        <w:rPr>
          <w:rFonts w:hint="eastAsia" w:ascii="仿宋_GB2312" w:eastAsia="仿宋_GB2312"/>
          <w:sz w:val="32"/>
          <w:szCs w:val="32"/>
          <w:lang w:val="en-US" w:eastAsia="zh-CN"/>
        </w:rPr>
      </w:r>
    </w:p>
    <w:p>
      <w:pPr>
        <w:pStyle w:val="859"/>
        <w:pBdr/>
        <w:spacing w:line="540" w:lineRule="exact"/>
        <w:ind/>
        <w:rPr>
          <w:rFonts w:hint="eastAsia" w:ascii="黑体" w:hAnsi="黑体" w:eastAsia="黑体"/>
          <w:b/>
          <w:sz w:val="44"/>
          <w:szCs w:val="44"/>
          <w:u w:val="single"/>
        </w:rPr>
      </w:pPr>
      <w:r>
        <w:rPr>
          <w:rFonts w:hint="eastAsia" w:ascii="黑体" w:hAnsi="黑体" w:eastAsia="黑体"/>
          <w:sz w:val="32"/>
          <w:szCs w:val="32"/>
        </w:rPr>
        <w:t xml:space="preserve">第</w:t>
      </w:r>
      <w:r>
        <w:rPr>
          <w:rFonts w:hint="eastAsia" w:ascii="黑体" w:hAnsi="黑体" w:eastAsia="黑体"/>
          <w:sz w:val="32"/>
          <w:szCs w:val="32"/>
          <w:lang w:val="en-US" w:eastAsia="zh-CN"/>
        </w:rPr>
        <w:t xml:space="preserve">五</w:t>
      </w:r>
      <w:r>
        <w:rPr>
          <w:rFonts w:hint="eastAsia" w:ascii="黑体" w:hAnsi="黑体" w:eastAsia="黑体"/>
          <w:sz w:val="32"/>
          <w:szCs w:val="32"/>
        </w:rPr>
        <w:t xml:space="preserve">部分    </w:t>
      </w:r>
      <w:r>
        <w:rPr>
          <w:rFonts w:hint="eastAsia" w:ascii="黑体" w:hAnsi="黑体" w:eastAsia="黑体"/>
          <w:sz w:val="32"/>
          <w:szCs w:val="32"/>
          <w:lang w:eastAsia="zh-CN"/>
        </w:rPr>
        <w:t xml:space="preserve">附件</w:t>
      </w:r>
      <w:r>
        <w:rPr>
          <w:rFonts w:hint="eastAsia" w:ascii="黑体" w:hAnsi="黑体" w:eastAsia="黑体"/>
          <w:b/>
          <w:sz w:val="44"/>
          <w:szCs w:val="44"/>
          <w:u w:val="single"/>
        </w:rPr>
      </w:r>
      <w:r>
        <w:rPr>
          <w:rFonts w:hint="eastAsia" w:ascii="黑体" w:hAnsi="黑体" w:eastAsia="黑体"/>
          <w:b/>
          <w:sz w:val="44"/>
          <w:szCs w:val="44"/>
          <w:u w:val="single"/>
        </w:rPr>
      </w:r>
    </w:p>
    <w:p>
      <w:pPr>
        <w:pStyle w:val="859"/>
        <w:pBdr/>
        <w:spacing w:line="540" w:lineRule="exact"/>
        <w:ind/>
        <w:jc w:val="center"/>
        <w:rPr>
          <w:rFonts w:hint="eastAsia" w:ascii="宋体" w:hAnsi="宋体"/>
          <w:b/>
          <w:sz w:val="36"/>
          <w:szCs w:val="36"/>
        </w:rPr>
      </w:pPr>
      <w:r>
        <w:rPr>
          <w:rFonts w:hint="eastAsia"/>
          <w:b/>
          <w:sz w:val="44"/>
          <w:szCs w:val="44"/>
          <w:u w:val="single"/>
        </w:rPr>
        <w:br w:type="page" w:clear="all"/>
      </w:r>
      <w:r>
        <w:rPr>
          <w:rFonts w:hint="eastAsia" w:ascii="宋体" w:hAnsi="宋体"/>
          <w:b/>
          <w:sz w:val="36"/>
          <w:szCs w:val="36"/>
        </w:rPr>
        <w:t xml:space="preserve">第一部分 </w:t>
      </w:r>
      <w:r>
        <w:rPr>
          <w:rFonts w:hint="eastAsia" w:ascii="宋体" w:hAnsi="宋体"/>
          <w:b/>
          <w:sz w:val="36"/>
          <w:szCs w:val="36"/>
          <w:lang w:eastAsia="zh-CN"/>
        </w:rPr>
        <w:t xml:space="preserve">部门</w:t>
      </w:r>
      <w:r>
        <w:rPr>
          <w:rFonts w:hint="eastAsia" w:ascii="宋体" w:hAnsi="宋体"/>
          <w:b/>
          <w:sz w:val="36"/>
          <w:szCs w:val="36"/>
        </w:rPr>
        <w:t xml:space="preserve">概况</w:t>
      </w:r>
      <w:r>
        <w:rPr>
          <w:rFonts w:hint="eastAsia" w:ascii="宋体" w:hAnsi="宋体"/>
          <w:b/>
          <w:sz w:val="36"/>
          <w:szCs w:val="36"/>
        </w:rPr>
      </w:r>
      <w:r>
        <w:rPr>
          <w:rFonts w:hint="eastAsia" w:ascii="宋体" w:hAnsi="宋体"/>
          <w:b/>
          <w:sz w:val="36"/>
          <w:szCs w:val="36"/>
        </w:rPr>
      </w:r>
    </w:p>
    <w:p>
      <w:pPr>
        <w:pStyle w:val="859"/>
        <w:pBdr/>
        <w:spacing w:line="540" w:lineRule="exact"/>
        <w:ind w:firstLine="640"/>
        <w:jc w:val="left"/>
        <w:rPr>
          <w:rFonts w:hint="eastAsia" w:ascii="黑体" w:eastAsia="黑体"/>
          <w:sz w:val="32"/>
          <w:szCs w:val="32"/>
        </w:rPr>
      </w:pPr>
      <w:r>
        <w:rPr>
          <w:rFonts w:hint="eastAsia" w:ascii="黑体" w:eastAsia="黑体"/>
          <w:sz w:val="32"/>
          <w:szCs w:val="32"/>
        </w:rPr>
      </w:r>
      <w:r>
        <w:rPr>
          <w:rFonts w:hint="eastAsia" w:ascii="黑体" w:eastAsia="黑体"/>
          <w:sz w:val="32"/>
          <w:szCs w:val="32"/>
        </w:rPr>
      </w:r>
    </w:p>
    <w:p>
      <w:pPr>
        <w:pStyle w:val="859"/>
        <w:pBdr/>
        <w:spacing w:line="540" w:lineRule="exact"/>
        <w:ind w:firstLine="640"/>
        <w:jc w:val="left"/>
        <w:rPr>
          <w:rFonts w:hint="eastAsia" w:ascii="黑体" w:eastAsia="黑体"/>
          <w:sz w:val="32"/>
          <w:szCs w:val="32"/>
        </w:rPr>
      </w:pPr>
      <w:r>
        <w:rPr>
          <w:rFonts w:hint="eastAsia" w:ascii="黑体" w:eastAsia="黑体"/>
          <w:sz w:val="32"/>
          <w:szCs w:val="32"/>
        </w:rPr>
        <w:t xml:space="preserve">一、主要职责</w:t>
      </w:r>
      <w:r>
        <w:rPr>
          <w:rFonts w:hint="eastAsia" w:ascii="黑体" w:eastAsia="黑体"/>
          <w:sz w:val="32"/>
          <w:szCs w:val="32"/>
        </w:rPr>
      </w:r>
      <w:r>
        <w:rPr>
          <w:rFonts w:hint="eastAsia" w:ascii="黑体" w:eastAsia="黑体"/>
          <w:sz w:val="32"/>
          <w:szCs w:val="32"/>
        </w:rPr>
      </w:r>
    </w:p>
    <w:p>
      <w:pPr>
        <w:pStyle w:val="870"/>
        <w:pBdr/>
        <w:tabs>
          <w:tab w:val="left" w:leader="none" w:pos="1376"/>
        </w:tabs>
        <w:spacing w:line="536" w:lineRule="exact"/>
        <w:ind w:firstLine="680"/>
        <w:rPr>
          <w:rFonts w:hint="eastAsia" w:ascii="仿宋_GB2312" w:eastAsia="仿宋_GB2312" w:cs="Times New Roman"/>
          <w:color w:val="000000"/>
          <w:sz w:val="32"/>
          <w:szCs w:val="32"/>
          <w:lang w:val="en-US" w:eastAsia="zh-CN" w:bidi="ar-SA"/>
        </w:rPr>
      </w:pPr>
      <w:r/>
      <w:bookmarkStart w:id="0" w:name="bookmark10"/>
      <w:r>
        <w:rPr>
          <w:color w:val="353335"/>
        </w:rPr>
        <w:t xml:space="preserve">（</w:t>
      </w:r>
      <w:bookmarkEnd w:id="0"/>
      <w:r>
        <w:rPr>
          <w:rFonts w:hint="eastAsia" w:ascii="仿宋_GB2312" w:eastAsia="仿宋_GB2312" w:cs="Times New Roman"/>
          <w:color w:val="000000"/>
          <w:sz w:val="32"/>
          <w:szCs w:val="32"/>
          <w:lang w:val="en-US" w:eastAsia="zh-CN" w:bidi="ar-SA"/>
        </w:rPr>
        <w:t xml:space="preserve">一）履行全民所有土地、矿产、森林、草原、湿地、水 等自然资源资产所有者职责和所有国土空间用途管制职责。 组织实施国家自然资源和国土空间规划及测绘等法律、法规, 拟订相关管理政策并贯彻实施。</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tabs>
          <w:tab w:val="left" w:leader="none" w:pos="1390"/>
        </w:tabs>
        <w:spacing w:line="536" w:lineRule="exact"/>
        <w:ind w:firstLine="680"/>
        <w:rPr>
          <w:rFonts w:hint="eastAsia" w:ascii="仿宋_GB2312" w:eastAsia="仿宋_GB2312" w:cs="Times New Roman"/>
          <w:color w:val="000000"/>
          <w:sz w:val="32"/>
          <w:szCs w:val="32"/>
          <w:lang w:val="en-US" w:eastAsia="zh-CN" w:bidi="ar-SA"/>
        </w:rPr>
      </w:pPr>
      <w:r/>
      <w:bookmarkStart w:id="1" w:name="bookmark11"/>
      <w:r>
        <w:rPr>
          <w:rFonts w:hint="eastAsia" w:ascii="仿宋_GB2312" w:eastAsia="仿宋_GB2312" w:cs="Times New Roman"/>
          <w:color w:val="000000"/>
          <w:sz w:val="32"/>
          <w:szCs w:val="32"/>
          <w:lang w:val="en-US" w:eastAsia="zh-CN" w:bidi="ar-SA"/>
        </w:rPr>
        <w:t xml:space="preserve">（</w:t>
      </w:r>
      <w:bookmarkEnd w:id="1"/>
      <w:r>
        <w:rPr>
          <w:rFonts w:hint="eastAsia" w:ascii="仿宋_GB2312" w:eastAsia="仿宋_GB2312" w:cs="Times New Roman"/>
          <w:color w:val="000000"/>
          <w:sz w:val="32"/>
          <w:szCs w:val="32"/>
          <w:lang w:val="en-US" w:eastAsia="zh-CN" w:bidi="ar-SA"/>
        </w:rPr>
        <w:t xml:space="preserve">二）</w:t>
      </w:r>
      <w:r>
        <w:rPr>
          <w:rFonts w:hint="eastAsia" w:ascii="仿宋_GB2312" w:eastAsia="仿宋_GB2312" w:cs="Times New Roman"/>
          <w:color w:val="000000"/>
          <w:sz w:val="32"/>
          <w:szCs w:val="32"/>
          <w:lang w:val="en-US" w:eastAsia="zh-CN" w:bidi="ar-SA"/>
        </w:rPr>
        <w:tab/>
      </w:r>
      <w:r>
        <w:rPr>
          <w:rFonts w:hint="eastAsia" w:ascii="仿宋_GB2312" w:eastAsia="仿宋_GB2312" w:cs="Times New Roman"/>
          <w:color w:val="000000"/>
          <w:sz w:val="32"/>
          <w:szCs w:val="32"/>
          <w:lang w:val="en-US" w:eastAsia="zh-CN" w:bidi="ar-SA"/>
        </w:rPr>
        <w:t xml:space="preserve">负责自然资源调查监测评价。贯彻执行自然资源调 查监测评价的指标体系和统计标准，建立统一规范的自然资 源调查监测评价制度。实施自然资源基础调查、专项调查和 监测。负责自然资源调查监测评价成果的监督管理和信息发 布。指导各县（市）自然资源调查监测评价工作。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tabs>
          <w:tab w:val="left" w:leader="none" w:pos="1376"/>
        </w:tabs>
        <w:spacing w:line="536" w:lineRule="exact"/>
        <w:ind w:firstLine="680"/>
        <w:rPr>
          <w:rFonts w:hint="eastAsia" w:ascii="仿宋_GB2312" w:eastAsia="仿宋_GB2312" w:cs="Times New Roman"/>
          <w:color w:val="000000"/>
          <w:sz w:val="32"/>
          <w:szCs w:val="32"/>
          <w:lang w:val="en-US" w:eastAsia="zh-CN" w:bidi="ar-SA"/>
        </w:rPr>
      </w:pPr>
      <w:r/>
      <w:bookmarkStart w:id="2" w:name="bookmark12"/>
      <w:r>
        <w:rPr>
          <w:rFonts w:hint="eastAsia" w:ascii="仿宋_GB2312" w:eastAsia="仿宋_GB2312" w:cs="Times New Roman"/>
          <w:color w:val="000000"/>
          <w:sz w:val="32"/>
          <w:szCs w:val="32"/>
          <w:lang w:val="en-US" w:eastAsia="zh-CN" w:bidi="ar-SA"/>
        </w:rPr>
        <w:t xml:space="preserve">（</w:t>
      </w:r>
      <w:bookmarkEnd w:id="2"/>
      <w:r>
        <w:rPr>
          <w:rFonts w:hint="eastAsia" w:ascii="仿宋_GB2312" w:eastAsia="仿宋_GB2312" w:cs="Times New Roman"/>
          <w:color w:val="000000"/>
          <w:sz w:val="32"/>
          <w:szCs w:val="32"/>
          <w:lang w:val="en-US" w:eastAsia="zh-CN" w:bidi="ar-SA"/>
        </w:rPr>
        <w:t xml:space="preserve">三）</w:t>
      </w:r>
      <w:r>
        <w:rPr>
          <w:rFonts w:hint="eastAsia" w:ascii="仿宋_GB2312" w:eastAsia="仿宋_GB2312" w:cs="Times New Roman"/>
          <w:color w:val="000000"/>
          <w:sz w:val="32"/>
          <w:szCs w:val="32"/>
          <w:lang w:val="en-US" w:eastAsia="zh-CN" w:bidi="ar-SA"/>
        </w:rPr>
        <w:tab/>
      </w:r>
      <w:r>
        <w:rPr>
          <w:rFonts w:hint="eastAsia" w:ascii="仿宋_GB2312" w:eastAsia="仿宋_GB2312" w:cs="Times New Roman"/>
          <w:color w:val="000000"/>
          <w:sz w:val="32"/>
          <w:szCs w:val="32"/>
          <w:lang w:val="en-US" w:eastAsia="zh-CN" w:bidi="ar-SA"/>
        </w:rPr>
        <w:t xml:space="preserve">负责自然资源统一确权登记工作。制定各类自然资 源和不动产统一确权登记、权籍调查、不动产测绘、争议调 处、成果应用的制度、标准、规范。推进自然资源和不动产 登记信息管理基础平台建设。负责自然资源和不动产登记资 料收集、整理、共享、汇交管理等。指导各县（市）自然资 源和不动产确权登记工作。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tabs>
          <w:tab w:val="left" w:leader="none" w:pos="1316"/>
        </w:tabs>
        <w:spacing w:line="537" w:lineRule="exact"/>
        <w:ind w:firstLine="700"/>
        <w:rPr>
          <w:rFonts w:hint="eastAsia" w:ascii="仿宋_GB2312" w:eastAsia="仿宋_GB2312" w:cs="Times New Roman"/>
          <w:color w:val="000000"/>
          <w:sz w:val="32"/>
          <w:szCs w:val="32"/>
          <w:lang w:val="en-US" w:eastAsia="zh-CN" w:bidi="ar-SA"/>
        </w:rPr>
      </w:pPr>
      <w:r/>
      <w:bookmarkStart w:id="3" w:name="bookmark13"/>
      <w:r>
        <w:rPr>
          <w:rFonts w:hint="eastAsia" w:ascii="仿宋_GB2312" w:eastAsia="仿宋_GB2312" w:cs="Times New Roman"/>
          <w:color w:val="000000"/>
          <w:sz w:val="32"/>
          <w:szCs w:val="32"/>
          <w:lang w:val="en-US" w:eastAsia="zh-CN" w:bidi="ar-SA"/>
        </w:rPr>
        <w:t xml:space="preserve">（</w:t>
      </w:r>
      <w:bookmarkEnd w:id="3"/>
      <w:r>
        <w:rPr>
          <w:rFonts w:hint="eastAsia" w:ascii="仿宋_GB2312" w:eastAsia="仿宋_GB2312" w:cs="Times New Roman"/>
          <w:color w:val="000000"/>
          <w:sz w:val="32"/>
          <w:szCs w:val="32"/>
          <w:lang w:val="en-US" w:eastAsia="zh-CN" w:bidi="ar-SA"/>
        </w:rPr>
        <w:t xml:space="preserve">四）</w:t>
      </w:r>
      <w:r>
        <w:rPr>
          <w:rFonts w:hint="eastAsia" w:ascii="仿宋_GB2312" w:eastAsia="仿宋_GB2312" w:cs="Times New Roman"/>
          <w:color w:val="000000"/>
          <w:sz w:val="32"/>
          <w:szCs w:val="32"/>
          <w:lang w:val="en-US" w:eastAsia="zh-CN" w:bidi="ar-SA"/>
        </w:rPr>
        <w:tab/>
      </w:r>
      <w:r>
        <w:rPr>
          <w:rFonts w:hint="eastAsia" w:ascii="仿宋_GB2312" w:eastAsia="仿宋_GB2312" w:cs="Times New Roman"/>
          <w:color w:val="000000"/>
          <w:sz w:val="32"/>
          <w:szCs w:val="32"/>
          <w:lang w:val="en-US" w:eastAsia="zh-CN" w:bidi="ar-SA"/>
        </w:rPr>
        <w:t xml:space="preserve">负责自然资源资产有偿使用工作。贯彻执行国家全 民所有自然资源资产统计制度，负责全市全民所有自然资源 资产核算。编制全民所有自然资源资产负债表，衩订考核标 准。制定全民所有自然资源资产划拨、出让、租赁、作价出 资和土地储备政策，合理配置全民所有自然资源资产。负责自 然资源资产价值评估管理，依法收缴相关资产收益。</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tabs>
          <w:tab w:val="left" w:leader="none" w:pos="1321"/>
        </w:tabs>
        <w:spacing w:line="537" w:lineRule="exact"/>
        <w:ind w:firstLine="700"/>
        <w:rPr>
          <w:rFonts w:hint="eastAsia" w:ascii="仿宋_GB2312" w:eastAsia="仿宋_GB2312" w:cs="Times New Roman"/>
          <w:color w:val="000000"/>
          <w:sz w:val="32"/>
          <w:szCs w:val="32"/>
          <w:lang w:val="en-US" w:eastAsia="zh-CN" w:bidi="ar-SA"/>
        </w:rPr>
      </w:pPr>
      <w:r/>
      <w:bookmarkStart w:id="4" w:name="bookmark14"/>
      <w:r>
        <w:rPr>
          <w:rFonts w:hint="eastAsia" w:ascii="仿宋_GB2312" w:eastAsia="仿宋_GB2312" w:cs="Times New Roman"/>
          <w:color w:val="000000"/>
          <w:sz w:val="32"/>
          <w:szCs w:val="32"/>
          <w:lang w:val="en-US" w:eastAsia="zh-CN" w:bidi="ar-SA"/>
        </w:rPr>
        <w:t xml:space="preserve">（</w:t>
      </w:r>
      <w:bookmarkEnd w:id="4"/>
      <w:r>
        <w:rPr>
          <w:rFonts w:hint="eastAsia" w:ascii="仿宋_GB2312" w:eastAsia="仿宋_GB2312" w:cs="Times New Roman"/>
          <w:color w:val="000000"/>
          <w:sz w:val="32"/>
          <w:szCs w:val="32"/>
          <w:lang w:val="en-US" w:eastAsia="zh-CN" w:bidi="ar-SA"/>
        </w:rPr>
        <w:t xml:space="preserve">五）</w:t>
      </w:r>
      <w:r>
        <w:rPr>
          <w:rFonts w:hint="eastAsia" w:ascii="仿宋_GB2312" w:eastAsia="仿宋_GB2312" w:cs="Times New Roman"/>
          <w:color w:val="000000"/>
          <w:sz w:val="32"/>
          <w:szCs w:val="32"/>
          <w:lang w:val="en-US" w:eastAsia="zh-CN" w:bidi="ar-SA"/>
        </w:rPr>
        <w:tab/>
      </w:r>
      <w:r>
        <w:rPr>
          <w:rFonts w:hint="eastAsia" w:ascii="仿宋_GB2312" w:eastAsia="仿宋_GB2312" w:cs="Times New Roman"/>
          <w:color w:val="000000"/>
          <w:sz w:val="32"/>
          <w:szCs w:val="32"/>
          <w:lang w:val="en-US" w:eastAsia="zh-CN" w:bidi="ar-SA"/>
        </w:rPr>
        <w:t xml:space="preserve">负责自然资源的合理开发利用。贯彻执行自然资源 发展规划和战略，组织实施自然资源开发利用标准，建立政府 公示自然资源价格体系，组织开展自然资源分等定级价格评 估，开展自然资源利用评价考核和节约集约利用工作。负责 自然资源市场监管。组织研究自然资源管理涉及宏观调控、 区域协调和城乡统筹的政策措施。</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tabs>
          <w:tab w:val="left" w:leader="none" w:pos="1326"/>
        </w:tabs>
        <w:spacing w:line="537" w:lineRule="exact"/>
        <w:ind w:firstLine="700"/>
        <w:rPr>
          <w:rFonts w:hint="eastAsia" w:ascii="仿宋_GB2312" w:eastAsia="仿宋_GB2312" w:cs="Times New Roman"/>
          <w:color w:val="000000"/>
          <w:sz w:val="32"/>
          <w:szCs w:val="32"/>
          <w:lang w:val="en-US" w:eastAsia="zh-CN" w:bidi="ar-SA"/>
        </w:rPr>
      </w:pPr>
      <w:r/>
      <w:bookmarkStart w:id="5" w:name="bookmark15"/>
      <w:r>
        <w:rPr>
          <w:rFonts w:hint="eastAsia" w:ascii="仿宋_GB2312" w:eastAsia="仿宋_GB2312" w:cs="Times New Roman"/>
          <w:color w:val="000000"/>
          <w:sz w:val="32"/>
          <w:szCs w:val="32"/>
          <w:lang w:val="en-US" w:eastAsia="zh-CN" w:bidi="ar-SA"/>
        </w:rPr>
        <w:t xml:space="preserve">（</w:t>
      </w:r>
      <w:bookmarkEnd w:id="5"/>
      <w:r>
        <w:rPr>
          <w:rFonts w:hint="eastAsia" w:ascii="仿宋_GB2312" w:eastAsia="仿宋_GB2312" w:cs="Times New Roman"/>
          <w:color w:val="000000"/>
          <w:sz w:val="32"/>
          <w:szCs w:val="32"/>
          <w:lang w:val="en-US" w:eastAsia="zh-CN" w:bidi="ar-SA"/>
        </w:rPr>
        <w:t xml:space="preserve">六）</w:t>
      </w:r>
      <w:r>
        <w:rPr>
          <w:rFonts w:hint="eastAsia" w:ascii="仿宋_GB2312" w:eastAsia="仿宋_GB2312" w:cs="Times New Roman"/>
          <w:color w:val="000000"/>
          <w:sz w:val="32"/>
          <w:szCs w:val="32"/>
          <w:lang w:val="en-US" w:eastAsia="zh-CN" w:bidi="ar-SA"/>
        </w:rPr>
        <w:tab/>
      </w:r>
      <w:r>
        <w:rPr>
          <w:rFonts w:hint="eastAsia" w:ascii="仿宋_GB2312" w:eastAsia="仿宋_GB2312" w:cs="Times New Roman"/>
          <w:color w:val="000000"/>
          <w:sz w:val="32"/>
          <w:szCs w:val="32"/>
          <w:lang w:val="en-US" w:eastAsia="zh-CN" w:bidi="ar-SA"/>
        </w:rPr>
        <w:t xml:space="preserve">负责建立空间规划体系并监督实施。组织编制主体 功能区规划职责。推进落实主体功能区战略，组织编制并监督 实施国土空间规划和相关专项规划。开展国土空间开发适宜 性评价，建立国土空间规划实施监测、评估和预警体系。组织 划定生态保护红线、永久基本农田、城镇开发边界等控制线, 构建节约资源和保护环境的生产、生活、生态空间布局。贯 彻落实国土空间用途管制制度，研究拟订城乡规划政策并监 督实施。组织拟订并实施土地等自然资源年度利用计划。承 担需报国务院、省政府、市政府批准的土地转用、征收征用 的相关工作。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tabs>
          <w:tab w:val="left" w:leader="none" w:pos="1613"/>
        </w:tabs>
        <w:spacing w:line="537" w:lineRule="exact"/>
        <w:ind w:firstLine="740"/>
        <w:rPr>
          <w:rFonts w:hint="eastAsia" w:ascii="仿宋_GB2312" w:eastAsia="仿宋_GB2312" w:cs="Times New Roman"/>
          <w:color w:val="000000"/>
          <w:sz w:val="32"/>
          <w:szCs w:val="32"/>
          <w:lang w:val="en-US" w:eastAsia="zh-CN" w:bidi="ar-SA"/>
        </w:rPr>
      </w:pPr>
      <w:r/>
      <w:bookmarkStart w:id="6" w:name="bookmark16"/>
      <w:r>
        <w:rPr>
          <w:rFonts w:hint="eastAsia" w:ascii="仿宋_GB2312" w:eastAsia="仿宋_GB2312" w:cs="Times New Roman"/>
          <w:color w:val="000000"/>
          <w:sz w:val="32"/>
          <w:szCs w:val="32"/>
          <w:lang w:val="en-US" w:eastAsia="zh-CN" w:bidi="ar-SA"/>
        </w:rPr>
        <w:t xml:space="preserve">（</w:t>
      </w:r>
      <w:bookmarkEnd w:id="6"/>
      <w:r>
        <w:rPr>
          <w:rFonts w:hint="eastAsia" w:ascii="仿宋_GB2312" w:eastAsia="仿宋_GB2312" w:cs="Times New Roman"/>
          <w:color w:val="000000"/>
          <w:sz w:val="32"/>
          <w:szCs w:val="32"/>
          <w:lang w:val="en-US" w:eastAsia="zh-CN" w:bidi="ar-SA"/>
        </w:rPr>
        <w:t xml:space="preserve">七）负责统筹国土空间生态修复。牵头组织编制国土 空间生态修复规划并实施有关生态修复重大工程。负责国土 空间综合整治、土地整理复垦、矿山地质环境恢复治理等工 作。牵头实施生态保护补偿制度，制定合理利用社会资金进行 生态修复的政策措施，提岀重大备选项目。</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tabs>
          <w:tab w:val="left" w:leader="none" w:pos="1613"/>
        </w:tabs>
        <w:spacing w:line="537"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w:t>
      </w:r>
      <w:r>
        <w:rPr>
          <w:rFonts w:hint="eastAsia" w:ascii="仿宋_GB2312" w:eastAsia="仿宋_GB2312" w:cs="Times New Roman"/>
          <w:color w:val="000000"/>
          <w:sz w:val="32"/>
          <w:szCs w:val="32"/>
          <w:lang w:val="en-US" w:eastAsia="zh-CN" w:bidi="ar-SA"/>
        </w:rPr>
        <w:t xml:space="preserve">八</w:t>
      </w:r>
      <w:r>
        <w:rPr>
          <w:rFonts w:ascii="仿宋_GB2312" w:eastAsia="仿宋_GB2312" w:cs="Times New Roman"/>
          <w:color w:val="000000"/>
          <w:sz w:val="32"/>
          <w:szCs w:val="32"/>
          <w:lang w:val="en-US" w:eastAsia="zh-CN" w:bidi="ar-SA"/>
        </w:rPr>
        <w:t xml:space="preserve">）</w:t>
      </w:r>
      <w:r>
        <w:rPr>
          <w:rFonts w:hint="eastAsia" w:ascii="仿宋_GB2312" w:eastAsia="仿宋_GB2312" w:cs="Times New Roman"/>
          <w:color w:val="000000"/>
          <w:sz w:val="32"/>
          <w:szCs w:val="32"/>
          <w:lang w:val="en-US" w:eastAsia="zh-CN" w:bidi="ar-SA"/>
        </w:rPr>
        <w:t xml:space="preserve">负责组织实施最严格的耕地保护制度。牵头拟订 并实施耕地保护政策，负责耕地数量、质量、生态保护。组织 实施耕地保护责任目标考核和永久基本农田特殊保护。落实 耕地占补平衡制度，监督占用耕地补偿制度执行情况。</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tabs>
          <w:tab w:val="left" w:leader="none" w:pos="1613"/>
        </w:tabs>
        <w:spacing w:line="537"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w:t>
      </w:r>
      <w:r>
        <w:rPr>
          <w:rFonts w:hint="eastAsia" w:ascii="仿宋_GB2312" w:eastAsia="仿宋_GB2312" w:cs="Times New Roman"/>
          <w:color w:val="000000"/>
          <w:sz w:val="32"/>
          <w:szCs w:val="32"/>
          <w:lang w:val="en-US" w:eastAsia="zh-CN" w:bidi="ar-SA"/>
        </w:rPr>
        <w:t xml:space="preserve">九）负责管理地质勘查行业和地质工作。组织实施全 市地质调查评价、矿产资源勘查，编制地质勘查规划，管理市 级地质勘查项目，组织实施市级重大地质勘查专项。负责地质 灾害预防和治理，监督管理地下水过量开采及引发的地面沉 降等地质问题。负责古生物化石的监督管理。</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37"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（十）负责矿产资源管理工作。负责矿产地储备、压覆矿 产资源管理。负责矿业权管理。会同有关部门承担保护性开 釆的特定矿种、优势矿产的调控及相关管理工作。监督指导 矿产资源合理利用和保护。</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04" w:lineRule="exact"/>
        <w:ind w:firstLine="740"/>
        <w:rPr>
          <w:rFonts w:hint="eastAsia" w:ascii="仿宋_GB2312" w:eastAsia="仿宋_GB2312" w:cs="Times New Roman"/>
          <w:color w:val="000000"/>
          <w:sz w:val="32"/>
          <w:szCs w:val="32"/>
          <w:lang w:val="en-US" w:eastAsia="zh-CN" w:bidi="ar-SA"/>
        </w:rPr>
        <w:sectPr>
          <w:footerReference w:type="default" r:id="rId9"/>
          <w:footerReference w:type="even" r:id="rId10"/>
          <w:footerReference w:type="first" r:id="rId11"/>
          <w:footnotePr/>
          <w:endnotePr/>
          <w:type w:val="nextPage"/>
          <w:pgSz w:h="16840" w:orient="landscape" w:w="11900"/>
          <w:pgMar w:top="2137" w:right="1648" w:bottom="2114" w:left="1838" w:header="0" w:footer="3" w:gutter="0"/>
          <w:pgNumType w:start="1"/>
          <w:cols w:num="1" w:sep="0" w:space="1701" w:equalWidth="1"/>
          <w:titlePg/>
        </w:sectPr>
      </w:pPr>
      <w:r>
        <w:rPr>
          <w:rFonts w:hint="eastAsia" w:ascii="仿宋_GB2312" w:eastAsia="仿宋_GB2312" w:cs="Times New Roman"/>
          <w:color w:val="000000"/>
          <w:sz w:val="32"/>
          <w:szCs w:val="32"/>
          <w:lang w:val="en-US" w:eastAsia="zh-CN" w:bidi="ar-SA"/>
        </w:rPr>
        <w:t xml:space="preserve">（十一）负责林业和草原及其生态保护修复的监督管理。拟 订林业和草原及其生态保护修复的政策、规划、标准并组织实施，起草相关地方性法规和市政府规章草案。组织开展森林、草原、湿地、荒漠和陆生野生动植物资源动态监测与评价。</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38"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（十二）组织林业和草原生态保护修复和造林绿化工作。 组织实施林业和草原重点生态保护修复工程，指导公益林和 商品林的培育，指导、监督全民义务植树、城乡绿化工作。指 导林业和草原有害生物防治、检疫工作。承担林业和草原应 对气候变化的相关工作。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38"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（十三）负责森林、草原、湿地资源的监督管理。组织编制并监督执行全市森林采伐限额.负责林地管理，拟订林地保护利用规划并组织实施，指导市级公益林划定和管理工作，管理 国有森林资源。负责草原禁牧、草畜平衡和草原生态修复治理工作，监督管理草原的开发利用</w:t>
      </w:r>
      <w:r>
        <w:rPr>
          <w:rFonts w:hint="eastAsia" w:ascii="仿宋_GB2312" w:eastAsia="仿宋_GB2312" w:cs="Times New Roman"/>
          <w:color w:val="000000"/>
          <w:sz w:val="32"/>
          <w:szCs w:val="32"/>
          <w:lang w:val="zh-CN" w:eastAsia="zh-CN" w:bidi="ar-SA"/>
        </w:rPr>
        <w:t xml:space="preserve">。负</w:t>
      </w:r>
      <w:r>
        <w:rPr>
          <w:rFonts w:hint="eastAsia" w:ascii="仿宋_GB2312" w:eastAsia="仿宋_GB2312" w:cs="Times New Roman"/>
          <w:color w:val="000000"/>
          <w:sz w:val="32"/>
          <w:szCs w:val="32"/>
          <w:lang w:val="en-US" w:eastAsia="zh-CN" w:bidi="ar-SA"/>
        </w:rPr>
        <w:t xml:space="preserve">责湿地生态保护修复工作, 拟订湿地保护规划和相关标准，监督管理湿地的开发利用。</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38"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（十四）负责监督管理荒漠化防治工作。组织开展荒漠调 查，组织拟订防沙治沙、荒漠化防治及沙化土地封禁保护区建 设规划，监督管理沙化土地的开发利用，组织沙尘暴灾害预测 预报和应急处置。</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38"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（十五）负责陆生野生动植物资源监督管理。组织开展陆 生野生动植物资源调查，建立完善本市陆生野生动物、野生植 物名录，指导陆生野生动植物的救护繁育、栖息地恢复发展、 疫源疫病监测，监督管理陆生野生动植物猎捕或采集、人工繁 育或培植、经营利用，按分工监督管理野生动植物进出口。</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38"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（十六）负责监督管理各类自然保护地。拟订各类自然保 护地规划。提出新建、调整市级自然保护地的审核建议并按 程序报批，组织做好世界自然遗产项目和世界自然与文化双 重遗产项目相关工作。负责林业生物多样性保护相关工作。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39"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（十七）负责推进林业和草原改革相关工作。拟订全市集 体林权制度、国有林场、草原等重大改革意见并监督</w:t>
      </w:r>
      <w:r>
        <w:rPr>
          <w:rFonts w:hint="eastAsia" w:ascii="仿宋_GB2312" w:eastAsia="仿宋_GB2312" w:cs="Times New Roman"/>
          <w:color w:val="000000"/>
          <w:sz w:val="32"/>
          <w:szCs w:val="32"/>
          <w:lang w:val="zh-CN" w:eastAsia="zh-CN" w:bidi="ar-SA"/>
        </w:rPr>
        <w:t xml:space="preserve">实施。 </w:t>
      </w:r>
      <w:r>
        <w:rPr>
          <w:rFonts w:hint="eastAsia" w:ascii="仿宋_GB2312" w:eastAsia="仿宋_GB2312" w:cs="Times New Roman"/>
          <w:color w:val="000000"/>
          <w:sz w:val="32"/>
          <w:szCs w:val="32"/>
          <w:lang w:val="en-US" w:eastAsia="zh-CN" w:bidi="ar-SA"/>
        </w:rPr>
        <w:t xml:space="preserve">拟订全市农村林业发展、维护林业经营者合法权益的政策措 施，指导全市农村林地承包经营工作，指导集体林业适度规模 经营。开展退耕（牧）还林还草，负责天然林保护工作。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39"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（十八）拟订林业和草原资源优化配置及木材利用政策， 拟订相关林业产业市级标准并监督实施，组织、指导林产品质 量监督，指导生态扶贫相关工作。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39"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（十九）指导国有林场基本建设和发展，组织林木种子、草 种种质资源普查，组织建立种质资源库，负责良种选育推广， 管理林木种苗、草种生产经营行为，监管林木种苗、草种质量。 监督管理林业和草原生物种质资源、转基因生物安全、植物 新品种保护。</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64"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（二十）指导全市森林公安工作，监督管理全市森林公安 队伍，指导全市林业重大违法案件的查处，负责相关行政执法 监管工作，指导林区社会治安治理工作。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49"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（二十一）负责落实综合防灾减灾规划相关要求，组织编 制地质灾害、森林和草原火灾防治规划和防护标准并指导实 施。组织指导协调和监督地质灾害调查评价及隐患的普查、 详查、排查，指导开展群测群防、专业监测和预报预警工作， 指导开展地质灾害工程治理工作，承担地质灾害应急救援的 技术支撑工作。指导国有林场林区和草原防火巡护、火源管 理、防火设施建设，组织指导国有林场林区和草原开展宣传 教育、监测预警、督促检查等防火工作。必要时，可以提请 市应急管理局，以市应急指挥机构名义，部署相关防治工作。 负责行业内安全生产工作。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40"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（二十二）负责组织编制城乡发展战略规划、市域城镇 体系规划、城市总体规划；负责组织编制分区规划、详细规 划、村镇规划、城市设计，制定全市国土规划、区域规划和 专项规划；负责县（市）城市总体规划及县（市）区域城镇 规划的审查报批工作。参与建设项目可行性研究和重大建设 工程项目规划选址工作；负责城乡规划区内各类建设项目的 选址和布局工作。负责全市城乡规划设计行业管理工作。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40"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（二十三）开展城乡规划用途管制并监督实施，负责建 设项目选址、规划建设条件的确定和建设工作规划方案审查 工作。负责城乡规划区内建设用地、建设工程的规划管理， 组织审查规划区内进行的建筑物、构筑物、道路、管线和其 他工程建设的设计</w:t>
      </w:r>
      <w:r>
        <w:rPr>
          <w:rFonts w:hint="eastAsia" w:ascii="仿宋_GB2312" w:eastAsia="仿宋_GB2312" w:cs="Times New Roman"/>
          <w:color w:val="000000"/>
          <w:sz w:val="32"/>
          <w:szCs w:val="32"/>
          <w:lang w:val="zh-CN" w:eastAsia="zh-CN" w:bidi="ar-SA"/>
        </w:rPr>
        <w:t xml:space="preserve">方案。</w:t>
      </w:r>
      <w:r>
        <w:rPr>
          <w:rFonts w:hint="eastAsia" w:ascii="仿宋_GB2312" w:eastAsia="仿宋_GB2312" w:cs="Times New Roman"/>
          <w:color w:val="000000"/>
          <w:sz w:val="32"/>
          <w:szCs w:val="32"/>
          <w:lang w:val="en-US" w:eastAsia="zh-CN" w:bidi="ar-SA"/>
        </w:rPr>
        <w:t xml:space="preserve">负责城乡规划区内建设用地及各项 建设工程的批后管理和监督检查工作。负责建设工程项目竣 工规划核实，向建设单位出具规划核实证明。负责全市城乡 规划管理的行政复议工作。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42"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（二十四）负责测绘地理信息管理工作。负责基础测绘和 测绘行业管理。负责测绘资质资格与信用管理，监督管理地 理信息安全和市场秩序。负责地理信息公共服务管理和地图 管理。组织实施地方测量标志的设立和保护。</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39" w:lineRule="exact"/>
        <w:ind w:firstLine="76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（二十五）推动自然资源领域科技发展。制定并实施自 然资源领域科技创新发展和人才培养战略、规划、计划和教 育培训。组织制定技术标准、规程规范并监督实施。组织实 施重大科技工程及创新能力建设，推进自然资源信息化和信 息资料的公共服务。</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47" w:lineRule="exact"/>
        <w:ind w:firstLine="76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（二十六）开展自然资源国际合作。贯彻落实国家、省 国际合作勘查、开采矿产资源政策，依据上级部门授衩监督 国际合作勘查开采行为。负责林业和草原科技外事工作，组 织实施林业和草原国际交流与合作事务，承担湿地、防治荒 漠化、濒危野生动植物等国际公约履约工作。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47" w:lineRule="exact"/>
        <w:ind w:firstLine="76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（二十七）完成市委、市政府交办的其他任务。</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70"/>
        <w:pBdr/>
        <w:spacing w:line="540" w:lineRule="exact"/>
        <w:ind w:firstLine="760"/>
        <w:rPr>
          <w:rFonts w:hint="eastAsia" w:ascii="仿宋_GB2312" w:eastAsia="仿宋_GB2312" w:cs="Times New Roman"/>
          <w:color w:val="000000"/>
          <w:sz w:val="32"/>
          <w:szCs w:val="32"/>
          <w:lang w:val="en-US" w:eastAsia="zh-CN" w:bidi="ar-SA"/>
        </w:rPr>
        <w:sectPr>
          <w:footerReference w:type="default" r:id="rId12"/>
          <w:footerReference w:type="even" r:id="rId13"/>
          <w:footnotePr/>
          <w:endnotePr/>
          <w:type w:val="continuous"/>
          <w:pgSz w:h="16840" w:orient="landscape" w:w="11900"/>
          <w:pgMar w:top="2137" w:right="1648" w:bottom="2114" w:left="1838" w:header="0" w:footer="3" w:gutter="0"/>
          <w:cols w:num="1" w:sep="0" w:space="1701" w:equalWidth="1"/>
        </w:sectPr>
      </w:pPr>
      <w:r>
        <w:rPr>
          <w:rFonts w:hint="eastAsia" w:ascii="仿宋_GB2312" w:eastAsia="仿宋_GB2312" w:cs="Times New Roman"/>
          <w:color w:val="000000"/>
          <w:sz w:val="32"/>
          <w:szCs w:val="32"/>
          <w:lang w:val="en-US" w:eastAsia="zh-CN" w:bidi="ar-SA"/>
        </w:rPr>
        <w:t xml:space="preserve">（二十八）职能转变。市自然</w:t>
      </w:r>
      <w:r>
        <w:rPr>
          <w:rFonts w:hint="eastAsia" w:ascii="仿宋_GB2312" w:eastAsia="仿宋_GB2312" w:cs="Times New Roman"/>
          <w:color w:val="000000"/>
          <w:sz w:val="32"/>
          <w:szCs w:val="32"/>
          <w:lang w:val="en-US" w:eastAsia="zh-CN" w:bidi="ar-SA"/>
        </w:rPr>
        <w:t xml:space="preserve">资源局要落实中央关于统 —行使全民所有自然资源资产所有者职责，统一行使所有国 土空间用途管制和生态保护修复职责的要求，强化顶层设计, 发挥国土空间规划的管控作用，为保护和合理开发利用自然 资源提供科学指引。进一步加强自然资源的保护和合理开发 利用，建立健全源头保护和全过程修复治理相结合的工作机 制，实现整体保护、系统修复、综合治理。创新激励约束并 举的制度措施，推进自然资源节约集约利用。进一步精简下 放有关行政审批事项、强化监管力度，充分发挥市场对资源 配置的决定性作用，更好发挥政府作用，强化自然资源管理。</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59"/>
        <w:pBdr/>
        <w:spacing w:line="540" w:lineRule="exact"/>
        <w:ind w:firstLine="640"/>
        <w:jc w:val="left"/>
        <w:rPr>
          <w:rFonts w:hint="eastAsia" w:ascii="黑体" w:eastAsia="黑体"/>
          <w:sz w:val="32"/>
          <w:szCs w:val="32"/>
        </w:rPr>
      </w:pPr>
      <w:r>
        <w:rPr>
          <w:rFonts w:hint="eastAsia" w:ascii="黑体" w:eastAsia="黑体"/>
          <w:sz w:val="32"/>
          <w:szCs w:val="32"/>
        </w:rPr>
        <w:t xml:space="preserve">二、部门决算单位构成</w:t>
      </w:r>
      <w:r>
        <w:rPr>
          <w:rFonts w:hint="eastAsia" w:ascii="黑体" w:eastAsia="黑体"/>
          <w:sz w:val="32"/>
          <w:szCs w:val="32"/>
        </w:rPr>
      </w:r>
      <w:r>
        <w:rPr>
          <w:rFonts w:hint="eastAsia" w:ascii="黑体" w:eastAsia="黑体"/>
          <w:sz w:val="32"/>
          <w:szCs w:val="32"/>
        </w:rPr>
      </w:r>
    </w:p>
    <w:p>
      <w:pPr>
        <w:pStyle w:val="859"/>
        <w:pBdr/>
        <w:spacing w:line="540" w:lineRule="exact"/>
        <w:ind w:firstLine="643"/>
        <w:jc w:val="left"/>
        <w:rPr>
          <w:rFonts w:hint="eastAsia" w:ascii="仿宋_GB2312" w:eastAsia="仿宋_GB2312"/>
          <w:b/>
          <w:sz w:val="32"/>
          <w:szCs w:val="32"/>
        </w:rPr>
      </w:pPr>
      <w:r>
        <w:rPr>
          <w:rFonts w:hint="eastAsia" w:ascii="仿宋_GB2312" w:eastAsia="仿宋_GB2312"/>
          <w:b/>
          <w:sz w:val="32"/>
          <w:szCs w:val="32"/>
        </w:rPr>
        <w:t xml:space="preserve">纳入</w:t>
      </w:r>
      <w:r>
        <w:rPr>
          <w:rFonts w:hint="eastAsia" w:ascii="仿宋_GB2312" w:eastAsia="仿宋_GB2312"/>
          <w:b/>
          <w:sz w:val="32"/>
          <w:szCs w:val="32"/>
          <w:lang w:eastAsia="zh-CN"/>
        </w:rPr>
        <w:t xml:space="preserve">朝阳市自然资源与生态环境保护服务中心2022</w:t>
      </w:r>
      <w:r>
        <w:rPr>
          <w:rFonts w:hint="eastAsia" w:ascii="仿宋_GB2312" w:eastAsia="仿宋_GB2312"/>
          <w:b/>
          <w:sz w:val="32"/>
          <w:szCs w:val="32"/>
        </w:rPr>
        <w:t xml:space="preserve">年部门决算编制范围的二级预算单位包括：</w:t>
      </w:r>
      <w:r>
        <w:rPr>
          <w:rFonts w:hint="eastAsia" w:ascii="仿宋_GB2312" w:eastAsia="仿宋_GB2312"/>
          <w:b/>
          <w:sz w:val="32"/>
          <w:szCs w:val="32"/>
        </w:rPr>
      </w:r>
      <w:r>
        <w:rPr>
          <w:rFonts w:hint="eastAsia" w:ascii="仿宋_GB2312" w:eastAsia="仿宋_GB2312"/>
          <w:b/>
          <w:sz w:val="32"/>
          <w:szCs w:val="32"/>
        </w:rPr>
      </w:r>
    </w:p>
    <w:p>
      <w:pPr>
        <w:pStyle w:val="859"/>
        <w:widowControl w:val="true"/>
        <w:numPr>
          <w:ilvl w:val="0"/>
          <w:numId w:val="2"/>
        </w:numPr>
        <w:pBdr/>
        <w:shd w:val="clear" w:color="auto" w:fill="ffffff"/>
        <w:spacing w:line="480" w:lineRule="atLeast"/>
        <w:ind w:left="627"/>
        <w:jc w:val="left"/>
        <w:rPr>
          <w:rFonts w:hint="eastAsia" w:ascii="宋体" w:hAnsi="宋体" w:cs="宋体"/>
          <w:color w:val="333333"/>
          <w:sz w:val="32"/>
          <w:szCs w:val="32"/>
          <w:shd w:val="clear" w:color="auto" w:fill="ffffff"/>
          <w:lang w:eastAsia="zh-CN" w:bidi="ar"/>
        </w:rPr>
      </w:pPr>
      <w:r>
        <w:rPr>
          <w:rFonts w:hint="eastAsia" w:ascii="宋体" w:hAnsi="宋体" w:cs="宋体"/>
          <w:color w:val="333333"/>
          <w:sz w:val="32"/>
          <w:szCs w:val="32"/>
          <w:shd w:val="clear" w:color="auto" w:fill="ffffff"/>
          <w:lang w:bidi="ar"/>
        </w:rPr>
        <w:t xml:space="preserve">朝阳市</w:t>
      </w:r>
      <w:r>
        <w:rPr>
          <w:rFonts w:hint="eastAsia" w:ascii="宋体" w:hAnsi="宋体" w:cs="宋体"/>
          <w:color w:val="333333"/>
          <w:sz w:val="32"/>
          <w:szCs w:val="32"/>
          <w:shd w:val="clear" w:color="auto" w:fill="ffffff"/>
          <w:lang w:eastAsia="zh-CN" w:bidi="ar"/>
        </w:rPr>
        <w:t xml:space="preserve">自然资源与生态环境保护服务中心</w:t>
      </w:r>
      <w:r>
        <w:rPr>
          <w:rFonts w:hint="eastAsia" w:ascii="宋体" w:hAnsi="宋体" w:cs="宋体"/>
          <w:color w:val="333333"/>
          <w:sz w:val="32"/>
          <w:szCs w:val="32"/>
          <w:shd w:val="clear" w:color="auto" w:fill="ffffff"/>
          <w:lang w:eastAsia="zh-CN" w:bidi="ar"/>
        </w:rPr>
      </w:r>
      <w:r>
        <w:rPr>
          <w:rFonts w:hint="eastAsia" w:ascii="宋体" w:hAnsi="宋体" w:cs="宋体"/>
          <w:color w:val="333333"/>
          <w:sz w:val="32"/>
          <w:szCs w:val="32"/>
          <w:shd w:val="clear" w:color="auto" w:fill="ffffff"/>
          <w:lang w:eastAsia="zh-CN" w:bidi="ar"/>
        </w:rPr>
      </w:r>
    </w:p>
    <w:p>
      <w:pPr>
        <w:pStyle w:val="859"/>
        <w:widowControl w:val="true"/>
        <w:numPr>
          <w:ilvl w:val="0"/>
          <w:numId w:val="2"/>
        </w:numPr>
        <w:pBdr/>
        <w:shd w:val="clear" w:color="auto" w:fill="ffffff"/>
        <w:spacing w:line="480" w:lineRule="atLeast"/>
        <w:ind w:left="627"/>
        <w:jc w:val="left"/>
        <w:rPr>
          <w:rFonts w:hint="eastAsia" w:ascii="宋体" w:hAnsi="宋体" w:cs="宋体"/>
          <w:color w:val="333333"/>
          <w:sz w:val="32"/>
          <w:szCs w:val="32"/>
          <w:shd w:val="clear" w:color="auto" w:fill="ffffff"/>
          <w:lang w:eastAsia="zh-CN" w:bidi="ar"/>
        </w:rPr>
      </w:pPr>
      <w:r>
        <w:rPr>
          <w:rFonts w:hint="eastAsia" w:ascii="宋体" w:hAnsi="宋体" w:cs="宋体"/>
          <w:color w:val="333333"/>
          <w:sz w:val="32"/>
          <w:szCs w:val="32"/>
          <w:shd w:val="clear" w:color="auto" w:fill="ffffff"/>
          <w:lang w:eastAsia="zh-CN" w:bidi="ar"/>
        </w:rPr>
        <w:t xml:space="preserve">朝阳市不动产登记中心</w:t>
      </w:r>
      <w:r>
        <w:rPr>
          <w:rFonts w:hint="eastAsia" w:ascii="宋体" w:hAnsi="宋体" w:cs="宋体"/>
          <w:color w:val="333333"/>
          <w:sz w:val="32"/>
          <w:szCs w:val="32"/>
          <w:shd w:val="clear" w:color="auto" w:fill="ffffff"/>
          <w:lang w:eastAsia="zh-CN" w:bidi="ar"/>
        </w:rPr>
      </w:r>
      <w:r>
        <w:rPr>
          <w:rFonts w:hint="eastAsia" w:ascii="宋体" w:hAnsi="宋体" w:cs="宋体"/>
          <w:color w:val="333333"/>
          <w:sz w:val="32"/>
          <w:szCs w:val="32"/>
          <w:shd w:val="clear" w:color="auto" w:fill="ffffff"/>
          <w:lang w:eastAsia="zh-CN" w:bidi="ar"/>
        </w:rPr>
      </w:r>
    </w:p>
    <w:p>
      <w:pPr>
        <w:pStyle w:val="859"/>
        <w:pBdr/>
        <w:spacing w:line="540" w:lineRule="exact"/>
        <w:ind w:firstLine="723"/>
        <w:jc w:val="center"/>
        <w:rPr>
          <w:rFonts w:hint="eastAsia" w:ascii="宋体" w:hAnsi="宋体"/>
          <w:b/>
          <w:sz w:val="36"/>
          <w:szCs w:val="36"/>
        </w:rPr>
      </w:pPr>
      <w:r>
        <w:rPr>
          <w:rFonts w:hint="eastAsia" w:ascii="宋体" w:hAnsi="宋体"/>
          <w:b/>
          <w:sz w:val="36"/>
          <w:szCs w:val="36"/>
        </w:rPr>
        <w:t xml:space="preserve">第</w:t>
      </w:r>
      <w:r>
        <w:rPr>
          <w:rFonts w:hint="eastAsia" w:ascii="宋体" w:hAnsi="宋体"/>
          <w:b/>
          <w:sz w:val="36"/>
          <w:szCs w:val="36"/>
          <w:lang w:val="en-US" w:eastAsia="zh-CN"/>
        </w:rPr>
        <w:t xml:space="preserve">二</w:t>
      </w:r>
      <w:r>
        <w:rPr>
          <w:rFonts w:hint="eastAsia" w:ascii="宋体" w:hAnsi="宋体"/>
          <w:b/>
          <w:sz w:val="36"/>
          <w:szCs w:val="36"/>
        </w:rPr>
        <w:t xml:space="preserve">部分 </w:t>
      </w:r>
      <w:r>
        <w:rPr>
          <w:rFonts w:hint="eastAsia" w:ascii="宋体" w:hAnsi="宋体"/>
          <w:b/>
          <w:sz w:val="36"/>
          <w:szCs w:val="36"/>
          <w:lang w:eastAsia="zh-CN"/>
        </w:rPr>
        <w:t xml:space="preserve">2022</w:t>
      </w:r>
      <w:r>
        <w:rPr>
          <w:rFonts w:hint="eastAsia" w:ascii="宋体" w:hAnsi="宋体"/>
          <w:b/>
          <w:sz w:val="36"/>
          <w:szCs w:val="36"/>
        </w:rPr>
        <w:t xml:space="preserve">年度部门决算情况说明</w:t>
      </w:r>
      <w:r>
        <w:rPr>
          <w:rFonts w:hint="eastAsia" w:ascii="宋体" w:hAnsi="宋体"/>
          <w:b/>
          <w:sz w:val="36"/>
          <w:szCs w:val="36"/>
        </w:rPr>
      </w:r>
      <w:r>
        <w:rPr>
          <w:rFonts w:hint="eastAsia" w:ascii="宋体" w:hAnsi="宋体"/>
          <w:b/>
          <w:sz w:val="36"/>
          <w:szCs w:val="36"/>
        </w:rPr>
      </w:r>
    </w:p>
    <w:p>
      <w:pPr>
        <w:pStyle w:val="859"/>
        <w:pBdr/>
        <w:spacing w:line="540" w:lineRule="exact"/>
        <w:ind/>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9"/>
        <w:pBdr/>
        <w:spacing w:line="540" w:lineRule="exact"/>
        <w:ind w:firstLine="627"/>
        <w:rPr>
          <w:rFonts w:hint="eastAsia" w:ascii="黑体" w:hAnsi="黑体" w:eastAsia="黑体"/>
          <w:sz w:val="32"/>
          <w:szCs w:val="32"/>
          <w:lang w:eastAsia="zh-CN"/>
        </w:rPr>
      </w:pPr>
      <w:r>
        <w:rPr>
          <w:rFonts w:hint="eastAsia" w:ascii="黑体" w:hAnsi="黑体" w:eastAsia="黑体"/>
          <w:sz w:val="32"/>
          <w:szCs w:val="32"/>
        </w:rPr>
        <w:t xml:space="preserve">一、收入支出决算总体情况</w:t>
      </w:r>
      <w:r>
        <w:rPr>
          <w:rFonts w:hint="eastAsia" w:ascii="黑体" w:hAnsi="黑体" w:eastAsia="黑体"/>
          <w:sz w:val="32"/>
          <w:szCs w:val="32"/>
          <w:lang w:eastAsia="zh-CN"/>
        </w:rPr>
        <w:t xml:space="preserve">说明</w:t>
      </w:r>
      <w:r>
        <w:rPr>
          <w:rFonts w:hint="eastAsia" w:ascii="黑体" w:hAnsi="黑体" w:eastAsia="黑体"/>
          <w:sz w:val="32"/>
          <w:szCs w:val="32"/>
          <w:lang w:eastAsia="zh-CN"/>
        </w:rPr>
      </w:r>
      <w:r>
        <w:rPr>
          <w:rFonts w:hint="eastAsia" w:ascii="黑体" w:hAnsi="黑体" w:eastAsia="黑体"/>
          <w:sz w:val="32"/>
          <w:szCs w:val="32"/>
          <w:lang w:eastAsia="zh-CN"/>
        </w:rPr>
      </w:r>
    </w:p>
    <w:p>
      <w:pPr>
        <w:pStyle w:val="859"/>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（一）收入总计</w:t>
      </w:r>
      <w:r>
        <w:rPr>
          <w:rFonts w:hint="eastAsia" w:ascii="楷体_GB2312" w:hAnsi="宋体" w:eastAsia="楷体_GB2312"/>
          <w:b/>
          <w:sz w:val="32"/>
          <w:szCs w:val="32"/>
          <w:lang w:val="en-US" w:eastAsia="zh-CN"/>
        </w:rPr>
        <w:t xml:space="preserve">1</w:t>
      </w:r>
      <w:r>
        <w:rPr>
          <w:rFonts w:hint="eastAsia" w:ascii="楷体_GB2312" w:hAnsi="宋体" w:eastAsia="楷体_GB2312"/>
          <w:b/>
          <w:sz w:val="32"/>
          <w:szCs w:val="32"/>
          <w:lang w:val="en-US" w:eastAsia="zh-CN"/>
        </w:rPr>
        <w:t xml:space="preserve">592.39</w:t>
      </w:r>
      <w:r>
        <w:rPr>
          <w:rFonts w:hint="eastAsia" w:ascii="楷体_GB2312" w:hAnsi="宋体" w:eastAsia="楷体_GB2312"/>
          <w:b/>
          <w:sz w:val="32"/>
          <w:szCs w:val="32"/>
        </w:rPr>
        <w:t xml:space="preserve">万元，包括：</w:t>
      </w:r>
      <w:r>
        <w:rPr>
          <w:rFonts w:hint="eastAsia" w:ascii="楷体_GB2312" w:hAnsi="宋体" w:eastAsia="楷体_GB2312"/>
          <w:b/>
          <w:sz w:val="32"/>
          <w:szCs w:val="32"/>
        </w:rPr>
      </w:r>
      <w:r>
        <w:rPr>
          <w:rFonts w:hint="eastAsia" w:ascii="楷体_GB2312" w:hAnsi="宋体" w:eastAsia="楷体_GB2312"/>
          <w:b/>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1.财政拨款收入</w:t>
      </w:r>
      <w:r>
        <w:rPr>
          <w:rFonts w:hint="eastAsia" w:ascii="仿宋_GB2312" w:hAnsi="宋体" w:eastAsia="仿宋_GB2312"/>
          <w:sz w:val="32"/>
          <w:szCs w:val="32"/>
          <w:lang w:val="en-US" w:eastAsia="zh-CN"/>
        </w:rPr>
        <w:t xml:space="preserve">1592.39</w:t>
      </w:r>
      <w:r>
        <w:rPr>
          <w:rFonts w:hint="eastAsia" w:ascii="仿宋_GB2312" w:hAnsi="宋体" w:eastAsia="仿宋_GB2312"/>
          <w:sz w:val="32"/>
          <w:szCs w:val="32"/>
        </w:rPr>
        <w:t xml:space="preserve">万元，占</w:t>
      </w:r>
      <w:r>
        <w:rPr>
          <w:rFonts w:ascii="仿宋_GB2312" w:hAnsi="宋体" w:eastAsia="仿宋_GB2312"/>
          <w:sz w:val="32"/>
          <w:szCs w:val="32"/>
        </w:rPr>
        <w:t xml:space="preserve">收入总计的</w:t>
      </w:r>
      <w:r>
        <w:rPr>
          <w:rFonts w:hint="eastAsia" w:ascii="仿宋_GB2312" w:hAnsi="宋体" w:eastAsia="仿宋_GB2312"/>
          <w:sz w:val="32"/>
          <w:szCs w:val="32"/>
          <w:lang w:val="en-US" w:eastAsia="zh-CN"/>
        </w:rPr>
        <w:t xml:space="preserve">100</w:t>
      </w:r>
      <w:r>
        <w:rPr>
          <w:rFonts w:ascii="仿宋_GB2312" w:hAnsi="宋体" w:eastAsia="仿宋_GB2312"/>
          <w:sz w:val="32"/>
          <w:szCs w:val="32"/>
        </w:rPr>
        <w:t xml:space="preserve">%</w:t>
      </w:r>
      <w:r>
        <w:rPr>
          <w:rFonts w:hint="eastAsia" w:ascii="仿宋_GB2312" w:hAnsi="宋体" w:eastAsia="仿宋_GB2312"/>
          <w:sz w:val="32"/>
          <w:szCs w:val="32"/>
        </w:rPr>
        <w:t xml:space="preserve">。其中：</w:t>
      </w:r>
      <w:r>
        <w:rPr>
          <w:rFonts w:hint="eastAsia" w:ascii="仿宋_GB2312" w:hAnsi="宋体" w:eastAsia="仿宋_GB2312"/>
          <w:sz w:val="32"/>
          <w:szCs w:val="32"/>
          <w:lang w:val="en-US" w:eastAsia="zh-CN"/>
        </w:rPr>
        <w:t xml:space="preserve">一般</w:t>
      </w:r>
      <w:r>
        <w:rPr>
          <w:rFonts w:hint="eastAsia" w:ascii="仿宋_GB2312" w:hAnsi="宋体" w:eastAsia="仿宋_GB2312"/>
          <w:sz w:val="32"/>
          <w:szCs w:val="32"/>
        </w:rPr>
        <w:t xml:space="preserve">公共预算财政拨款收入</w:t>
      </w:r>
      <w:r>
        <w:rPr>
          <w:rFonts w:hint="eastAsia" w:ascii="仿宋_GB2312" w:hAnsi="宋体" w:eastAsia="仿宋_GB2312"/>
          <w:sz w:val="32"/>
          <w:szCs w:val="32"/>
          <w:lang w:val="en-US" w:eastAsia="zh-CN"/>
        </w:rPr>
        <w:t xml:space="preserve">1592.39</w:t>
      </w:r>
      <w:r>
        <w:rPr>
          <w:rFonts w:hint="eastAsia" w:ascii="仿宋_GB2312" w:hAnsi="宋体" w:eastAsia="仿宋_GB2312"/>
          <w:sz w:val="32"/>
          <w:szCs w:val="32"/>
        </w:rPr>
        <w:t xml:space="preserve">万元，政府性基金收入</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国有资本经营预算财政拨款收入0</w:t>
      </w:r>
      <w:r>
        <w:rPr>
          <w:rFonts w:hint="eastAsia" w:ascii="仿宋_GB2312" w:hAnsi="宋体" w:eastAsia="仿宋_GB2312"/>
          <w:sz w:val="32"/>
          <w:szCs w:val="32"/>
        </w:rPr>
        <w:t xml:space="preserve">万元。</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2.上级补助收入</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无上级补助</w:t>
      </w:r>
      <w:r>
        <w:rPr>
          <w:rFonts w:hint="eastAsia" w:ascii="仿宋_GB2312" w:hAnsi="宋体" w:eastAsia="仿宋_GB2312"/>
          <w:sz w:val="32"/>
          <w:szCs w:val="32"/>
        </w:rPr>
        <w:t xml:space="preserve">收入。</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3.事业收入</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无事业</w:t>
      </w:r>
      <w:r>
        <w:rPr>
          <w:rFonts w:hint="eastAsia" w:ascii="仿宋_GB2312" w:hAnsi="宋体" w:eastAsia="仿宋_GB2312"/>
          <w:sz w:val="32"/>
          <w:szCs w:val="32"/>
        </w:rPr>
        <w:t xml:space="preserve">收入。</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4.经营收入</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无经营</w:t>
      </w:r>
      <w:r>
        <w:rPr>
          <w:rFonts w:hint="eastAsia" w:ascii="仿宋_GB2312" w:hAnsi="宋体" w:eastAsia="仿宋_GB2312"/>
          <w:sz w:val="32"/>
          <w:szCs w:val="32"/>
        </w:rPr>
        <w:t xml:space="preserve">收入。</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5.附属单位上缴收入</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w:t>
      </w:r>
      <w:r>
        <w:rPr>
          <w:rFonts w:hint="eastAsia" w:ascii="仿宋_GB2312" w:hAnsi="宋体" w:eastAsia="仿宋_GB2312"/>
          <w:sz w:val="32"/>
          <w:szCs w:val="32"/>
          <w:lang w:eastAsia="zh-CN"/>
        </w:rPr>
        <w:t xml:space="preserve">无附属单位上缴</w:t>
      </w:r>
      <w:r>
        <w:rPr>
          <w:rFonts w:hint="eastAsia" w:ascii="仿宋_GB2312" w:hAnsi="宋体" w:eastAsia="仿宋_GB2312"/>
          <w:sz w:val="32"/>
          <w:szCs w:val="32"/>
        </w:rPr>
        <w:t xml:space="preserve">收入。</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6.其他收入</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无其他</w:t>
      </w:r>
      <w:r>
        <w:rPr>
          <w:rFonts w:hint="eastAsia" w:ascii="仿宋_GB2312" w:hAnsi="宋体" w:eastAsia="仿宋_GB2312"/>
          <w:sz w:val="32"/>
          <w:szCs w:val="32"/>
        </w:rPr>
        <w:t xml:space="preserve">收入。</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7.</w:t>
      </w:r>
      <w:r>
        <w:rPr>
          <w:rFonts w:hint="eastAsia" w:ascii="仿宋_GB2312" w:hAnsi="宋体" w:eastAsia="仿宋_GB2312"/>
          <w:sz w:val="32"/>
          <w:szCs w:val="32"/>
          <w:lang w:val="en-US" w:eastAsia="zh-CN"/>
        </w:rPr>
        <w:t xml:space="preserve">使用非财政拨款结余0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无使用非财政拨款结余</w:t>
      </w:r>
      <w:r>
        <w:rPr>
          <w:rFonts w:hint="eastAsia" w:ascii="仿宋_GB2312" w:hAnsi="宋体" w:eastAsia="仿宋_GB2312"/>
          <w:sz w:val="32"/>
          <w:szCs w:val="32"/>
        </w:rPr>
        <w:t xml:space="preserve">等。</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8.上年结转和结余</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无上年结转和结余</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与上年相比，今年收入</w:t>
      </w:r>
      <w:r>
        <w:rPr>
          <w:rFonts w:hint="eastAsia" w:ascii="仿宋_GB2312" w:hAnsi="宋体" w:eastAsia="仿宋_GB2312"/>
          <w:sz w:val="32"/>
          <w:szCs w:val="32"/>
          <w:lang w:eastAsia="zh-CN"/>
        </w:rPr>
        <w:t xml:space="preserve">增加</w:t>
      </w:r>
      <w:r>
        <w:rPr>
          <w:rFonts w:hint="eastAsia" w:ascii="仿宋_GB2312" w:hAnsi="宋体" w:eastAsia="仿宋_GB2312"/>
          <w:sz w:val="32"/>
          <w:szCs w:val="32"/>
          <w:lang w:val="en-US" w:eastAsia="zh-CN"/>
        </w:rPr>
        <w:t xml:space="preserve">84.52</w:t>
      </w:r>
      <w:r>
        <w:rPr>
          <w:rFonts w:hint="eastAsia" w:ascii="仿宋_GB2312" w:hAnsi="宋体" w:eastAsia="仿宋_GB2312"/>
          <w:sz w:val="32"/>
          <w:szCs w:val="32"/>
        </w:rPr>
        <w:t xml:space="preserve">万元，增长</w:t>
      </w:r>
      <w:r>
        <w:rPr>
          <w:rFonts w:hint="eastAsia" w:ascii="仿宋_GB2312" w:hAnsi="宋体" w:eastAsia="仿宋_GB2312"/>
          <w:sz w:val="32"/>
          <w:szCs w:val="32"/>
          <w:lang w:val="en-US" w:eastAsia="zh-CN"/>
        </w:rPr>
        <w:t xml:space="preserve">5.61</w:t>
      </w:r>
      <w:r>
        <w:rPr>
          <w:rFonts w:hint="eastAsia" w:ascii="仿宋_GB2312" w:hAnsi="宋体" w:eastAsia="仿宋_GB2312"/>
          <w:sz w:val="32"/>
          <w:szCs w:val="32"/>
        </w:rPr>
        <w:t xml:space="preserve">%，主要原因：</w:t>
      </w:r>
      <w:r>
        <w:rPr>
          <w:rFonts w:hint="eastAsia" w:ascii="黑体" w:hAnsi="黑体" w:eastAsia="黑体"/>
          <w:sz w:val="32"/>
          <w:szCs w:val="32"/>
        </w:rPr>
        <w:t xml:space="preserve">一是</w:t>
      </w:r>
      <w:r>
        <w:rPr>
          <w:rFonts w:hint="eastAsia" w:ascii="仿宋_GB2312" w:hAnsi="宋体" w:eastAsia="仿宋_GB2312"/>
          <w:sz w:val="32"/>
          <w:szCs w:val="32"/>
          <w:lang w:eastAsia="zh-CN"/>
        </w:rPr>
        <w:t xml:space="preserve">人员支出增加</w:t>
      </w:r>
      <w:r>
        <w:rPr>
          <w:rFonts w:hint="eastAsia" w:ascii="仿宋_GB2312" w:hAnsi="宋体" w:eastAsia="仿宋_GB2312"/>
          <w:sz w:val="32"/>
          <w:szCs w:val="32"/>
        </w:rPr>
        <w:t xml:space="preserve">；</w:t>
      </w:r>
      <w:r>
        <w:rPr>
          <w:rFonts w:hint="eastAsia" w:ascii="黑体" w:hAnsi="黑体" w:eastAsia="黑体"/>
          <w:sz w:val="32"/>
          <w:szCs w:val="32"/>
        </w:rPr>
        <w:t xml:space="preserve">二是</w:t>
      </w:r>
      <w:r>
        <w:rPr>
          <w:rFonts w:hint="eastAsia" w:ascii="仿宋_GB2312" w:hAnsi="宋体" w:eastAsia="仿宋_GB2312" w:cs="Times New Roman"/>
          <w:sz w:val="32"/>
          <w:szCs w:val="32"/>
          <w:lang w:eastAsia="zh-CN"/>
        </w:rPr>
        <w:t xml:space="preserve">人员保险支出增加</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（二）支出总计</w:t>
      </w:r>
      <w:r>
        <w:rPr>
          <w:rFonts w:hint="eastAsia" w:ascii="楷体_GB2312" w:hAnsi="宋体" w:eastAsia="楷体_GB2312"/>
          <w:b/>
          <w:sz w:val="32"/>
          <w:szCs w:val="32"/>
          <w:lang w:val="en-US" w:eastAsia="zh-CN"/>
        </w:rPr>
        <w:t xml:space="preserve">1</w:t>
      </w:r>
      <w:r>
        <w:rPr>
          <w:rFonts w:hint="eastAsia" w:ascii="楷体_GB2312" w:hAnsi="宋体" w:eastAsia="楷体_GB2312"/>
          <w:b/>
          <w:sz w:val="32"/>
          <w:szCs w:val="32"/>
          <w:lang w:val="en-US" w:eastAsia="zh-CN"/>
        </w:rPr>
        <w:t xml:space="preserve">592.39</w:t>
      </w:r>
      <w:r>
        <w:rPr>
          <w:rFonts w:hint="eastAsia" w:ascii="楷体_GB2312" w:hAnsi="宋体" w:eastAsia="楷体_GB2312"/>
          <w:b/>
          <w:sz w:val="32"/>
          <w:szCs w:val="32"/>
        </w:rPr>
        <w:t xml:space="preserve">万元，包括：</w:t>
      </w:r>
      <w:r>
        <w:rPr>
          <w:rFonts w:hint="eastAsia" w:ascii="楷体_GB2312" w:hAnsi="宋体" w:eastAsia="楷体_GB2312"/>
          <w:b/>
          <w:sz w:val="32"/>
          <w:szCs w:val="32"/>
        </w:rPr>
      </w:r>
      <w:r>
        <w:rPr>
          <w:rFonts w:hint="eastAsia" w:ascii="楷体_GB2312" w:hAnsi="宋体" w:eastAsia="楷体_GB2312"/>
          <w:b/>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1.基本支出</w:t>
      </w:r>
      <w:r>
        <w:rPr>
          <w:rFonts w:hint="eastAsia" w:ascii="仿宋_GB2312" w:hAnsi="宋体" w:eastAsia="仿宋_GB2312"/>
          <w:sz w:val="32"/>
          <w:szCs w:val="32"/>
          <w:lang w:val="en-US" w:eastAsia="zh-CN"/>
        </w:rPr>
        <w:t xml:space="preserve">799.23</w:t>
      </w:r>
      <w:r>
        <w:rPr>
          <w:rFonts w:hint="eastAsia" w:ascii="仿宋_GB2312" w:hAnsi="宋体" w:eastAsia="仿宋_GB2312"/>
          <w:sz w:val="32"/>
          <w:szCs w:val="32"/>
        </w:rPr>
        <w:t xml:space="preserve">万元，占支出总计的</w:t>
      </w:r>
      <w:r>
        <w:rPr>
          <w:rFonts w:hint="eastAsia" w:ascii="仿宋_GB2312" w:hAnsi="宋体" w:eastAsia="仿宋_GB2312"/>
          <w:sz w:val="32"/>
          <w:szCs w:val="32"/>
          <w:lang w:val="en-US" w:eastAsia="zh-CN"/>
        </w:rPr>
        <w:t xml:space="preserve">50.19</w:t>
      </w:r>
      <w:r>
        <w:rPr>
          <w:rFonts w:hint="eastAsia" w:ascii="仿宋_GB2312" w:hAnsi="宋体" w:eastAsia="仿宋_GB2312"/>
          <w:sz w:val="32"/>
          <w:szCs w:val="32"/>
        </w:rPr>
        <w:t xml:space="preserve">%。主要是为保障机构正常运转、完成日常工作任务而发生的各项支出，其中：工资福利支出</w:t>
      </w:r>
      <w:r>
        <w:rPr>
          <w:rFonts w:hint="eastAsia" w:ascii="仿宋_GB2312" w:hAnsi="宋体" w:eastAsia="仿宋_GB2312"/>
          <w:sz w:val="32"/>
          <w:szCs w:val="32"/>
          <w:lang w:val="en-US" w:eastAsia="zh-CN"/>
        </w:rPr>
        <w:t xml:space="preserve">772.97</w:t>
      </w:r>
      <w:r>
        <w:rPr>
          <w:rFonts w:hint="eastAsia" w:ascii="仿宋_GB2312" w:hAnsi="宋体" w:eastAsia="仿宋_GB2312"/>
          <w:sz w:val="32"/>
          <w:szCs w:val="32"/>
        </w:rPr>
        <w:t xml:space="preserve">万元，对个人和家庭的补助支出</w:t>
      </w:r>
      <w:r>
        <w:rPr>
          <w:rFonts w:hint="eastAsia" w:ascii="仿宋_GB2312" w:hAnsi="宋体" w:eastAsia="仿宋_GB2312"/>
          <w:sz w:val="32"/>
          <w:szCs w:val="32"/>
          <w:lang w:val="en-US" w:eastAsia="zh-CN"/>
        </w:rPr>
        <w:t xml:space="preserve">0.72</w:t>
      </w:r>
      <w:r>
        <w:rPr>
          <w:rFonts w:hint="eastAsia" w:ascii="仿宋_GB2312" w:hAnsi="宋体" w:eastAsia="仿宋_GB2312"/>
          <w:sz w:val="32"/>
          <w:szCs w:val="32"/>
        </w:rPr>
        <w:t xml:space="preserve">万元，商品和服务支出</w:t>
      </w:r>
      <w:r>
        <w:rPr>
          <w:rFonts w:hint="eastAsia" w:ascii="仿宋_GB2312" w:hAnsi="宋体" w:eastAsia="仿宋_GB2312"/>
          <w:sz w:val="32"/>
          <w:szCs w:val="32"/>
          <w:lang w:val="en-US" w:eastAsia="zh-CN"/>
        </w:rPr>
        <w:t xml:space="preserve">25.55</w:t>
      </w:r>
      <w:r>
        <w:rPr>
          <w:rFonts w:hint="eastAsia" w:ascii="仿宋_GB2312" w:hAnsi="宋体" w:eastAsia="仿宋_GB2312"/>
          <w:sz w:val="32"/>
          <w:szCs w:val="32"/>
        </w:rPr>
        <w:t xml:space="preserve">万元。</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2.项目支出</w:t>
      </w:r>
      <w:r>
        <w:rPr>
          <w:rFonts w:hint="eastAsia" w:ascii="仿宋_GB2312" w:hAnsi="宋体" w:eastAsia="仿宋_GB2312"/>
          <w:sz w:val="32"/>
          <w:szCs w:val="32"/>
          <w:lang w:val="en-US" w:eastAsia="zh-CN"/>
        </w:rPr>
        <w:t xml:space="preserve">793.16</w:t>
      </w:r>
      <w:r>
        <w:rPr>
          <w:rFonts w:hint="eastAsia" w:ascii="仿宋_GB2312" w:hAnsi="宋体" w:eastAsia="仿宋_GB2312"/>
          <w:sz w:val="32"/>
          <w:szCs w:val="32"/>
        </w:rPr>
        <w:t xml:space="preserve">万元，占支出总计的</w:t>
      </w:r>
      <w:r>
        <w:rPr>
          <w:rFonts w:hint="eastAsia" w:ascii="仿宋_GB2312" w:hAnsi="宋体" w:eastAsia="仿宋_GB2312"/>
          <w:sz w:val="32"/>
          <w:szCs w:val="32"/>
          <w:lang w:val="en-US" w:eastAsia="zh-CN"/>
        </w:rPr>
        <w:t xml:space="preserve">49.81</w:t>
      </w:r>
      <w:r>
        <w:rPr>
          <w:rFonts w:hint="eastAsia" w:ascii="仿宋_GB2312" w:hAnsi="宋体" w:eastAsia="仿宋_GB2312"/>
          <w:sz w:val="32"/>
          <w:szCs w:val="32"/>
        </w:rPr>
        <w:t xml:space="preserve">%。主要包括</w:t>
      </w:r>
      <w:r>
        <w:rPr>
          <w:rFonts w:hint="eastAsia" w:ascii="仿宋_GB2312" w:hAnsi="宋体" w:eastAsia="仿宋_GB2312"/>
          <w:sz w:val="32"/>
          <w:szCs w:val="32"/>
          <w:lang w:eastAsia="zh-CN"/>
        </w:rPr>
        <w:t xml:space="preserve">项目</w:t>
      </w:r>
      <w:r>
        <w:rPr>
          <w:rFonts w:hint="eastAsia" w:ascii="仿宋_GB2312" w:hAnsi="宋体" w:eastAsia="仿宋_GB2312"/>
          <w:sz w:val="32"/>
          <w:szCs w:val="32"/>
        </w:rPr>
        <w:t xml:space="preserve">支出。</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3.上缴上级支出</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万元，占支出总计的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%。主要包</w:t>
      </w:r>
      <w:r>
        <w:rPr>
          <w:rFonts w:hint="eastAsia" w:ascii="仿宋_GB2312" w:hAnsi="宋体" w:eastAsia="仿宋_GB2312"/>
          <w:sz w:val="32"/>
          <w:szCs w:val="32"/>
          <w:lang w:eastAsia="zh-CN"/>
        </w:rPr>
        <w:t xml:space="preserve">括无上缴上级</w:t>
      </w:r>
      <w:r>
        <w:rPr>
          <w:rFonts w:hint="eastAsia" w:ascii="仿宋_GB2312" w:hAnsi="宋体" w:eastAsia="仿宋_GB2312"/>
          <w:sz w:val="32"/>
          <w:szCs w:val="32"/>
        </w:rPr>
        <w:t xml:space="preserve">支出。</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4.经营支出</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万元，占支出总计的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%。主要包括</w:t>
      </w:r>
      <w:r>
        <w:rPr>
          <w:rFonts w:hint="eastAsia" w:ascii="仿宋_GB2312" w:hAnsi="宋体" w:eastAsia="仿宋_GB2312"/>
          <w:sz w:val="32"/>
          <w:szCs w:val="32"/>
          <w:lang w:eastAsia="zh-CN"/>
        </w:rPr>
        <w:t xml:space="preserve">无经营</w:t>
      </w:r>
      <w:r>
        <w:rPr>
          <w:rFonts w:hint="eastAsia" w:ascii="仿宋_GB2312" w:hAnsi="宋体" w:eastAsia="仿宋_GB2312"/>
          <w:sz w:val="32"/>
          <w:szCs w:val="32"/>
        </w:rPr>
        <w:t xml:space="preserve">支出。</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5.对附属单位补助支出</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万元，占支出总计的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%。主要包括</w:t>
      </w:r>
      <w:r>
        <w:rPr>
          <w:rFonts w:hint="eastAsia" w:ascii="仿宋_GB2312" w:hAnsi="宋体" w:eastAsia="仿宋_GB2312"/>
          <w:sz w:val="32"/>
          <w:szCs w:val="32"/>
          <w:lang w:eastAsia="zh-CN"/>
        </w:rPr>
        <w:t xml:space="preserve">无附属单位补助</w:t>
      </w:r>
      <w:r>
        <w:rPr>
          <w:rFonts w:hint="eastAsia" w:ascii="仿宋_GB2312" w:hAnsi="宋体" w:eastAsia="仿宋_GB2312"/>
          <w:sz w:val="32"/>
          <w:szCs w:val="32"/>
        </w:rPr>
        <w:t xml:space="preserve">业务支出。</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与上年相比，今年支出增加</w:t>
      </w:r>
      <w:r>
        <w:rPr>
          <w:rFonts w:hint="eastAsia" w:ascii="仿宋_GB2312" w:hAnsi="宋体" w:eastAsia="仿宋_GB2312"/>
          <w:sz w:val="32"/>
          <w:szCs w:val="32"/>
          <w:lang w:val="en-US" w:eastAsia="zh-CN"/>
        </w:rPr>
        <w:t xml:space="preserve">45.42</w:t>
      </w:r>
      <w:r>
        <w:rPr>
          <w:rFonts w:hint="eastAsia" w:ascii="仿宋_GB2312" w:hAnsi="宋体" w:eastAsia="仿宋_GB2312"/>
          <w:sz w:val="32"/>
          <w:szCs w:val="32"/>
        </w:rPr>
        <w:t xml:space="preserve">万元，增长</w:t>
      </w:r>
      <w:r>
        <w:rPr>
          <w:rFonts w:hint="eastAsia" w:ascii="仿宋_GB2312" w:hAnsi="宋体" w:eastAsia="仿宋_GB2312"/>
          <w:sz w:val="32"/>
          <w:szCs w:val="32"/>
          <w:lang w:val="en-US" w:eastAsia="zh-CN"/>
        </w:rPr>
        <w:t xml:space="preserve">2.94</w:t>
      </w:r>
      <w:r>
        <w:rPr>
          <w:rFonts w:hint="eastAsia" w:ascii="仿宋_GB2312" w:hAnsi="宋体" w:eastAsia="仿宋_GB2312"/>
          <w:sz w:val="32"/>
          <w:szCs w:val="32"/>
        </w:rPr>
        <w:t xml:space="preserve">%，主要原因：</w:t>
      </w:r>
      <w:r>
        <w:rPr>
          <w:rFonts w:hint="eastAsia" w:ascii="黑体" w:hAnsi="黑体" w:eastAsia="黑体"/>
          <w:sz w:val="32"/>
          <w:szCs w:val="32"/>
        </w:rPr>
        <w:t xml:space="preserve">一是</w:t>
      </w:r>
      <w:r>
        <w:rPr>
          <w:rFonts w:hint="eastAsia" w:ascii="仿宋_GB2312" w:hAnsi="宋体" w:eastAsia="仿宋_GB2312"/>
          <w:sz w:val="32"/>
          <w:szCs w:val="32"/>
          <w:lang w:eastAsia="zh-CN"/>
        </w:rPr>
        <w:t xml:space="preserve">人员支出增加</w:t>
      </w:r>
      <w:r>
        <w:rPr>
          <w:rFonts w:hint="eastAsia" w:ascii="仿宋_GB2312" w:hAnsi="宋体" w:eastAsia="仿宋_GB2312"/>
          <w:sz w:val="32"/>
          <w:szCs w:val="32"/>
        </w:rPr>
        <w:t xml:space="preserve">；</w:t>
      </w:r>
      <w:r>
        <w:rPr>
          <w:rFonts w:hint="eastAsia" w:ascii="黑体" w:hAnsi="黑体" w:eastAsia="黑体"/>
          <w:sz w:val="32"/>
          <w:szCs w:val="32"/>
        </w:rPr>
        <w:t xml:space="preserve">二是</w:t>
      </w:r>
      <w:r>
        <w:rPr>
          <w:rFonts w:hint="eastAsia" w:ascii="仿宋_GB2312" w:hAnsi="宋体" w:eastAsia="仿宋_GB2312" w:cs="Times New Roman"/>
          <w:sz w:val="32"/>
          <w:szCs w:val="32"/>
          <w:lang w:eastAsia="zh-CN"/>
        </w:rPr>
        <w:t xml:space="preserve">人员保险支出增加</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（三）年末结转和结余</w:t>
      </w:r>
      <w:r>
        <w:rPr>
          <w:rFonts w:hint="eastAsia" w:ascii="楷体_GB2312" w:hAnsi="宋体" w:eastAsia="楷体_GB2312"/>
          <w:b/>
          <w:sz w:val="32"/>
          <w:szCs w:val="32"/>
          <w:lang w:val="en-US" w:eastAsia="zh-CN"/>
        </w:rPr>
        <w:t xml:space="preserve">0</w:t>
      </w:r>
      <w:r>
        <w:rPr>
          <w:rFonts w:hint="eastAsia" w:ascii="楷体_GB2312" w:hAnsi="宋体" w:eastAsia="楷体_GB2312"/>
          <w:b/>
          <w:sz w:val="32"/>
          <w:szCs w:val="32"/>
        </w:rPr>
        <w:t xml:space="preserve">万元。</w:t>
      </w:r>
      <w:r>
        <w:rPr>
          <w:rFonts w:hint="eastAsia" w:ascii="楷体_GB2312" w:hAnsi="宋体" w:eastAsia="楷体_GB2312"/>
          <w:b/>
          <w:sz w:val="32"/>
          <w:szCs w:val="32"/>
        </w:rPr>
      </w:r>
      <w:r>
        <w:rPr>
          <w:rFonts w:hint="eastAsia" w:ascii="楷体_GB2312" w:hAnsi="宋体" w:eastAsia="楷体_GB2312"/>
          <w:b/>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没有</w:t>
      </w:r>
      <w:r>
        <w:rPr>
          <w:rFonts w:hint="eastAsia" w:ascii="仿宋_GB2312" w:hAnsi="宋体" w:eastAsia="仿宋_GB2312"/>
          <w:sz w:val="32"/>
          <w:szCs w:val="32"/>
        </w:rPr>
        <w:t xml:space="preserve">形成结余。与上年相比，今年结转结余减少</w:t>
      </w:r>
      <w:r>
        <w:rPr>
          <w:rFonts w:hint="eastAsia" w:ascii="仿宋_GB2312" w:hAnsi="宋体" w:eastAsia="仿宋_GB2312"/>
          <w:sz w:val="32"/>
          <w:szCs w:val="32"/>
          <w:lang w:val="en-US" w:eastAsia="zh-CN"/>
        </w:rPr>
        <w:t xml:space="preserve">53.52</w:t>
      </w:r>
      <w:r>
        <w:rPr>
          <w:rFonts w:hint="eastAsia" w:ascii="仿宋_GB2312" w:hAnsi="宋体" w:eastAsia="仿宋_GB2312"/>
          <w:sz w:val="32"/>
          <w:szCs w:val="32"/>
        </w:rPr>
        <w:t xml:space="preserve">万元，降低</w:t>
      </w:r>
      <w:r>
        <w:rPr>
          <w:rFonts w:hint="eastAsia" w:ascii="仿宋_GB2312" w:hAnsi="宋体" w:eastAsia="仿宋_GB2312"/>
          <w:sz w:val="32"/>
          <w:szCs w:val="32"/>
          <w:lang w:val="en-US" w:eastAsia="zh-CN"/>
        </w:rPr>
        <w:t xml:space="preserve">100</w:t>
      </w:r>
      <w:r>
        <w:rPr>
          <w:rFonts w:hint="eastAsia" w:ascii="仿宋_GB2312" w:hAnsi="宋体" w:eastAsia="仿宋_GB2312"/>
          <w:sz w:val="32"/>
          <w:szCs w:val="32"/>
        </w:rPr>
        <w:t xml:space="preserve">%，主要原因：</w:t>
      </w:r>
      <w:r>
        <w:rPr>
          <w:rFonts w:hint="eastAsia" w:ascii="黑体" w:hAnsi="黑体" w:eastAsia="黑体"/>
          <w:sz w:val="32"/>
          <w:szCs w:val="32"/>
        </w:rPr>
        <w:t xml:space="preserve">一是</w:t>
      </w:r>
      <w:r>
        <w:rPr>
          <w:rFonts w:hint="eastAsia" w:ascii="仿宋_GB2312" w:hAnsi="宋体" w:eastAsia="仿宋_GB2312"/>
          <w:sz w:val="32"/>
          <w:szCs w:val="32"/>
          <w:lang w:eastAsia="zh-CN"/>
        </w:rPr>
        <w:t xml:space="preserve">无结转和结余</w:t>
      </w:r>
      <w:r>
        <w:rPr>
          <w:rFonts w:hint="eastAsia" w:ascii="仿宋_GB2312" w:hAnsi="宋体" w:eastAsia="仿宋_GB2312"/>
          <w:sz w:val="32"/>
          <w:szCs w:val="32"/>
        </w:rPr>
        <w:t xml:space="preserve">；</w:t>
      </w:r>
      <w:r>
        <w:rPr>
          <w:rFonts w:hint="eastAsia" w:ascii="黑体" w:hAnsi="黑体" w:eastAsia="黑体"/>
          <w:sz w:val="32"/>
          <w:szCs w:val="32"/>
        </w:rPr>
        <w:t xml:space="preserve">二是</w:t>
      </w:r>
      <w:r>
        <w:rPr>
          <w:rFonts w:hint="eastAsia" w:ascii="仿宋_GB2312" w:hAnsi="宋体" w:eastAsia="仿宋_GB2312"/>
          <w:sz w:val="32"/>
          <w:szCs w:val="32"/>
          <w:lang w:eastAsia="zh-CN"/>
        </w:rPr>
        <w:t xml:space="preserve">本年无结转结余</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黑体" w:hAnsi="黑体" w:eastAsia="黑体"/>
          <w:sz w:val="32"/>
          <w:szCs w:val="32"/>
          <w:lang w:eastAsia="zh-CN"/>
        </w:rPr>
      </w:pPr>
      <w:r>
        <w:rPr>
          <w:rFonts w:hint="eastAsia" w:ascii="黑体" w:hAnsi="黑体" w:eastAsia="黑体"/>
          <w:sz w:val="32"/>
          <w:szCs w:val="32"/>
        </w:rPr>
        <w:t xml:space="preserve">二、财政拨款支出决算情况</w:t>
      </w:r>
      <w:r>
        <w:rPr>
          <w:rFonts w:hint="eastAsia" w:ascii="黑体" w:hAnsi="黑体" w:eastAsia="黑体"/>
          <w:sz w:val="32"/>
          <w:szCs w:val="32"/>
          <w:lang w:eastAsia="zh-CN"/>
        </w:rPr>
        <w:t xml:space="preserve">说明</w:t>
      </w:r>
      <w:r>
        <w:rPr>
          <w:rFonts w:hint="eastAsia" w:ascii="黑体" w:hAnsi="黑体" w:eastAsia="黑体"/>
          <w:sz w:val="32"/>
          <w:szCs w:val="32"/>
          <w:lang w:eastAsia="zh-CN"/>
        </w:rPr>
      </w:r>
      <w:r>
        <w:rPr>
          <w:rFonts w:hint="eastAsia" w:ascii="黑体" w:hAnsi="黑体" w:eastAsia="黑体"/>
          <w:sz w:val="32"/>
          <w:szCs w:val="32"/>
          <w:lang w:eastAsia="zh-CN"/>
        </w:rPr>
      </w:r>
    </w:p>
    <w:p>
      <w:pPr>
        <w:pStyle w:val="859"/>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（一）总体情况。</w:t>
      </w:r>
      <w:r>
        <w:rPr>
          <w:rFonts w:hint="eastAsia" w:ascii="楷体_GB2312" w:hAnsi="宋体" w:eastAsia="楷体_GB2312"/>
          <w:b/>
          <w:sz w:val="32"/>
          <w:szCs w:val="32"/>
        </w:rPr>
      </w:r>
      <w:r>
        <w:rPr>
          <w:rFonts w:hint="eastAsia" w:ascii="楷体_GB2312" w:hAnsi="宋体" w:eastAsia="楷体_GB2312"/>
          <w:b/>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年度财政拨款支出</w:t>
      </w:r>
      <w:r>
        <w:rPr>
          <w:rFonts w:hint="eastAsia" w:ascii="仿宋_GB2312" w:hAnsi="宋体" w:eastAsia="仿宋_GB2312"/>
          <w:sz w:val="32"/>
          <w:szCs w:val="32"/>
          <w:lang w:val="en-US" w:eastAsia="zh-CN"/>
        </w:rPr>
        <w:t xml:space="preserve">1592.39</w:t>
      </w:r>
      <w:r>
        <w:rPr>
          <w:rFonts w:hint="eastAsia" w:ascii="仿宋_GB2312" w:hAnsi="宋体" w:eastAsia="仿宋_GB2312"/>
          <w:sz w:val="32"/>
          <w:szCs w:val="32"/>
        </w:rPr>
        <w:t xml:space="preserve">万元，其中：基本支出</w:t>
      </w:r>
      <w:r>
        <w:rPr>
          <w:rFonts w:hint="eastAsia" w:ascii="仿宋_GB2312" w:hAnsi="宋体" w:eastAsia="仿宋_GB2312"/>
          <w:sz w:val="32"/>
          <w:szCs w:val="32"/>
          <w:lang w:val="en-US" w:eastAsia="zh-CN"/>
        </w:rPr>
        <w:t xml:space="preserve">799.23</w:t>
      </w:r>
      <w:r>
        <w:rPr>
          <w:rFonts w:hint="eastAsia" w:ascii="仿宋_GB2312" w:hAnsi="宋体" w:eastAsia="仿宋_GB2312"/>
          <w:sz w:val="32"/>
          <w:szCs w:val="32"/>
        </w:rPr>
        <w:t xml:space="preserve">万元，项目支出</w:t>
      </w:r>
      <w:r>
        <w:rPr>
          <w:rFonts w:hint="eastAsia" w:ascii="仿宋_GB2312" w:hAnsi="宋体" w:eastAsia="仿宋_GB2312"/>
          <w:sz w:val="32"/>
          <w:szCs w:val="32"/>
          <w:lang w:val="en-US" w:eastAsia="zh-CN"/>
        </w:rPr>
        <w:t xml:space="preserve">793.16</w:t>
      </w:r>
      <w:r>
        <w:rPr>
          <w:rFonts w:hint="eastAsia" w:ascii="仿宋_GB2312" w:hAnsi="宋体" w:eastAsia="仿宋_GB2312"/>
          <w:sz w:val="32"/>
          <w:szCs w:val="32"/>
        </w:rPr>
        <w:t xml:space="preserve">万元。与</w:t>
      </w:r>
      <w:r>
        <w:rPr>
          <w:rFonts w:ascii="仿宋_GB2312" w:hAnsi="宋体" w:eastAsia="仿宋_GB2312"/>
          <w:sz w:val="32"/>
          <w:szCs w:val="32"/>
        </w:rPr>
        <w:t xml:space="preserve">上年相比，</w:t>
      </w:r>
      <w:r>
        <w:rPr>
          <w:rFonts w:hint="eastAsia" w:ascii="仿宋_GB2312" w:hAnsi="宋体" w:eastAsia="仿宋_GB2312"/>
          <w:sz w:val="32"/>
          <w:szCs w:val="32"/>
        </w:rPr>
        <w:t xml:space="preserve">财政拨款支出增加</w:t>
      </w:r>
      <w:r>
        <w:rPr>
          <w:rFonts w:hint="eastAsia" w:ascii="仿宋_GB2312" w:hAnsi="宋体" w:eastAsia="仿宋_GB2312"/>
          <w:sz w:val="32"/>
          <w:szCs w:val="32"/>
          <w:lang w:val="en-US" w:eastAsia="zh-CN"/>
        </w:rPr>
        <w:t xml:space="preserve">45.42</w:t>
      </w:r>
      <w:r>
        <w:rPr>
          <w:rFonts w:hint="eastAsia" w:ascii="仿宋_GB2312" w:hAnsi="宋体" w:eastAsia="仿宋_GB2312"/>
          <w:sz w:val="32"/>
          <w:szCs w:val="32"/>
        </w:rPr>
        <w:t xml:space="preserve">万元，增长</w:t>
      </w:r>
      <w:r>
        <w:rPr>
          <w:rFonts w:hint="eastAsia" w:ascii="仿宋_GB2312" w:hAnsi="宋体" w:eastAsia="仿宋_GB2312"/>
          <w:sz w:val="32"/>
          <w:szCs w:val="32"/>
          <w:lang w:val="en-US" w:eastAsia="zh-CN"/>
        </w:rPr>
        <w:t xml:space="preserve">2.94</w:t>
      </w:r>
      <w:r>
        <w:rPr>
          <w:rFonts w:hint="eastAsia" w:ascii="仿宋_GB2312" w:hAnsi="宋体" w:eastAsia="仿宋_GB2312"/>
          <w:sz w:val="32"/>
          <w:szCs w:val="32"/>
        </w:rPr>
        <w:t xml:space="preserve">%，主要原因：</w:t>
      </w:r>
      <w:r>
        <w:rPr>
          <w:rFonts w:hint="eastAsia" w:ascii="黑体" w:hAnsi="黑体" w:eastAsia="黑体"/>
          <w:sz w:val="32"/>
          <w:szCs w:val="32"/>
        </w:rPr>
        <w:t xml:space="preserve">一是</w:t>
      </w:r>
      <w:r>
        <w:rPr>
          <w:rFonts w:hint="eastAsia" w:ascii="仿宋_GB2312" w:hAnsi="宋体" w:eastAsia="仿宋_GB2312"/>
          <w:sz w:val="32"/>
          <w:szCs w:val="32"/>
          <w:lang w:eastAsia="zh-CN"/>
        </w:rPr>
        <w:t xml:space="preserve">人员支出增加</w:t>
      </w:r>
      <w:r>
        <w:rPr>
          <w:rFonts w:hint="eastAsia" w:ascii="仿宋_GB2312" w:hAnsi="宋体" w:eastAsia="仿宋_GB2312"/>
          <w:sz w:val="32"/>
          <w:szCs w:val="32"/>
        </w:rPr>
        <w:t xml:space="preserve">；</w:t>
      </w:r>
      <w:r>
        <w:rPr>
          <w:rFonts w:hint="eastAsia" w:ascii="黑体" w:hAnsi="黑体" w:eastAsia="黑体"/>
          <w:sz w:val="32"/>
          <w:szCs w:val="32"/>
        </w:rPr>
        <w:t xml:space="preserve">二是</w:t>
      </w:r>
      <w:r>
        <w:rPr>
          <w:rFonts w:hint="eastAsia" w:ascii="仿宋_GB2312" w:hAnsi="宋体" w:eastAsia="仿宋_GB2312" w:cs="Times New Roman"/>
          <w:sz w:val="32"/>
          <w:szCs w:val="32"/>
          <w:lang w:eastAsia="zh-CN"/>
        </w:rPr>
        <w:t xml:space="preserve">人员保险支出增加</w:t>
      </w:r>
      <w:r>
        <w:rPr>
          <w:rFonts w:hint="eastAsia" w:ascii="仿宋_GB2312" w:hAnsi="宋体" w:eastAsia="仿宋_GB2312"/>
          <w:sz w:val="32"/>
          <w:szCs w:val="32"/>
        </w:rPr>
        <w:t xml:space="preserve">。与年初预算相比，</w:t>
      </w:r>
      <w:r>
        <w:rPr>
          <w:rFonts w:hint="eastAsia" w:ascii="仿宋_GB2312" w:hAnsi="宋体" w:eastAsia="仿宋_GB2312"/>
          <w:sz w:val="32"/>
          <w:szCs w:val="32"/>
          <w:lang w:eastAsia="zh-CN"/>
        </w:rPr>
        <w:t xml:space="preserve">2022</w:t>
      </w:r>
      <w:r>
        <w:rPr>
          <w:rFonts w:hint="eastAsia" w:ascii="仿宋_GB2312" w:hAnsi="宋体" w:eastAsia="仿宋_GB2312"/>
          <w:sz w:val="32"/>
          <w:szCs w:val="32"/>
          <w:lang w:val="en-US" w:eastAsia="zh-CN"/>
        </w:rPr>
        <w:t xml:space="preserve">年度</w:t>
      </w:r>
      <w:r>
        <w:rPr>
          <w:rFonts w:hint="eastAsia" w:ascii="仿宋_GB2312" w:hAnsi="宋体" w:eastAsia="仿宋_GB2312"/>
          <w:sz w:val="32"/>
          <w:szCs w:val="32"/>
        </w:rPr>
        <w:t xml:space="preserve">财政拨款支出完成年初预算的</w:t>
      </w:r>
      <w:r>
        <w:rPr>
          <w:rFonts w:hint="eastAsia" w:ascii="仿宋_GB2312" w:hAnsi="宋体" w:eastAsia="仿宋_GB2312"/>
          <w:sz w:val="32"/>
          <w:szCs w:val="32"/>
          <w:lang w:val="en-US" w:eastAsia="zh-CN"/>
        </w:rPr>
        <w:t xml:space="preserve">71.09</w:t>
      </w:r>
      <w:r>
        <w:rPr>
          <w:rFonts w:hint="eastAsia" w:ascii="仿宋_GB2312" w:hAnsi="宋体" w:eastAsia="仿宋_GB2312"/>
          <w:sz w:val="32"/>
          <w:szCs w:val="32"/>
        </w:rPr>
        <w:t xml:space="preserve">%，其中：基本支出完成年初预算的</w:t>
      </w:r>
      <w:r>
        <w:rPr>
          <w:rFonts w:hint="eastAsia" w:ascii="仿宋_GB2312" w:hAnsi="宋体" w:eastAsia="仿宋_GB2312"/>
          <w:sz w:val="32"/>
          <w:szCs w:val="32"/>
          <w:lang w:val="en-US" w:eastAsia="zh-CN"/>
        </w:rPr>
        <w:t xml:space="preserve">132.75</w:t>
      </w:r>
      <w:r>
        <w:rPr>
          <w:rFonts w:hint="eastAsia" w:ascii="仿宋_GB2312" w:hAnsi="宋体" w:eastAsia="仿宋_GB2312"/>
          <w:sz w:val="32"/>
          <w:szCs w:val="32"/>
        </w:rPr>
        <w:t xml:space="preserve">%，项目完成年初预算的</w:t>
      </w:r>
      <w:r>
        <w:rPr>
          <w:rFonts w:hint="eastAsia" w:ascii="仿宋_GB2312" w:hAnsi="宋体" w:eastAsia="仿宋_GB2312"/>
          <w:sz w:val="32"/>
          <w:szCs w:val="32"/>
          <w:lang w:val="en-US" w:eastAsia="zh-CN"/>
        </w:rPr>
        <w:t xml:space="preserve">48.42</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（二）</w:t>
      </w:r>
      <w:r>
        <w:rPr>
          <w:rFonts w:hint="eastAsia" w:ascii="楷体_GB2312" w:hAnsi="宋体" w:eastAsia="楷体_GB2312"/>
          <w:b/>
          <w:sz w:val="32"/>
          <w:szCs w:val="32"/>
          <w:lang w:val="en-US" w:eastAsia="zh-CN"/>
        </w:rPr>
        <w:t xml:space="preserve">一般公共预算财政拨款支出</w:t>
      </w:r>
      <w:r>
        <w:rPr>
          <w:rFonts w:hint="eastAsia" w:ascii="楷体_GB2312" w:hAnsi="宋体" w:eastAsia="楷体_GB2312"/>
          <w:b/>
          <w:sz w:val="32"/>
          <w:szCs w:val="32"/>
        </w:rPr>
        <w:t xml:space="preserve">情况。</w:t>
      </w:r>
      <w:r>
        <w:rPr>
          <w:rFonts w:hint="eastAsia" w:ascii="楷体_GB2312" w:hAnsi="宋体" w:eastAsia="楷体_GB2312"/>
          <w:b/>
          <w:sz w:val="32"/>
          <w:szCs w:val="32"/>
        </w:rPr>
      </w:r>
      <w:r>
        <w:rPr>
          <w:rFonts w:hint="eastAsia" w:ascii="楷体_GB2312" w:hAnsi="宋体" w:eastAsia="楷体_GB2312"/>
          <w:b/>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年度一般公共预算财政拨款支出</w:t>
      </w:r>
      <w:r>
        <w:rPr>
          <w:rFonts w:hint="eastAsia" w:ascii="仿宋_GB2312" w:hAnsi="宋体" w:eastAsia="仿宋_GB2312"/>
          <w:sz w:val="32"/>
          <w:szCs w:val="32"/>
          <w:lang w:val="en-US" w:eastAsia="zh-CN"/>
        </w:rPr>
        <w:t xml:space="preserve">1592.39</w:t>
      </w:r>
      <w:r>
        <w:rPr>
          <w:rFonts w:hint="eastAsia" w:ascii="仿宋_GB2312" w:hAnsi="宋体" w:eastAsia="仿宋_GB2312"/>
          <w:sz w:val="32"/>
          <w:szCs w:val="32"/>
        </w:rPr>
        <w:t xml:space="preserve">万元，按支出功能分类科目分，包括：</w:t>
      </w:r>
      <w:r>
        <w:rPr>
          <w:rFonts w:hint="eastAsia" w:ascii="仿宋_GB2312" w:hAnsi="宋体" w:eastAsia="仿宋_GB2312"/>
          <w:sz w:val="32"/>
          <w:szCs w:val="32"/>
          <w:lang w:eastAsia="zh-CN"/>
        </w:rPr>
        <w:t xml:space="preserve">社会保障和就业支出</w:t>
      </w:r>
      <w:r>
        <w:rPr>
          <w:rFonts w:hint="eastAsia" w:ascii="仿宋_GB2312" w:hAnsi="宋体" w:eastAsia="仿宋_GB2312"/>
          <w:sz w:val="32"/>
          <w:szCs w:val="32"/>
          <w:lang w:val="en-US" w:eastAsia="zh-CN"/>
        </w:rPr>
        <w:t xml:space="preserve">81.06万元</w:t>
      </w:r>
      <w:r>
        <w:rPr>
          <w:rFonts w:hint="eastAsia" w:ascii="仿宋_GB2312" w:hAnsi="宋体" w:eastAsia="仿宋_GB2312"/>
          <w:sz w:val="32"/>
          <w:szCs w:val="32"/>
          <w:lang w:eastAsia="zh-CN"/>
        </w:rPr>
        <w:t xml:space="preserve">，占</w:t>
      </w:r>
      <w:r>
        <w:rPr>
          <w:rFonts w:hint="eastAsia" w:ascii="仿宋_GB2312" w:hAnsi="宋体" w:eastAsia="仿宋_GB2312"/>
          <w:sz w:val="32"/>
          <w:szCs w:val="32"/>
          <w:lang w:val="en-US" w:eastAsia="zh-CN"/>
        </w:rPr>
        <w:t xml:space="preserve">5.09% ；卫生健康支出43.93万元，占2.76%；自然资源海洋气象等支出1411.38万元，占88.63%；住房保障支出56.01万元，占3.52%</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1.</w:t>
      </w:r>
      <w:r>
        <w:rPr>
          <w:rFonts w:hint="eastAsia" w:ascii="仿宋_GB2312" w:hAnsi="宋体" w:eastAsia="仿宋_GB2312"/>
          <w:sz w:val="32"/>
          <w:szCs w:val="32"/>
          <w:lang w:eastAsia="zh-CN"/>
        </w:rPr>
        <w:t xml:space="preserve">社会保障和就业支出</w:t>
      </w:r>
      <w:r>
        <w:rPr>
          <w:rFonts w:hint="eastAsia" w:ascii="仿宋_GB2312" w:hAnsi="宋体" w:eastAsia="仿宋_GB2312"/>
          <w:sz w:val="32"/>
          <w:szCs w:val="32"/>
          <w:lang w:val="en-US" w:eastAsia="zh-CN"/>
        </w:rPr>
        <w:t xml:space="preserve">81.06</w:t>
      </w:r>
      <w:r>
        <w:rPr>
          <w:rFonts w:hint="eastAsia" w:ascii="仿宋_GB2312" w:hAnsi="宋体" w:eastAsia="仿宋_GB2312"/>
          <w:sz w:val="32"/>
          <w:szCs w:val="32"/>
        </w:rPr>
        <w:t xml:space="preserve">万元，具体包括：</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1</w:t>
      </w:r>
      <w:r>
        <w:rPr>
          <w:rFonts w:hint="eastAsia" w:ascii="仿宋_GB2312" w:hAnsi="宋体" w:eastAsia="仿宋_GB2312"/>
          <w:sz w:val="32"/>
          <w:szCs w:val="32"/>
          <w:highlight w:val="none"/>
        </w:rPr>
        <w:t xml:space="preserve">）社会保障和就业支出（类）行政事业单位养老支出（款）机关事业单位基本养老保险缴费支出（项）</w:t>
      </w:r>
      <w:r>
        <w:rPr>
          <w:rFonts w:hint="eastAsia" w:ascii="仿宋_GB2312" w:hAnsi="宋体" w:eastAsia="仿宋_GB2312"/>
          <w:sz w:val="32"/>
          <w:szCs w:val="32"/>
          <w:highlight w:val="none"/>
          <w:lang w:val="en-US" w:eastAsia="zh-CN"/>
        </w:rPr>
        <w:t xml:space="preserve">76.49</w:t>
      </w:r>
      <w:r>
        <w:rPr>
          <w:rFonts w:hint="eastAsia" w:ascii="仿宋_GB2312" w:hAnsi="宋体" w:eastAsia="仿宋_GB2312"/>
          <w:sz w:val="32"/>
          <w:szCs w:val="32"/>
          <w:highlight w:val="none"/>
        </w:rPr>
        <w:t xml:space="preserve">万元，主要是机关事业单位基本养老保险缴费支出，完成年初预算的</w:t>
      </w:r>
      <w:r>
        <w:rPr>
          <w:rFonts w:hint="eastAsia" w:ascii="仿宋_GB2312" w:hAnsi="宋体" w:eastAsia="仿宋_GB2312"/>
          <w:sz w:val="32"/>
          <w:szCs w:val="32"/>
          <w:highlight w:val="none"/>
          <w:lang w:val="en-US" w:eastAsia="zh-CN"/>
        </w:rPr>
        <w:t xml:space="preserve">120.65</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大于</w:t>
      </w:r>
      <w:r>
        <w:rPr>
          <w:rFonts w:hint="eastAsia" w:ascii="仿宋_GB2312" w:hAnsi="宋体" w:eastAsia="仿宋_GB2312"/>
          <w:sz w:val="32"/>
          <w:szCs w:val="32"/>
          <w:highlight w:val="none"/>
        </w:rPr>
        <w:t xml:space="preserve">年初预算数的原因主要是养老保险缴费支出</w:t>
      </w:r>
      <w:r>
        <w:rPr>
          <w:rFonts w:hint="eastAsia" w:ascii="仿宋_GB2312" w:hAnsi="宋体" w:eastAsia="仿宋_GB2312"/>
          <w:sz w:val="32"/>
          <w:szCs w:val="32"/>
          <w:highlight w:val="none"/>
          <w:lang w:eastAsia="zh-CN"/>
        </w:rPr>
        <w:t xml:space="preserve">增加</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9"/>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2</w:t>
      </w:r>
      <w:r>
        <w:rPr>
          <w:rFonts w:hint="eastAsia" w:ascii="仿宋_GB2312" w:hAnsi="宋体" w:eastAsia="仿宋_GB2312"/>
          <w:sz w:val="32"/>
          <w:szCs w:val="32"/>
          <w:highlight w:val="none"/>
        </w:rPr>
        <w:t xml:space="preserve">）社会保障和就业支出（类）行政事业单位养老支出（款）机关事业单位职业年金缴费支出（项）</w:t>
      </w:r>
      <w:r>
        <w:rPr>
          <w:rFonts w:hint="eastAsia" w:ascii="仿宋_GB2312" w:hAnsi="宋体" w:eastAsia="仿宋_GB2312"/>
          <w:sz w:val="32"/>
          <w:szCs w:val="32"/>
          <w:highlight w:val="none"/>
          <w:lang w:val="en-US" w:eastAsia="zh-CN"/>
        </w:rPr>
        <w:t xml:space="preserve">4.57</w:t>
      </w:r>
      <w:r>
        <w:rPr>
          <w:rFonts w:hint="eastAsia" w:ascii="仿宋_GB2312" w:hAnsi="宋体" w:eastAsia="仿宋_GB2312"/>
          <w:sz w:val="32"/>
          <w:szCs w:val="32"/>
          <w:highlight w:val="none"/>
        </w:rPr>
        <w:t xml:space="preserve">万元，主要是机关事业单位职业年金缴费支出，完成年初预算的</w:t>
      </w:r>
      <w:r>
        <w:rPr>
          <w:rFonts w:hint="eastAsia" w:ascii="仿宋_GB2312" w:hAnsi="宋体" w:eastAsia="仿宋_GB2312"/>
          <w:sz w:val="32"/>
          <w:szCs w:val="32"/>
          <w:highlight w:val="none"/>
          <w:lang w:val="en-US" w:eastAsia="zh-CN"/>
        </w:rPr>
        <w:t xml:space="preserve">76.17</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小于</w:t>
      </w:r>
      <w:r>
        <w:rPr>
          <w:rFonts w:hint="eastAsia" w:ascii="仿宋_GB2312" w:hAnsi="宋体" w:eastAsia="仿宋_GB2312"/>
          <w:sz w:val="32"/>
          <w:szCs w:val="32"/>
          <w:highlight w:val="none"/>
        </w:rPr>
        <w:t xml:space="preserve">年初预算数的原因</w:t>
      </w:r>
      <w:r>
        <w:rPr>
          <w:rFonts w:hint="eastAsia" w:ascii="仿宋_GB2312" w:hAnsi="宋体" w:eastAsia="仿宋_GB2312"/>
          <w:sz w:val="32"/>
          <w:szCs w:val="32"/>
          <w:highlight w:val="none"/>
          <w:lang w:eastAsia="zh-CN"/>
        </w:rPr>
        <w:t xml:space="preserve">按照实际职业年金金额缴纳</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9"/>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2.卫生健康支出</w:t>
      </w:r>
      <w:r>
        <w:rPr>
          <w:rFonts w:hint="eastAsia" w:ascii="仿宋_GB2312" w:hAnsi="宋体" w:eastAsia="仿宋_GB2312"/>
          <w:sz w:val="32"/>
          <w:szCs w:val="32"/>
          <w:highlight w:val="none"/>
          <w:lang w:val="en-US" w:eastAsia="zh-CN"/>
        </w:rPr>
        <w:t xml:space="preserve">43.93</w:t>
      </w:r>
      <w:r>
        <w:rPr>
          <w:rFonts w:hint="eastAsia" w:ascii="仿宋_GB2312" w:hAnsi="宋体" w:eastAsia="仿宋_GB2312"/>
          <w:sz w:val="32"/>
          <w:szCs w:val="32"/>
          <w:highlight w:val="none"/>
        </w:rPr>
        <w:t xml:space="preserve">万元，具体包括：</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9"/>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（1）卫生健康支出（类）行政事业单位医疗（款）</w:t>
      </w:r>
      <w:r>
        <w:rPr>
          <w:rFonts w:hint="eastAsia" w:ascii="仿宋_GB2312" w:hAnsi="宋体" w:eastAsia="仿宋_GB2312"/>
          <w:sz w:val="32"/>
          <w:szCs w:val="32"/>
          <w:highlight w:val="none"/>
          <w:lang w:eastAsia="zh-CN"/>
        </w:rPr>
        <w:t xml:space="preserve">事业</w:t>
      </w:r>
      <w:r>
        <w:rPr>
          <w:rFonts w:hint="eastAsia" w:ascii="仿宋_GB2312" w:hAnsi="宋体" w:eastAsia="仿宋_GB2312"/>
          <w:sz w:val="32"/>
          <w:szCs w:val="32"/>
          <w:highlight w:val="none"/>
        </w:rPr>
        <w:t xml:space="preserve">单位医疗（项）</w:t>
      </w:r>
      <w:r>
        <w:rPr>
          <w:rFonts w:hint="eastAsia" w:ascii="仿宋_GB2312" w:hAnsi="宋体" w:eastAsia="仿宋_GB2312"/>
          <w:sz w:val="32"/>
          <w:szCs w:val="32"/>
          <w:highlight w:val="none"/>
          <w:lang w:val="en-US" w:eastAsia="zh-CN"/>
        </w:rPr>
        <w:t xml:space="preserve">43.93</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事业</w:t>
      </w:r>
      <w:r>
        <w:rPr>
          <w:rFonts w:hint="eastAsia" w:ascii="仿宋_GB2312" w:hAnsi="宋体" w:eastAsia="仿宋_GB2312"/>
          <w:sz w:val="32"/>
          <w:szCs w:val="32"/>
          <w:highlight w:val="none"/>
        </w:rPr>
        <w:t xml:space="preserve">单位医疗支出，完成年初预算的</w:t>
      </w:r>
      <w:r>
        <w:rPr>
          <w:rFonts w:hint="eastAsia" w:ascii="仿宋_GB2312" w:hAnsi="宋体" w:eastAsia="仿宋_GB2312"/>
          <w:sz w:val="32"/>
          <w:szCs w:val="32"/>
          <w:highlight w:val="none"/>
          <w:lang w:val="en-US" w:eastAsia="zh-CN"/>
        </w:rPr>
        <w:t xml:space="preserve">100.76</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大于</w:t>
      </w:r>
      <w:r>
        <w:rPr>
          <w:rFonts w:hint="eastAsia" w:ascii="仿宋_GB2312" w:hAnsi="宋体" w:eastAsia="仿宋_GB2312"/>
          <w:sz w:val="32"/>
          <w:szCs w:val="32"/>
          <w:highlight w:val="none"/>
        </w:rPr>
        <w:t xml:space="preserve">年初预算数的原因主要是</w:t>
      </w:r>
      <w:r>
        <w:rPr>
          <w:rFonts w:hint="eastAsia" w:ascii="仿宋_GB2312" w:hAnsi="宋体" w:eastAsia="仿宋_GB2312"/>
          <w:sz w:val="32"/>
          <w:szCs w:val="32"/>
          <w:highlight w:val="none"/>
          <w:lang w:eastAsia="zh-CN"/>
        </w:rPr>
        <w:t xml:space="preserve">事业</w:t>
      </w:r>
      <w:r>
        <w:rPr>
          <w:rFonts w:hint="eastAsia" w:ascii="仿宋_GB2312" w:hAnsi="宋体" w:eastAsia="仿宋_GB2312"/>
          <w:sz w:val="32"/>
          <w:szCs w:val="32"/>
          <w:highlight w:val="none"/>
        </w:rPr>
        <w:t xml:space="preserve">单位医疗保险支出</w:t>
      </w:r>
      <w:r>
        <w:rPr>
          <w:rFonts w:hint="eastAsia" w:ascii="仿宋_GB2312" w:hAnsi="宋体" w:eastAsia="仿宋_GB2312"/>
          <w:sz w:val="32"/>
          <w:szCs w:val="32"/>
          <w:highlight w:val="none"/>
          <w:lang w:eastAsia="zh-CN"/>
        </w:rPr>
        <w:t xml:space="preserve">基数调整</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9"/>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 xml:space="preserve">3</w:t>
      </w:r>
      <w:r>
        <w:rPr>
          <w:rFonts w:hint="eastAsia" w:ascii="仿宋_GB2312" w:hAnsi="宋体" w:eastAsia="仿宋_GB2312"/>
          <w:sz w:val="32"/>
          <w:szCs w:val="32"/>
          <w:highlight w:val="none"/>
        </w:rPr>
        <w:t xml:space="preserve">.自然资源海洋气象等支出</w:t>
      </w:r>
      <w:r>
        <w:rPr>
          <w:rFonts w:hint="eastAsia" w:ascii="仿宋_GB2312" w:hAnsi="宋体" w:eastAsia="仿宋_GB2312"/>
          <w:sz w:val="32"/>
          <w:szCs w:val="32"/>
          <w:highlight w:val="none"/>
          <w:lang w:val="en-US" w:eastAsia="zh-CN"/>
        </w:rPr>
        <w:t xml:space="preserve">1411.38</w:t>
      </w:r>
      <w:r>
        <w:rPr>
          <w:rFonts w:hint="eastAsia" w:ascii="仿宋_GB2312" w:hAnsi="宋体" w:eastAsia="仿宋_GB2312"/>
          <w:sz w:val="32"/>
          <w:szCs w:val="32"/>
          <w:highlight w:val="none"/>
        </w:rPr>
        <w:t xml:space="preserve">万元，具体包括：</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9"/>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（1）自然资源海洋气象等支出（类）自然资源事务（款）</w:t>
      </w:r>
      <w:r>
        <w:rPr>
          <w:rFonts w:hint="eastAsia" w:ascii="仿宋_GB2312" w:hAnsi="宋体" w:eastAsia="仿宋_GB2312"/>
          <w:sz w:val="32"/>
          <w:szCs w:val="32"/>
          <w:highlight w:val="none"/>
          <w:lang w:eastAsia="zh-CN"/>
        </w:rPr>
        <w:t xml:space="preserve">事业</w:t>
      </w:r>
      <w:r>
        <w:rPr>
          <w:rFonts w:hint="eastAsia" w:ascii="仿宋_GB2312" w:hAnsi="宋体" w:eastAsia="仿宋_GB2312"/>
          <w:sz w:val="32"/>
          <w:szCs w:val="32"/>
          <w:highlight w:val="none"/>
        </w:rPr>
        <w:t xml:space="preserve">运行（项）</w:t>
      </w:r>
      <w:r>
        <w:rPr>
          <w:rFonts w:hint="eastAsia" w:ascii="仿宋_GB2312" w:hAnsi="宋体" w:eastAsia="仿宋_GB2312"/>
          <w:sz w:val="32"/>
          <w:szCs w:val="32"/>
          <w:highlight w:val="none"/>
          <w:lang w:val="en-US" w:eastAsia="zh-CN"/>
        </w:rPr>
        <w:t xml:space="preserve">547.23</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事业</w:t>
      </w:r>
      <w:r>
        <w:rPr>
          <w:rFonts w:hint="eastAsia" w:ascii="仿宋_GB2312" w:hAnsi="宋体" w:eastAsia="仿宋_GB2312"/>
          <w:sz w:val="32"/>
          <w:szCs w:val="32"/>
          <w:highlight w:val="none"/>
        </w:rPr>
        <w:t xml:space="preserve">运行支出，完成年初预算的</w:t>
      </w:r>
      <w:r>
        <w:rPr>
          <w:rFonts w:hint="eastAsia" w:ascii="仿宋_GB2312" w:hAnsi="宋体" w:eastAsia="仿宋_GB2312"/>
          <w:sz w:val="32"/>
          <w:szCs w:val="32"/>
          <w:highlight w:val="none"/>
          <w:lang w:val="en-US" w:eastAsia="zh-CN"/>
        </w:rPr>
        <w:t xml:space="preserve">123.95</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大于</w:t>
      </w:r>
      <w:r>
        <w:rPr>
          <w:rFonts w:hint="eastAsia" w:ascii="仿宋_GB2312" w:hAnsi="宋体" w:eastAsia="仿宋_GB2312"/>
          <w:sz w:val="32"/>
          <w:szCs w:val="32"/>
          <w:highlight w:val="none"/>
        </w:rPr>
        <w:t xml:space="preserve">年初预算数的原因主要是</w:t>
      </w:r>
      <w:r>
        <w:rPr>
          <w:rFonts w:hint="eastAsia" w:ascii="仿宋_GB2312" w:hAnsi="宋体" w:eastAsia="仿宋_GB2312"/>
          <w:sz w:val="32"/>
          <w:szCs w:val="32"/>
          <w:highlight w:val="none"/>
          <w:lang w:eastAsia="zh-CN"/>
        </w:rPr>
        <w:t xml:space="preserve">支出增加</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9"/>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2</w:t>
      </w:r>
      <w:r>
        <w:rPr>
          <w:rFonts w:hint="eastAsia" w:ascii="仿宋_GB2312" w:hAnsi="宋体" w:eastAsia="仿宋_GB2312"/>
          <w:sz w:val="32"/>
          <w:szCs w:val="32"/>
          <w:highlight w:val="none"/>
        </w:rPr>
        <w:t xml:space="preserve">）自然资源海洋气象等支出（类）自然资源事务（款）</w:t>
      </w:r>
      <w:r>
        <w:rPr>
          <w:rFonts w:hint="eastAsia" w:ascii="仿宋_GB2312" w:hAnsi="宋体" w:eastAsia="仿宋_GB2312"/>
          <w:sz w:val="32"/>
          <w:szCs w:val="32"/>
          <w:highlight w:val="none"/>
          <w:lang w:eastAsia="zh-CN"/>
        </w:rPr>
        <w:t xml:space="preserve">行政</w:t>
      </w:r>
      <w:r>
        <w:rPr>
          <w:rFonts w:hint="eastAsia" w:ascii="仿宋_GB2312" w:hAnsi="宋体" w:eastAsia="仿宋_GB2312"/>
          <w:sz w:val="32"/>
          <w:szCs w:val="32"/>
          <w:highlight w:val="none"/>
        </w:rPr>
        <w:t xml:space="preserve">运行（项）</w:t>
      </w:r>
      <w:r>
        <w:rPr>
          <w:rFonts w:hint="eastAsia" w:ascii="仿宋_GB2312" w:hAnsi="宋体" w:eastAsia="仿宋_GB2312"/>
          <w:sz w:val="32"/>
          <w:szCs w:val="32"/>
          <w:highlight w:val="none"/>
          <w:lang w:val="en-US" w:eastAsia="zh-CN"/>
        </w:rPr>
        <w:t xml:space="preserve">71</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事业</w:t>
      </w:r>
      <w:r>
        <w:rPr>
          <w:rFonts w:hint="eastAsia" w:ascii="仿宋_GB2312" w:hAnsi="宋体" w:eastAsia="仿宋_GB2312"/>
          <w:sz w:val="32"/>
          <w:szCs w:val="32"/>
          <w:highlight w:val="none"/>
        </w:rPr>
        <w:t xml:space="preserve">运行支出，完成年初预算的</w:t>
      </w:r>
      <w:r>
        <w:rPr>
          <w:rFonts w:hint="eastAsia" w:ascii="仿宋_GB2312" w:hAnsi="宋体" w:eastAsia="仿宋_GB2312"/>
          <w:sz w:val="32"/>
          <w:szCs w:val="32"/>
          <w:highlight w:val="none"/>
          <w:lang w:val="en-US" w:eastAsia="zh-CN"/>
        </w:rPr>
        <w:t xml:space="preserve">0</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大于</w:t>
      </w:r>
      <w:r>
        <w:rPr>
          <w:rFonts w:hint="eastAsia" w:ascii="仿宋_GB2312" w:hAnsi="宋体" w:eastAsia="仿宋_GB2312"/>
          <w:sz w:val="32"/>
          <w:szCs w:val="32"/>
          <w:highlight w:val="none"/>
        </w:rPr>
        <w:t xml:space="preserve">年初预算数的原因主要是</w:t>
      </w:r>
      <w:r>
        <w:rPr>
          <w:rFonts w:hint="eastAsia" w:ascii="仿宋_GB2312" w:hAnsi="宋体" w:eastAsia="仿宋_GB2312"/>
          <w:sz w:val="32"/>
          <w:szCs w:val="32"/>
          <w:highlight w:val="none"/>
          <w:lang w:eastAsia="zh-CN"/>
        </w:rPr>
        <w:t xml:space="preserve">支出增加</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9"/>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3</w:t>
      </w:r>
      <w:r>
        <w:rPr>
          <w:rFonts w:hint="eastAsia" w:ascii="仿宋_GB2312" w:hAnsi="宋体" w:eastAsia="仿宋_GB2312"/>
          <w:sz w:val="32"/>
          <w:szCs w:val="32"/>
          <w:highlight w:val="none"/>
        </w:rPr>
        <w:t xml:space="preserve">）自然资源海洋气象等支出（类）自然资源事务（款）</w:t>
      </w:r>
      <w:r>
        <w:rPr>
          <w:rFonts w:hint="eastAsia" w:ascii="仿宋_GB2312" w:hAnsi="宋体" w:eastAsia="仿宋_GB2312"/>
          <w:sz w:val="32"/>
          <w:szCs w:val="32"/>
          <w:highlight w:val="none"/>
          <w:lang w:eastAsia="zh-CN"/>
        </w:rPr>
        <w:t xml:space="preserve">自然资源调查与登记</w:t>
      </w:r>
      <w:r>
        <w:rPr>
          <w:rFonts w:hint="eastAsia" w:ascii="仿宋_GB2312" w:hAnsi="宋体" w:eastAsia="仿宋_GB2312"/>
          <w:sz w:val="32"/>
          <w:szCs w:val="32"/>
          <w:highlight w:val="none"/>
        </w:rPr>
        <w:t xml:space="preserve">（项）</w:t>
      </w:r>
      <w:r>
        <w:rPr>
          <w:rFonts w:hint="eastAsia" w:ascii="仿宋_GB2312" w:hAnsi="宋体" w:eastAsia="仿宋_GB2312"/>
          <w:sz w:val="32"/>
          <w:szCs w:val="32"/>
          <w:highlight w:val="none"/>
          <w:lang w:val="en-US" w:eastAsia="zh-CN"/>
        </w:rPr>
        <w:t xml:space="preserve">777.66</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项目</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47.48</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小于</w:t>
      </w:r>
      <w:r>
        <w:rPr>
          <w:rFonts w:hint="eastAsia" w:ascii="仿宋_GB2312" w:hAnsi="宋体" w:eastAsia="仿宋_GB2312"/>
          <w:sz w:val="32"/>
          <w:szCs w:val="32"/>
          <w:highlight w:val="none"/>
        </w:rPr>
        <w:t xml:space="preserve">年初预算数的原因主要是</w:t>
      </w:r>
      <w:r>
        <w:rPr>
          <w:rFonts w:hint="eastAsia" w:ascii="仿宋_GB2312" w:hAnsi="宋体" w:eastAsia="仿宋_GB2312"/>
          <w:sz w:val="32"/>
          <w:szCs w:val="32"/>
          <w:highlight w:val="none"/>
          <w:lang w:eastAsia="zh-CN"/>
        </w:rPr>
        <w:t xml:space="preserve">项目支出增加</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9"/>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4</w:t>
      </w:r>
      <w:r>
        <w:rPr>
          <w:rFonts w:hint="eastAsia" w:ascii="仿宋_GB2312" w:hAnsi="宋体" w:eastAsia="仿宋_GB2312"/>
          <w:sz w:val="32"/>
          <w:szCs w:val="32"/>
          <w:highlight w:val="none"/>
        </w:rPr>
        <w:t xml:space="preserve">）自然资源海洋气象等支出（类）自然资源事务（款）</w:t>
      </w:r>
      <w:r>
        <w:rPr>
          <w:rFonts w:hint="eastAsia" w:ascii="仿宋_GB2312" w:hAnsi="宋体" w:eastAsia="仿宋_GB2312"/>
          <w:sz w:val="32"/>
          <w:szCs w:val="32"/>
          <w:highlight w:val="none"/>
          <w:lang w:eastAsia="zh-CN"/>
        </w:rPr>
        <w:t xml:space="preserve">其他自然资源事务</w:t>
      </w:r>
      <w:r>
        <w:rPr>
          <w:rFonts w:hint="eastAsia" w:ascii="仿宋_GB2312" w:hAnsi="宋体" w:eastAsia="仿宋_GB2312"/>
          <w:sz w:val="32"/>
          <w:szCs w:val="32"/>
          <w:highlight w:val="none"/>
        </w:rPr>
        <w:t xml:space="preserve">（项）</w:t>
      </w:r>
      <w:r>
        <w:rPr>
          <w:rFonts w:hint="eastAsia" w:ascii="仿宋_GB2312" w:hAnsi="宋体" w:eastAsia="仿宋_GB2312"/>
          <w:sz w:val="32"/>
          <w:szCs w:val="32"/>
          <w:highlight w:val="none"/>
          <w:lang w:val="en-US" w:eastAsia="zh-CN"/>
        </w:rPr>
        <w:t xml:space="preserve">15.49</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项目</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0</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大于</w:t>
      </w:r>
      <w:r>
        <w:rPr>
          <w:rFonts w:hint="eastAsia" w:ascii="仿宋_GB2312" w:hAnsi="宋体" w:eastAsia="仿宋_GB2312"/>
          <w:sz w:val="32"/>
          <w:szCs w:val="32"/>
          <w:highlight w:val="none"/>
        </w:rPr>
        <w:t xml:space="preserve">年初预算数的原因主要是</w:t>
      </w:r>
      <w:r>
        <w:rPr>
          <w:rFonts w:hint="eastAsia" w:ascii="仿宋_GB2312" w:hAnsi="宋体" w:eastAsia="仿宋_GB2312"/>
          <w:sz w:val="32"/>
          <w:szCs w:val="32"/>
          <w:highlight w:val="none"/>
          <w:lang w:eastAsia="zh-CN"/>
        </w:rPr>
        <w:t xml:space="preserve">项目支出增加</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9"/>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 xml:space="preserve">4</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eastAsia="zh-CN"/>
        </w:rPr>
        <w:t xml:space="preserve">住房保障</w:t>
      </w:r>
      <w:r>
        <w:rPr>
          <w:rFonts w:hint="eastAsia" w:ascii="仿宋_GB2312" w:hAnsi="宋体" w:eastAsia="仿宋_GB2312"/>
          <w:sz w:val="32"/>
          <w:szCs w:val="32"/>
          <w:highlight w:val="none"/>
        </w:rPr>
        <w:t xml:space="preserve">支出</w:t>
      </w:r>
      <w:r>
        <w:rPr>
          <w:rFonts w:hint="eastAsia" w:ascii="仿宋_GB2312" w:hAnsi="宋体" w:eastAsia="仿宋_GB2312"/>
          <w:sz w:val="32"/>
          <w:szCs w:val="32"/>
          <w:highlight w:val="none"/>
          <w:lang w:val="en-US" w:eastAsia="zh-CN"/>
        </w:rPr>
        <w:t xml:space="preserve">56.01</w:t>
      </w:r>
      <w:r>
        <w:rPr>
          <w:rFonts w:hint="eastAsia" w:ascii="仿宋_GB2312" w:hAnsi="宋体" w:eastAsia="仿宋_GB2312"/>
          <w:sz w:val="32"/>
          <w:szCs w:val="32"/>
          <w:highlight w:val="none"/>
        </w:rPr>
        <w:t xml:space="preserve">万元，具体包括：</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9"/>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（1）</w:t>
      </w:r>
      <w:r>
        <w:rPr>
          <w:rFonts w:hint="eastAsia" w:ascii="仿宋_GB2312" w:hAnsi="宋体" w:eastAsia="仿宋_GB2312"/>
          <w:sz w:val="32"/>
          <w:szCs w:val="32"/>
          <w:highlight w:val="none"/>
          <w:lang w:eastAsia="zh-CN"/>
        </w:rPr>
        <w:t xml:space="preserve">住房保障支出</w:t>
      </w:r>
      <w:r>
        <w:rPr>
          <w:rFonts w:hint="eastAsia" w:ascii="仿宋_GB2312" w:hAnsi="宋体" w:eastAsia="仿宋_GB2312"/>
          <w:sz w:val="32"/>
          <w:szCs w:val="32"/>
          <w:highlight w:val="none"/>
        </w:rPr>
        <w:t xml:space="preserve">（类）</w:t>
      </w:r>
      <w:r>
        <w:rPr>
          <w:rFonts w:hint="eastAsia" w:ascii="仿宋_GB2312" w:hAnsi="宋体" w:eastAsia="仿宋_GB2312"/>
          <w:sz w:val="32"/>
          <w:szCs w:val="32"/>
          <w:highlight w:val="none"/>
          <w:lang w:eastAsia="zh-CN"/>
        </w:rPr>
        <w:t xml:space="preserve">住房改革支出</w:t>
      </w:r>
      <w:r>
        <w:rPr>
          <w:rFonts w:hint="eastAsia" w:ascii="仿宋_GB2312" w:hAnsi="宋体" w:eastAsia="仿宋_GB2312"/>
          <w:sz w:val="32"/>
          <w:szCs w:val="32"/>
          <w:highlight w:val="none"/>
        </w:rPr>
        <w:t xml:space="preserve">（款）</w:t>
      </w:r>
      <w:r>
        <w:rPr>
          <w:rFonts w:hint="eastAsia" w:ascii="仿宋_GB2312" w:hAnsi="宋体" w:eastAsia="仿宋_GB2312"/>
          <w:sz w:val="32"/>
          <w:szCs w:val="32"/>
          <w:highlight w:val="none"/>
          <w:lang w:eastAsia="zh-CN"/>
        </w:rPr>
        <w:t xml:space="preserve">住房公积金</w:t>
      </w:r>
      <w:r>
        <w:rPr>
          <w:rFonts w:hint="eastAsia" w:ascii="仿宋_GB2312" w:hAnsi="宋体" w:eastAsia="仿宋_GB2312"/>
          <w:sz w:val="32"/>
          <w:szCs w:val="32"/>
          <w:highlight w:val="none"/>
        </w:rPr>
        <w:t xml:space="preserve">（项）</w:t>
      </w:r>
      <w:r>
        <w:rPr>
          <w:rFonts w:hint="eastAsia" w:ascii="仿宋_GB2312" w:hAnsi="宋体" w:eastAsia="仿宋_GB2312"/>
          <w:sz w:val="32"/>
          <w:szCs w:val="32"/>
          <w:highlight w:val="none"/>
          <w:lang w:val="en-US" w:eastAsia="zh-CN"/>
        </w:rPr>
        <w:t xml:space="preserve">56.01</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住房公积金</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117.77</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大于</w:t>
      </w:r>
      <w:r>
        <w:rPr>
          <w:rFonts w:hint="eastAsia" w:ascii="仿宋_GB2312" w:hAnsi="宋体" w:eastAsia="仿宋_GB2312"/>
          <w:sz w:val="32"/>
          <w:szCs w:val="32"/>
          <w:highlight w:val="none"/>
        </w:rPr>
        <w:t xml:space="preserve">年初预算数的原因主要是</w:t>
      </w:r>
      <w:r>
        <w:rPr>
          <w:rFonts w:hint="eastAsia" w:ascii="仿宋_GB2312" w:hAnsi="宋体" w:eastAsia="仿宋_GB2312"/>
          <w:sz w:val="32"/>
          <w:szCs w:val="32"/>
          <w:highlight w:val="none"/>
          <w:lang w:eastAsia="zh-CN"/>
        </w:rPr>
        <w:t xml:space="preserve">调整住房公积金基数</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9"/>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w:t>
      </w:r>
      <w:r>
        <w:rPr>
          <w:rFonts w:hint="eastAsia" w:ascii="楷体_GB2312" w:hAnsi="宋体" w:eastAsia="楷体_GB2312"/>
          <w:b/>
          <w:sz w:val="32"/>
          <w:szCs w:val="32"/>
          <w:lang w:val="en-US" w:eastAsia="zh-CN"/>
        </w:rPr>
        <w:t xml:space="preserve">三</w:t>
      </w:r>
      <w:r>
        <w:rPr>
          <w:rFonts w:hint="eastAsia" w:ascii="楷体_GB2312" w:hAnsi="宋体" w:eastAsia="楷体_GB2312"/>
          <w:b/>
          <w:sz w:val="32"/>
          <w:szCs w:val="32"/>
        </w:rPr>
        <w:t xml:space="preserve">）</w:t>
      </w:r>
      <w:r>
        <w:rPr>
          <w:rFonts w:hint="eastAsia" w:ascii="楷体_GB2312" w:hAnsi="宋体" w:eastAsia="楷体_GB2312"/>
          <w:b/>
          <w:sz w:val="32"/>
          <w:szCs w:val="32"/>
          <w:lang w:val="en-US" w:eastAsia="zh-CN"/>
        </w:rPr>
        <w:t xml:space="preserve">政府性基金预算财政拨款支出</w:t>
      </w:r>
      <w:r>
        <w:rPr>
          <w:rFonts w:hint="eastAsia" w:ascii="楷体_GB2312" w:hAnsi="宋体" w:eastAsia="楷体_GB2312"/>
          <w:b/>
          <w:sz w:val="32"/>
          <w:szCs w:val="32"/>
        </w:rPr>
        <w:t xml:space="preserve">情况。</w:t>
      </w:r>
      <w:r>
        <w:rPr>
          <w:rFonts w:hint="eastAsia" w:ascii="楷体_GB2312" w:hAnsi="宋体" w:eastAsia="楷体_GB2312"/>
          <w:b/>
          <w:sz w:val="32"/>
          <w:szCs w:val="32"/>
        </w:rPr>
      </w:r>
      <w:r>
        <w:rPr>
          <w:rFonts w:hint="eastAsia" w:ascii="楷体_GB2312" w:hAnsi="宋体" w:eastAsia="楷体_GB2312"/>
          <w:b/>
          <w:sz w:val="32"/>
          <w:szCs w:val="32"/>
        </w:rPr>
      </w:r>
    </w:p>
    <w:p>
      <w:pPr>
        <w:pStyle w:val="859"/>
        <w:pBd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年度政府性基金预算财政拨款支出</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r>
      <w:r>
        <w:rPr>
          <w:rFonts w:hint="eastAsia" w:ascii="仿宋_GB2312" w:hAnsi="宋体" w:eastAsia="仿宋_GB2312"/>
          <w:sz w:val="32"/>
          <w:szCs w:val="32"/>
          <w:lang w:val="en-US" w:eastAsia="zh-CN"/>
        </w:rPr>
      </w:r>
    </w:p>
    <w:p>
      <w:pPr>
        <w:pStyle w:val="859"/>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w:t>
      </w:r>
      <w:r>
        <w:rPr>
          <w:rFonts w:hint="eastAsia" w:ascii="楷体_GB2312" w:hAnsi="宋体" w:eastAsia="楷体_GB2312"/>
          <w:b/>
          <w:sz w:val="32"/>
          <w:szCs w:val="32"/>
          <w:lang w:val="en-US" w:eastAsia="zh-CN"/>
        </w:rPr>
        <w:t xml:space="preserve">四</w:t>
      </w:r>
      <w:r>
        <w:rPr>
          <w:rFonts w:hint="eastAsia" w:ascii="楷体_GB2312" w:hAnsi="宋体" w:eastAsia="楷体_GB2312"/>
          <w:b/>
          <w:sz w:val="32"/>
          <w:szCs w:val="32"/>
        </w:rPr>
        <w:t xml:space="preserve">）</w:t>
      </w:r>
      <w:r>
        <w:rPr>
          <w:rFonts w:hint="eastAsia" w:ascii="楷体_GB2312" w:hAnsi="宋体" w:eastAsia="楷体_GB2312"/>
          <w:b/>
          <w:sz w:val="32"/>
          <w:szCs w:val="32"/>
          <w:lang w:val="en-US" w:eastAsia="zh-CN"/>
        </w:rPr>
        <w:t xml:space="preserve">国有资本经营预算财政拨款支出</w:t>
      </w:r>
      <w:r>
        <w:rPr>
          <w:rFonts w:hint="eastAsia" w:ascii="楷体_GB2312" w:hAnsi="宋体" w:eastAsia="楷体_GB2312"/>
          <w:b/>
          <w:sz w:val="32"/>
          <w:szCs w:val="32"/>
        </w:rPr>
        <w:t xml:space="preserve">情况。</w:t>
      </w:r>
      <w:r>
        <w:rPr>
          <w:rFonts w:hint="eastAsia" w:ascii="楷体_GB2312" w:hAnsi="宋体" w:eastAsia="楷体_GB2312"/>
          <w:b/>
          <w:sz w:val="32"/>
          <w:szCs w:val="32"/>
        </w:rPr>
      </w:r>
      <w:r>
        <w:rPr>
          <w:rFonts w:hint="eastAsia" w:ascii="楷体_GB2312" w:hAnsi="宋体" w:eastAsia="楷体_GB2312"/>
          <w:b/>
          <w:sz w:val="32"/>
          <w:szCs w:val="32"/>
        </w:rPr>
      </w:r>
    </w:p>
    <w:p>
      <w:pPr>
        <w:pStyle w:val="859"/>
        <w:pBd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年度国有资本经营预算财政拨款支出</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eastAsia="zh-CN"/>
        </w:rPr>
      </w:r>
      <w:r>
        <w:rPr>
          <w:rFonts w:hint="eastAsia" w:ascii="仿宋_GB2312" w:hAnsi="宋体" w:eastAsia="仿宋_GB2312"/>
          <w:sz w:val="32"/>
          <w:szCs w:val="32"/>
          <w:lang w:eastAsia="zh-CN"/>
        </w:rPr>
      </w:r>
    </w:p>
    <w:p>
      <w:pPr>
        <w:pStyle w:val="859"/>
        <w:pBdr/>
        <w:spacing w:line="540" w:lineRule="exact"/>
        <w:ind w:firstLine="660"/>
        <w:rPr>
          <w:rFonts w:hint="eastAsia" w:ascii="黑体" w:hAnsi="黑体" w:eastAsia="黑体"/>
          <w:sz w:val="32"/>
          <w:szCs w:val="32"/>
          <w:lang w:eastAsia="zh-CN"/>
        </w:rPr>
      </w:pPr>
      <w:r>
        <w:rPr>
          <w:rFonts w:hint="eastAsia" w:ascii="黑体" w:hAnsi="黑体" w:eastAsia="黑体"/>
          <w:sz w:val="32"/>
          <w:szCs w:val="32"/>
        </w:rPr>
        <w:t xml:space="preserve">三、一般公共预算财政拨款“三公”经费支出决算情况</w:t>
      </w:r>
      <w:r>
        <w:rPr>
          <w:rFonts w:hint="eastAsia" w:ascii="黑体" w:hAnsi="黑体" w:eastAsia="黑体"/>
          <w:sz w:val="32"/>
          <w:szCs w:val="32"/>
          <w:lang w:eastAsia="zh-CN"/>
        </w:rPr>
        <w:t xml:space="preserve">说明</w:t>
      </w:r>
      <w:r>
        <w:rPr>
          <w:rFonts w:hint="eastAsia" w:ascii="黑体" w:hAnsi="黑体" w:eastAsia="黑体"/>
          <w:sz w:val="32"/>
          <w:szCs w:val="32"/>
          <w:lang w:eastAsia="zh-CN"/>
        </w:rPr>
      </w:r>
      <w:r>
        <w:rPr>
          <w:rFonts w:hint="eastAsia" w:ascii="黑体" w:hAnsi="黑体" w:eastAsia="黑体"/>
          <w:sz w:val="32"/>
          <w:szCs w:val="32"/>
          <w:lang w:eastAsia="zh-CN"/>
        </w:rPr>
      </w:r>
    </w:p>
    <w:p>
      <w:pPr>
        <w:pStyle w:val="859"/>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年度一般公共预算财政拨款安排的“三公”经费支出</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万元，完成</w:t>
      </w:r>
      <w:r>
        <w:rPr>
          <w:rFonts w:hint="eastAsia" w:ascii="仿宋_GB2312" w:hAnsi="宋体" w:eastAsia="仿宋_GB2312"/>
          <w:sz w:val="32"/>
          <w:szCs w:val="32"/>
          <w:lang w:eastAsia="zh-CN"/>
        </w:rPr>
        <w:t xml:space="preserve">全年</w:t>
      </w:r>
      <w:r>
        <w:rPr>
          <w:rFonts w:hint="eastAsia" w:ascii="仿宋_GB2312" w:hAnsi="宋体" w:eastAsia="仿宋_GB2312"/>
          <w:sz w:val="32"/>
          <w:szCs w:val="32"/>
        </w:rPr>
        <w:t xml:space="preserve">预算的</w:t>
      </w:r>
      <w:r>
        <w:rPr>
          <w:rFonts w:hint="eastAsia" w:ascii="仿宋_GB2312" w:hAnsi="宋体" w:eastAsia="仿宋_GB2312"/>
          <w:sz w:val="32"/>
          <w:szCs w:val="32"/>
          <w:lang w:val="en-US" w:eastAsia="zh-CN"/>
        </w:rPr>
        <w:t xml:space="preserve">100</w:t>
      </w:r>
      <w:r>
        <w:rPr>
          <w:rFonts w:hint="eastAsia" w:ascii="仿宋_GB2312" w:hAnsi="宋体" w:eastAsia="仿宋_GB2312"/>
          <w:sz w:val="32"/>
          <w:szCs w:val="32"/>
        </w:rPr>
        <w:t xml:space="preserve">%，决算数</w:t>
      </w:r>
      <w:r>
        <w:rPr>
          <w:rFonts w:hint="eastAsia" w:ascii="仿宋_GB2312" w:hAnsi="宋体" w:eastAsia="仿宋_GB2312"/>
          <w:sz w:val="32"/>
          <w:szCs w:val="32"/>
          <w:lang w:eastAsia="zh-CN"/>
        </w:rPr>
        <w:t xml:space="preserve">等于全年</w:t>
      </w:r>
      <w:r>
        <w:rPr>
          <w:rFonts w:hint="eastAsia" w:ascii="仿宋_GB2312" w:hAnsi="宋体" w:eastAsia="仿宋_GB2312"/>
          <w:sz w:val="32"/>
          <w:szCs w:val="32"/>
        </w:rPr>
        <w:t xml:space="preserve">预算数的主要原因是</w:t>
      </w:r>
      <w:r>
        <w:rPr>
          <w:rFonts w:hint="eastAsia" w:ascii="仿宋_GB2312" w:hAnsi="宋体" w:eastAsia="仿宋_GB2312"/>
          <w:sz w:val="32"/>
          <w:szCs w:val="32"/>
          <w:lang w:eastAsia="zh-CN"/>
        </w:rPr>
        <w:t xml:space="preserve">公务用车运行维护费正常支出</w:t>
      </w:r>
      <w:r>
        <w:rPr>
          <w:rFonts w:hint="eastAsia" w:ascii="仿宋_GB2312" w:hAnsi="宋体" w:eastAsia="仿宋_GB2312"/>
          <w:sz w:val="32"/>
          <w:szCs w:val="32"/>
        </w:rPr>
        <w:t xml:space="preserve">。其中：因公出国（境）费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万元，公务接待费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万元，公务用车购置及运行维护费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 xml:space="preserve">1.因公出国（境）费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w:t>
      </w:r>
      <w:r>
        <w:rPr>
          <w:rFonts w:hint="eastAsia" w:ascii="仿宋_GB2312" w:hAnsi="宋体" w:eastAsia="仿宋_GB2312"/>
          <w:sz w:val="32"/>
          <w:szCs w:val="32"/>
          <w:lang w:val="en-US" w:eastAsia="zh-CN"/>
        </w:rPr>
        <w:t xml:space="preserve">占</w:t>
      </w:r>
      <w:r>
        <w:rPr>
          <w:rFonts w:hint="eastAsia" w:ascii="仿宋_GB2312" w:hAnsi="宋体" w:eastAsia="仿宋_GB2312"/>
          <w:sz w:val="32"/>
          <w:szCs w:val="32"/>
        </w:rPr>
        <w:t xml:space="preserve">“三公”经费支出</w:t>
      </w:r>
      <w:r>
        <w:rPr>
          <w:rFonts w:hint="eastAsia" w:ascii="仿宋_GB2312" w:hAnsi="宋体" w:eastAsia="仿宋_GB2312"/>
          <w:sz w:val="32"/>
          <w:szCs w:val="32"/>
          <w:lang w:val="en-US" w:eastAsia="zh-CN"/>
        </w:rPr>
        <w:t xml:space="preserve">的0%。</w:t>
      </w:r>
      <w:r>
        <w:rPr>
          <w:rFonts w:hint="eastAsia" w:ascii="仿宋_GB2312" w:hAnsi="宋体" w:eastAsia="仿宋_GB2312"/>
          <w:sz w:val="32"/>
          <w:szCs w:val="32"/>
        </w:rPr>
        <w:t xml:space="preserve">完成</w:t>
      </w:r>
      <w:r>
        <w:rPr>
          <w:rFonts w:hint="eastAsia" w:ascii="仿宋_GB2312" w:hAnsi="宋体" w:eastAsia="仿宋_GB2312"/>
          <w:sz w:val="32"/>
          <w:szCs w:val="32"/>
          <w:lang w:eastAsia="zh-CN"/>
        </w:rPr>
        <w:t xml:space="preserve">全年</w:t>
      </w:r>
      <w:r>
        <w:rPr>
          <w:rFonts w:hint="eastAsia" w:ascii="仿宋_GB2312" w:hAnsi="宋体" w:eastAsia="仿宋_GB2312"/>
          <w:sz w:val="32"/>
          <w:szCs w:val="32"/>
        </w:rPr>
        <w:t xml:space="preserve">预算的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%，决算数小于（大于）</w:t>
      </w:r>
      <w:r>
        <w:rPr>
          <w:rFonts w:hint="eastAsia" w:ascii="仿宋_GB2312" w:hAnsi="宋体" w:eastAsia="仿宋_GB2312"/>
          <w:sz w:val="32"/>
          <w:szCs w:val="32"/>
          <w:lang w:eastAsia="zh-CN"/>
        </w:rPr>
        <w:t xml:space="preserve">全年</w:t>
      </w:r>
      <w:r>
        <w:rPr>
          <w:rFonts w:hint="eastAsia" w:ascii="仿宋_GB2312" w:hAnsi="宋体" w:eastAsia="仿宋_GB2312"/>
          <w:sz w:val="32"/>
          <w:szCs w:val="32"/>
        </w:rPr>
        <w:t xml:space="preserve">预算数的主要原因是</w:t>
      </w:r>
      <w:r>
        <w:rPr>
          <w:rFonts w:hint="eastAsia" w:ascii="仿宋_GB2312" w:hAnsi="宋体" w:eastAsia="仿宋_GB2312"/>
          <w:sz w:val="32"/>
          <w:szCs w:val="32"/>
          <w:lang w:eastAsia="zh-CN"/>
        </w:rPr>
        <w:t xml:space="preserve">无因公出国境费</w:t>
      </w:r>
      <w:r>
        <w:rPr>
          <w:rFonts w:hint="eastAsia" w:ascii="仿宋_GB2312" w:hAnsi="宋体" w:eastAsia="仿宋_GB2312"/>
          <w:sz w:val="32"/>
          <w:szCs w:val="32"/>
        </w:rPr>
        <w:t xml:space="preserve">。</w:t>
      </w: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年参加出国（境）团组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个，累计</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人次</w:t>
      </w:r>
      <w:r>
        <w:rPr>
          <w:rFonts w:hint="eastAsia" w:ascii="仿宋_GB2312" w:hAnsi="宋体" w:eastAsia="仿宋_GB2312"/>
          <w:sz w:val="32"/>
          <w:szCs w:val="32"/>
          <w:lang w:val="en-US" w:eastAsia="zh-CN"/>
        </w:rPr>
        <w:t xml:space="preserve">,</w:t>
      </w:r>
      <w:r>
        <w:rPr>
          <w:rFonts w:hint="eastAsia" w:ascii="仿宋_GB2312" w:hAnsi="宋体" w:eastAsia="仿宋_GB2312"/>
          <w:sz w:val="32"/>
          <w:szCs w:val="32"/>
        </w:rPr>
        <w:t xml:space="preserve">主要</w:t>
      </w:r>
      <w:r>
        <w:rPr>
          <w:rFonts w:hint="eastAsia" w:ascii="仿宋_GB2312" w:hAnsi="宋体" w:eastAsia="仿宋_GB2312"/>
          <w:sz w:val="32"/>
          <w:szCs w:val="32"/>
          <w:lang w:val="en-US" w:eastAsia="zh-CN"/>
        </w:rPr>
        <w:t xml:space="preserve">为参加0团</w:t>
      </w:r>
      <w:r>
        <w:rPr>
          <w:rFonts w:hint="eastAsia" w:ascii="仿宋_GB2312" w:hAnsi="宋体" w:eastAsia="仿宋_GB2312"/>
          <w:sz w:val="32"/>
          <w:szCs w:val="32"/>
        </w:rPr>
        <w:t xml:space="preserve">等。</w:t>
      </w: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年因公出国（境）费比上年减少（增加）</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万元，下降（增长）</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val="en-US" w:eastAsia="zh-CN"/>
        </w:rPr>
        <w:t xml:space="preserve">无因公出国境费</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 xml:space="preserve">2.公务接待费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w:t>
      </w:r>
      <w:r>
        <w:rPr>
          <w:rFonts w:hint="eastAsia" w:ascii="仿宋_GB2312" w:hAnsi="宋体" w:eastAsia="仿宋_GB2312"/>
          <w:sz w:val="32"/>
          <w:szCs w:val="32"/>
          <w:lang w:val="en-US" w:eastAsia="zh-CN"/>
        </w:rPr>
        <w:t xml:space="preserve">占</w:t>
      </w:r>
      <w:r>
        <w:rPr>
          <w:rFonts w:hint="eastAsia" w:ascii="仿宋_GB2312" w:hAnsi="宋体" w:eastAsia="仿宋_GB2312"/>
          <w:sz w:val="32"/>
          <w:szCs w:val="32"/>
        </w:rPr>
        <w:t xml:space="preserve">“三公”经费支出</w:t>
      </w:r>
      <w:r>
        <w:rPr>
          <w:rFonts w:hint="eastAsia" w:ascii="仿宋_GB2312" w:hAnsi="宋体" w:eastAsia="仿宋_GB2312"/>
          <w:sz w:val="32"/>
          <w:szCs w:val="32"/>
          <w:lang w:val="en-US" w:eastAsia="zh-CN"/>
        </w:rPr>
        <w:t xml:space="preserve">的0%。</w:t>
      </w:r>
      <w:r>
        <w:rPr>
          <w:rFonts w:hint="eastAsia" w:ascii="仿宋_GB2312" w:hAnsi="宋体" w:eastAsia="仿宋_GB2312"/>
          <w:sz w:val="32"/>
          <w:szCs w:val="32"/>
        </w:rPr>
        <w:t xml:space="preserve">完成</w:t>
      </w:r>
      <w:r>
        <w:rPr>
          <w:rFonts w:hint="eastAsia" w:ascii="仿宋_GB2312" w:hAnsi="宋体" w:eastAsia="仿宋_GB2312"/>
          <w:sz w:val="32"/>
          <w:szCs w:val="32"/>
          <w:lang w:eastAsia="zh-CN"/>
        </w:rPr>
        <w:t xml:space="preserve">全年</w:t>
      </w:r>
      <w:r>
        <w:rPr>
          <w:rFonts w:hint="eastAsia" w:ascii="仿宋_GB2312" w:hAnsi="宋体" w:eastAsia="仿宋_GB2312"/>
          <w:sz w:val="32"/>
          <w:szCs w:val="32"/>
        </w:rPr>
        <w:t xml:space="preserve">预算的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%，决算数小于（大于）</w:t>
      </w:r>
      <w:r>
        <w:rPr>
          <w:rFonts w:hint="eastAsia" w:ascii="仿宋_GB2312" w:hAnsi="宋体" w:eastAsia="仿宋_GB2312"/>
          <w:sz w:val="32"/>
          <w:szCs w:val="32"/>
          <w:lang w:eastAsia="zh-CN"/>
        </w:rPr>
        <w:t xml:space="preserve">全年</w:t>
      </w:r>
      <w:r>
        <w:rPr>
          <w:rFonts w:hint="eastAsia" w:ascii="仿宋_GB2312" w:hAnsi="宋体" w:eastAsia="仿宋_GB2312"/>
          <w:sz w:val="32"/>
          <w:szCs w:val="32"/>
        </w:rPr>
        <w:t xml:space="preserve">预算数的主要原因是</w:t>
      </w:r>
      <w:r>
        <w:rPr>
          <w:rFonts w:hint="eastAsia" w:ascii="仿宋_GB2312" w:hAnsi="宋体" w:eastAsia="仿宋_GB2312"/>
          <w:sz w:val="32"/>
          <w:szCs w:val="32"/>
          <w:lang w:eastAsia="zh-CN"/>
        </w:rPr>
        <w:t xml:space="preserve">无公务接待费</w:t>
      </w:r>
      <w:r>
        <w:rPr>
          <w:rFonts w:hint="eastAsia" w:ascii="仿宋_GB2312" w:hAnsi="宋体" w:eastAsia="仿宋_GB2312"/>
          <w:sz w:val="32"/>
          <w:szCs w:val="32"/>
        </w:rPr>
        <w:t xml:space="preserve">。</w:t>
      </w: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年国内公务接待累计</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批次</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人</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万元，主要用于</w:t>
      </w:r>
      <w:r>
        <w:rPr>
          <w:rFonts w:hint="eastAsia" w:ascii="仿宋_GB2312" w:hAnsi="宋体" w:eastAsia="仿宋_GB2312"/>
          <w:sz w:val="32"/>
          <w:szCs w:val="32"/>
          <w:lang w:val="en-US" w:eastAsia="zh-CN"/>
        </w:rPr>
        <w:t xml:space="preserve">无公务接待</w:t>
      </w:r>
      <w:r>
        <w:rPr>
          <w:rFonts w:hint="eastAsia" w:ascii="仿宋_GB2312" w:hAnsi="宋体" w:eastAsia="仿宋_GB2312"/>
          <w:sz w:val="32"/>
          <w:szCs w:val="32"/>
        </w:rPr>
        <w:t xml:space="preserve">等</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其中外事接待</w:t>
      </w:r>
      <w:r>
        <w:rPr>
          <w:rFonts w:hint="eastAsia" w:ascii="仿宋_GB2312" w:hAnsi="宋体" w:eastAsia="仿宋_GB2312"/>
          <w:sz w:val="32"/>
          <w:szCs w:val="32"/>
        </w:rPr>
        <w:t xml:space="preserve">累计</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批次</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人</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万元，主要</w:t>
      </w:r>
      <w:r>
        <w:rPr>
          <w:rFonts w:hint="eastAsia" w:ascii="仿宋_GB2312" w:hAnsi="宋体" w:eastAsia="仿宋_GB2312"/>
          <w:sz w:val="32"/>
          <w:szCs w:val="32"/>
          <w:lang w:eastAsia="zh-CN"/>
        </w:rPr>
        <w:t xml:space="preserve">无公务接待费</w:t>
      </w:r>
      <w:r>
        <w:rPr>
          <w:rFonts w:hint="eastAsia" w:ascii="仿宋_GB2312" w:hAnsi="宋体" w:eastAsia="仿宋_GB2312"/>
          <w:sz w:val="32"/>
          <w:szCs w:val="32"/>
        </w:rPr>
        <w:t xml:space="preserve">等。</w:t>
      </w: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年公务接待费比上年减少（增加）</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万元，下降（增长）</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无公务接待费</w:t>
      </w:r>
      <w:r>
        <w:rPr>
          <w:rFonts w:hint="eastAsia" w:ascii="仿宋_GB2312" w:hAnsi="宋体" w:eastAsia="仿宋_GB2312"/>
          <w:sz w:val="32"/>
          <w:szCs w:val="32"/>
        </w:rPr>
        <w:t xml:space="preserve">等原因。</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 xml:space="preserve">3.公务用车购置及</w:t>
      </w:r>
      <w:r>
        <w:rPr>
          <w:rFonts w:ascii="仿宋_GB2312" w:hAnsi="宋体" w:eastAsia="仿宋_GB2312"/>
          <w:sz w:val="32"/>
          <w:szCs w:val="32"/>
        </w:rPr>
        <w:t xml:space="preserve">运行费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w:t>
      </w:r>
      <w:r>
        <w:rPr>
          <w:rFonts w:hint="eastAsia" w:ascii="仿宋_GB2312" w:hAnsi="宋体" w:eastAsia="仿宋_GB2312"/>
          <w:sz w:val="32"/>
          <w:szCs w:val="32"/>
          <w:lang w:val="en-US" w:eastAsia="zh-CN"/>
        </w:rPr>
        <w:t xml:space="preserve">占</w:t>
      </w:r>
      <w:r>
        <w:rPr>
          <w:rFonts w:hint="eastAsia" w:ascii="仿宋_GB2312" w:hAnsi="宋体" w:eastAsia="仿宋_GB2312"/>
          <w:sz w:val="32"/>
          <w:szCs w:val="32"/>
        </w:rPr>
        <w:t xml:space="preserve">“三公”经费支出</w:t>
      </w:r>
      <w:r>
        <w:rPr>
          <w:rFonts w:hint="eastAsia" w:ascii="仿宋_GB2312" w:hAnsi="宋体" w:eastAsia="仿宋_GB2312"/>
          <w:sz w:val="32"/>
          <w:szCs w:val="32"/>
          <w:lang w:val="en-US" w:eastAsia="zh-CN"/>
        </w:rPr>
        <w:t xml:space="preserve">的0%。</w:t>
      </w:r>
      <w:r>
        <w:rPr>
          <w:rFonts w:hint="eastAsia" w:ascii="仿宋_GB2312" w:hAnsi="宋体" w:eastAsia="仿宋_GB2312"/>
          <w:sz w:val="32"/>
          <w:szCs w:val="32"/>
        </w:rPr>
        <w:t xml:space="preserve">完成</w:t>
      </w:r>
      <w:r>
        <w:rPr>
          <w:rFonts w:hint="eastAsia" w:ascii="仿宋_GB2312" w:hAnsi="宋体" w:eastAsia="仿宋_GB2312"/>
          <w:sz w:val="32"/>
          <w:szCs w:val="32"/>
          <w:lang w:eastAsia="zh-CN"/>
        </w:rPr>
        <w:t xml:space="preserve">全年预算</w:t>
      </w:r>
      <w:r>
        <w:rPr>
          <w:rFonts w:hint="eastAsia" w:ascii="仿宋_GB2312" w:hAnsi="宋体" w:eastAsia="仿宋_GB2312"/>
          <w:sz w:val="32"/>
          <w:szCs w:val="32"/>
        </w:rPr>
        <w:t xml:space="preserve">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%，决算数</w:t>
      </w:r>
      <w:r>
        <w:rPr>
          <w:rFonts w:hint="eastAsia" w:ascii="仿宋_GB2312" w:hAnsi="宋体" w:eastAsia="仿宋_GB2312"/>
          <w:sz w:val="32"/>
          <w:szCs w:val="32"/>
          <w:lang w:eastAsia="zh-CN"/>
        </w:rPr>
        <w:t xml:space="preserve">等于全年预算数</w:t>
      </w:r>
      <w:r>
        <w:rPr>
          <w:rFonts w:hint="eastAsia" w:ascii="仿宋_GB2312" w:hAnsi="宋体" w:eastAsia="仿宋_GB2312"/>
          <w:sz w:val="32"/>
          <w:szCs w:val="32"/>
        </w:rPr>
        <w:t xml:space="preserve">的主要原因是</w:t>
      </w:r>
      <w:r>
        <w:rPr>
          <w:rFonts w:hint="eastAsia" w:ascii="仿宋_GB2312" w:hAnsi="宋体" w:eastAsia="仿宋_GB2312"/>
          <w:sz w:val="32"/>
          <w:szCs w:val="32"/>
          <w:lang w:eastAsia="zh-CN"/>
        </w:rPr>
        <w:t xml:space="preserve">无公务用车运行维护费支出</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val="en-US" w:eastAsia="zh-CN"/>
        </w:rPr>
        <w:t xml:space="preserve">其中：</w:t>
      </w:r>
      <w:r>
        <w:rPr>
          <w:rFonts w:hint="eastAsia" w:ascii="仿宋_GB2312" w:hAnsi="宋体" w:eastAsia="仿宋_GB2312"/>
          <w:sz w:val="32"/>
          <w:szCs w:val="32"/>
        </w:rPr>
        <w:t xml:space="preserve">公务用车购置费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万元，主要用于</w:t>
      </w:r>
      <w:r>
        <w:rPr>
          <w:rFonts w:hint="eastAsia" w:ascii="仿宋_GB2312" w:hAnsi="宋体" w:eastAsia="仿宋_GB2312"/>
          <w:sz w:val="32"/>
          <w:szCs w:val="32"/>
          <w:lang w:eastAsia="zh-CN"/>
        </w:rPr>
        <w:t xml:space="preserve">无公务用车购置费</w:t>
      </w:r>
      <w:r>
        <w:rPr>
          <w:rFonts w:hint="eastAsia" w:ascii="仿宋_GB2312" w:hAnsi="宋体" w:eastAsia="仿宋_GB2312"/>
          <w:sz w:val="32"/>
          <w:szCs w:val="32"/>
        </w:rPr>
        <w:t xml:space="preserve">,当年购置公务用车</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辆。公务用车运行维护费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万元，主要用于</w:t>
      </w:r>
      <w:r>
        <w:rPr>
          <w:rFonts w:hint="eastAsia" w:ascii="仿宋_GB2312" w:hAnsi="宋体" w:eastAsia="仿宋_GB2312"/>
          <w:sz w:val="32"/>
          <w:szCs w:val="32"/>
          <w:lang w:eastAsia="zh-CN"/>
        </w:rPr>
        <w:t xml:space="preserve">无公务用车运行维护费，</w:t>
      </w:r>
      <w:r>
        <w:rPr>
          <w:rFonts w:hint="eastAsia" w:ascii="仿宋_GB2312" w:hAnsi="宋体" w:eastAsia="仿宋_GB2312"/>
          <w:sz w:val="32"/>
          <w:szCs w:val="32"/>
        </w:rPr>
        <w:t xml:space="preserve">截至年末使用</w:t>
      </w:r>
      <w:r>
        <w:rPr>
          <w:rFonts w:ascii="仿宋_GB2312" w:hAnsi="宋体" w:eastAsia="仿宋_GB2312"/>
          <w:sz w:val="32"/>
          <w:szCs w:val="32"/>
        </w:rPr>
        <w:t xml:space="preserve">一般公共预算财政拨款开支</w:t>
      </w:r>
      <w:r>
        <w:rPr>
          <w:rFonts w:hint="eastAsia" w:ascii="仿宋_GB2312" w:hAnsi="宋体" w:eastAsia="仿宋_GB2312"/>
          <w:sz w:val="32"/>
          <w:szCs w:val="32"/>
          <w:lang w:val="en-US" w:eastAsia="zh-CN"/>
        </w:rPr>
        <w:t xml:space="preserve">运行维护费</w:t>
      </w:r>
      <w:r>
        <w:rPr>
          <w:rFonts w:ascii="仿宋_GB2312" w:hAnsi="宋体" w:eastAsia="仿宋_GB2312"/>
          <w:sz w:val="32"/>
          <w:szCs w:val="32"/>
        </w:rPr>
        <w:t xml:space="preserve">的</w:t>
      </w:r>
      <w:r>
        <w:rPr>
          <w:rFonts w:hint="eastAsia" w:ascii="仿宋_GB2312" w:hAnsi="宋体" w:eastAsia="仿宋_GB2312"/>
          <w:sz w:val="32"/>
          <w:szCs w:val="32"/>
        </w:rPr>
        <w:t xml:space="preserve">公务用车保有量</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辆。</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45"/>
        <w:rPr>
          <w:rFonts w:hint="eastAsia" w:ascii="黑体" w:hAnsi="黑体" w:eastAsia="黑体"/>
          <w:sz w:val="32"/>
          <w:szCs w:val="32"/>
        </w:rPr>
      </w:pPr>
      <w:r>
        <w:rPr>
          <w:rFonts w:hint="eastAsia" w:ascii="黑体" w:hAnsi="黑体" w:eastAsia="黑体"/>
          <w:sz w:val="32"/>
          <w:szCs w:val="32"/>
        </w:rPr>
        <w:t xml:space="preserve">四、一般公共预算财政拨款基本支出决算情况说明</w:t>
      </w:r>
      <w:r>
        <w:rPr>
          <w:rFonts w:hint="eastAsia" w:ascii="黑体" w:hAnsi="黑体" w:eastAsia="黑体"/>
          <w:sz w:val="32"/>
          <w:szCs w:val="32"/>
        </w:rPr>
      </w:r>
      <w:r>
        <w:rPr>
          <w:rFonts w:hint="eastAsia" w:ascii="黑体" w:hAnsi="黑体" w:eastAsia="黑体"/>
          <w:sz w:val="32"/>
          <w:szCs w:val="32"/>
        </w:rPr>
      </w:r>
    </w:p>
    <w:p>
      <w:pPr>
        <w:pStyle w:val="859"/>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年度一般公共预算财政拨款基本支出</w:t>
      </w:r>
      <w:r>
        <w:rPr>
          <w:rFonts w:hint="eastAsia" w:ascii="仿宋_GB2312" w:hAnsi="宋体" w:eastAsia="仿宋_GB2312"/>
          <w:sz w:val="32"/>
          <w:szCs w:val="32"/>
          <w:lang w:val="en-US" w:eastAsia="zh-CN"/>
        </w:rPr>
        <w:t xml:space="preserve">799.23</w:t>
      </w:r>
      <w:r>
        <w:rPr>
          <w:rFonts w:hint="eastAsia" w:ascii="仿宋_GB2312" w:hAnsi="宋体" w:eastAsia="仿宋_GB2312"/>
          <w:sz w:val="32"/>
          <w:szCs w:val="32"/>
        </w:rPr>
        <w:t xml:space="preserve">万元，其中：人员经费</w:t>
      </w:r>
      <w:r>
        <w:rPr>
          <w:rFonts w:hint="eastAsia" w:ascii="仿宋_GB2312" w:hAnsi="宋体" w:eastAsia="仿宋_GB2312"/>
          <w:sz w:val="32"/>
          <w:szCs w:val="32"/>
          <w:lang w:val="en-US" w:eastAsia="zh-CN"/>
        </w:rPr>
        <w:t xml:space="preserve">773.68</w:t>
      </w:r>
      <w:r>
        <w:rPr>
          <w:rFonts w:hint="eastAsia" w:ascii="仿宋_GB2312" w:hAnsi="宋体" w:eastAsia="仿宋_GB2312"/>
          <w:sz w:val="32"/>
          <w:szCs w:val="32"/>
        </w:rPr>
        <w:t xml:space="preserve">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hAnsi="宋体" w:eastAsia="仿宋_GB2312"/>
          <w:sz w:val="32"/>
          <w:szCs w:val="32"/>
          <w:lang w:val="en-US" w:eastAsia="zh-CN"/>
        </w:rPr>
        <w:t xml:space="preserve">25.55</w:t>
      </w:r>
      <w:r>
        <w:rPr>
          <w:rFonts w:hint="eastAsia" w:ascii="仿宋_GB2312" w:hAnsi="宋体" w:eastAsia="仿宋_GB2312"/>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r>
        <w:rPr>
          <w:rFonts w:hint="eastAsia" w:ascii="仿宋_GB2312" w:hAnsi="宋体" w:eastAsia="仿宋_GB2312"/>
          <w:sz w:val="32"/>
          <w:szCs w:val="32"/>
        </w:rPr>
      </w:r>
      <w:r>
        <w:rPr>
          <w:rFonts w:hint="eastAsia" w:ascii="仿宋_GB2312" w:hAnsi="宋体" w:eastAsia="仿宋_GB2312"/>
          <w:sz w:val="32"/>
          <w:szCs w:val="32"/>
        </w:rPr>
      </w:r>
    </w:p>
    <w:p>
      <w:pPr>
        <w:pStyle w:val="859"/>
        <w:pBdr/>
        <w:spacing w:line="540" w:lineRule="exact"/>
        <w:ind w:firstLine="640"/>
        <w:rPr>
          <w:rFonts w:hint="eastAsia" w:ascii="黑体" w:hAnsi="黑体" w:eastAsia="黑体"/>
          <w:sz w:val="32"/>
          <w:szCs w:val="32"/>
        </w:rPr>
      </w:pPr>
      <w:r>
        <w:rPr>
          <w:rFonts w:hint="eastAsia" w:ascii="黑体" w:hAnsi="黑体" w:eastAsia="黑体"/>
          <w:sz w:val="32"/>
          <w:szCs w:val="32"/>
        </w:rPr>
        <w:t xml:space="preserve">五、其他重要事项的情况说明</w:t>
      </w:r>
      <w:r>
        <w:rPr>
          <w:rFonts w:hint="eastAsia" w:ascii="黑体" w:hAnsi="黑体" w:eastAsia="黑体"/>
          <w:sz w:val="32"/>
          <w:szCs w:val="32"/>
        </w:rPr>
      </w:r>
      <w:r>
        <w:rPr>
          <w:rFonts w:hint="eastAsia" w:ascii="黑体" w:hAnsi="黑体" w:eastAsia="黑体"/>
          <w:sz w:val="32"/>
          <w:szCs w:val="32"/>
        </w:rPr>
      </w:r>
    </w:p>
    <w:p>
      <w:pPr>
        <w:pStyle w:val="859"/>
        <w:pBdr/>
        <w:spacing w:line="540" w:lineRule="exact"/>
        <w:ind w:firstLine="643"/>
        <w:rPr>
          <w:rFonts w:hint="eastAsia" w:ascii="楷体_GB2312" w:hAnsi="黑体" w:eastAsia="楷体_GB2312"/>
          <w:b/>
          <w:sz w:val="32"/>
          <w:szCs w:val="32"/>
        </w:rPr>
      </w:pPr>
      <w:r>
        <w:rPr>
          <w:rFonts w:hint="eastAsia" w:ascii="楷体_GB2312" w:hAnsi="黑体" w:eastAsia="楷体_GB2312"/>
          <w:b/>
          <w:sz w:val="32"/>
          <w:szCs w:val="32"/>
        </w:rPr>
        <w:t xml:space="preserve">（一）机关运行经费支出情况。</w:t>
      </w:r>
      <w:r>
        <w:rPr>
          <w:rFonts w:hint="eastAsia" w:ascii="楷体_GB2312" w:hAnsi="黑体" w:eastAsia="楷体_GB2312"/>
          <w:b/>
          <w:sz w:val="32"/>
          <w:szCs w:val="32"/>
        </w:rPr>
      </w:r>
      <w:r>
        <w:rPr>
          <w:rFonts w:hint="eastAsia" w:ascii="楷体_GB2312" w:hAnsi="黑体" w:eastAsia="楷体_GB2312"/>
          <w:b/>
          <w:sz w:val="32"/>
          <w:szCs w:val="32"/>
        </w:rPr>
      </w:r>
    </w:p>
    <w:p>
      <w:pPr>
        <w:pStyle w:val="859"/>
        <w:pBdr/>
        <w:spacing w:line="540" w:lineRule="exact"/>
        <w:ind w:firstLine="640"/>
        <w:rPr>
          <w:rFonts w:hint="eastAsia" w:ascii="仿宋_GB2312" w:hAnsi="黑体" w:eastAsia="仿宋_GB2312"/>
          <w:sz w:val="32"/>
          <w:szCs w:val="32"/>
        </w:rPr>
      </w:pPr>
      <w:r>
        <w:rPr>
          <w:rFonts w:hint="eastAsia" w:ascii="仿宋_GB2312" w:hAnsi="黑体" w:eastAsia="仿宋_GB2312"/>
          <w:sz w:val="32"/>
          <w:szCs w:val="32"/>
          <w:lang w:eastAsia="zh-CN"/>
        </w:rPr>
        <w:t xml:space="preserve">2022年机关运行经费支出</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lang w:eastAsia="zh-CN"/>
        </w:rPr>
        <w:t xml:space="preserve">万元（与部门决算中行政单位和参照公务员法管理事业单位财政拨款基本支出中公用经费之和一致），</w:t>
      </w:r>
      <w:r>
        <w:rPr>
          <w:rFonts w:hint="eastAsia" w:ascii="仿宋_GB2312" w:hAnsi="黑体" w:eastAsia="仿宋_GB2312"/>
          <w:sz w:val="32"/>
          <w:szCs w:val="32"/>
        </w:rPr>
        <w:t xml:space="preserve">比上年减少</w:t>
      </w:r>
      <w:r>
        <w:rPr>
          <w:rFonts w:hint="eastAsia" w:ascii="仿宋_GB2312" w:hAnsi="黑体" w:eastAsia="仿宋_GB2312"/>
          <w:sz w:val="32"/>
          <w:szCs w:val="32"/>
          <w:lang w:eastAsia="zh-CN"/>
        </w:rPr>
        <w:t xml:space="preserve">（增加）</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万元，降低</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%，主要原因是</w:t>
      </w:r>
      <w:r>
        <w:rPr>
          <w:rFonts w:hint="eastAsia" w:ascii="仿宋_GB2312" w:hAnsi="黑体" w:eastAsia="仿宋_GB2312"/>
          <w:sz w:val="32"/>
          <w:szCs w:val="32"/>
          <w:lang w:eastAsia="zh-CN"/>
        </w:rPr>
        <w:t xml:space="preserve">事业单位无机关运行经费</w:t>
      </w:r>
      <w:r>
        <w:rPr>
          <w:rFonts w:hint="eastAsia" w:ascii="仿宋_GB2312" w:hAnsi="黑体" w:eastAsia="仿宋_GB2312"/>
          <w:sz w:val="32"/>
          <w:szCs w:val="32"/>
        </w:rPr>
        <w:t xml:space="preserve">。</w:t>
      </w:r>
      <w:r>
        <w:rPr>
          <w:rFonts w:hint="eastAsia" w:ascii="仿宋_GB2312" w:hAnsi="黑体" w:eastAsia="仿宋_GB2312"/>
          <w:sz w:val="32"/>
          <w:szCs w:val="32"/>
        </w:rPr>
      </w:r>
      <w:r>
        <w:rPr>
          <w:rFonts w:hint="eastAsia" w:ascii="仿宋_GB2312" w:hAnsi="黑体" w:eastAsia="仿宋_GB2312"/>
          <w:sz w:val="32"/>
          <w:szCs w:val="32"/>
        </w:rPr>
      </w:r>
    </w:p>
    <w:p>
      <w:pPr>
        <w:pStyle w:val="859"/>
        <w:pBdr/>
        <w:spacing w:line="540" w:lineRule="exact"/>
        <w:ind w:firstLine="643"/>
        <w:rPr>
          <w:rFonts w:hint="eastAsia" w:ascii="楷体_GB2312" w:hAnsi="黑体" w:eastAsia="楷体_GB2312"/>
          <w:b/>
          <w:sz w:val="32"/>
          <w:szCs w:val="32"/>
        </w:rPr>
      </w:pPr>
      <w:r>
        <w:rPr>
          <w:rFonts w:hint="eastAsia" w:ascii="楷体_GB2312" w:hAnsi="黑体" w:eastAsia="楷体_GB2312"/>
          <w:b/>
          <w:sz w:val="32"/>
          <w:szCs w:val="32"/>
        </w:rPr>
        <w:t xml:space="preserve">（二）政府采购支出情况。</w:t>
      </w:r>
      <w:r>
        <w:rPr>
          <w:rFonts w:hint="eastAsia" w:ascii="楷体_GB2312" w:hAnsi="黑体" w:eastAsia="楷体_GB2312"/>
          <w:b/>
          <w:sz w:val="32"/>
          <w:szCs w:val="32"/>
        </w:rPr>
      </w:r>
      <w:r>
        <w:rPr>
          <w:rFonts w:hint="eastAsia" w:ascii="楷体_GB2312" w:hAnsi="黑体" w:eastAsia="楷体_GB2312"/>
          <w:b/>
          <w:sz w:val="32"/>
          <w:szCs w:val="32"/>
        </w:rPr>
      </w:r>
    </w:p>
    <w:p>
      <w:pPr>
        <w:pStyle w:val="859"/>
        <w:pBdr/>
        <w:spacing w:line="540" w:lineRule="exact"/>
        <w:ind w:firstLine="640"/>
        <w:rPr>
          <w:rFonts w:hint="eastAsia" w:ascii="仿宋_GB2312" w:hAnsi="黑体" w:eastAsia="仿宋_GB2312"/>
          <w:sz w:val="32"/>
          <w:szCs w:val="32"/>
          <w:lang w:eastAsia="zh-CN"/>
        </w:rPr>
      </w:pPr>
      <w:r>
        <w:rPr>
          <w:rFonts w:hint="eastAsia" w:ascii="仿宋_GB2312" w:hAnsi="黑体" w:eastAsia="仿宋_GB2312"/>
          <w:sz w:val="32"/>
          <w:szCs w:val="32"/>
          <w:lang w:eastAsia="zh-CN"/>
        </w:rPr>
        <w:t xml:space="preserve">2022</w:t>
      </w:r>
      <w:r>
        <w:rPr>
          <w:rFonts w:hint="eastAsia" w:ascii="仿宋_GB2312" w:hAnsi="黑体" w:eastAsia="仿宋_GB2312"/>
          <w:sz w:val="32"/>
          <w:szCs w:val="32"/>
        </w:rPr>
        <w:t xml:space="preserve">年政府采购支出总额</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万元，其中：政府采购货物支出</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万元，政府采购工程支出</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万元，政府采购服务支出</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万元。</w:t>
      </w:r>
      <w:r>
        <w:rPr>
          <w:rFonts w:hint="eastAsia" w:ascii="仿宋_GB2312" w:eastAsia="仿宋_GB2312"/>
          <w:sz w:val="32"/>
          <w:szCs w:val="32"/>
        </w:rPr>
        <w:t xml:space="preserve">授予中小企业合同金额</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万元，占政府采购支出总额的</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%，其中：授予小微企业合同金额</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万元，占中小企业采购支出总额的</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w:t>
      </w:r>
      <w:r>
        <w:rPr>
          <w:rFonts w:hint="eastAsia" w:ascii="仿宋_GB2312" w:eastAsia="仿宋_GB2312"/>
          <w:sz w:val="32"/>
          <w:szCs w:val="32"/>
          <w:lang w:eastAsia="zh-CN"/>
        </w:rPr>
        <w:t xml:space="preserve">；货物采购授予中小企业合</w:t>
      </w:r>
      <w:r>
        <w:rPr>
          <w:rFonts w:hint="eastAsia" w:ascii="仿宋_GB2312" w:eastAsia="仿宋_GB2312"/>
          <w:color w:val="000000"/>
          <w:sz w:val="32"/>
          <w:szCs w:val="32"/>
          <w:highlight w:val="none"/>
          <w:lang w:eastAsia="zh-CN"/>
        </w:rPr>
        <w:t xml:space="preserve">同金额占货物</w:t>
      </w:r>
      <w:r>
        <w:rPr>
          <w:rFonts w:hint="eastAsia" w:ascii="仿宋_GB2312" w:eastAsia="仿宋_GB2312"/>
          <w:color w:val="000000"/>
          <w:sz w:val="32"/>
          <w:szCs w:val="32"/>
          <w:highlight w:val="none"/>
        </w:rPr>
        <w:t xml:space="preserve">支出</w:t>
      </w:r>
      <w:r>
        <w:rPr>
          <w:rFonts w:hint="eastAsia" w:ascii="仿宋_GB2312" w:eastAsia="仿宋_GB2312"/>
          <w:color w:val="000000"/>
          <w:sz w:val="32"/>
          <w:szCs w:val="32"/>
          <w:highlight w:val="none"/>
          <w:lang w:eastAsia="zh-CN"/>
        </w:rPr>
        <w:t xml:space="preserve">金额的</w:t>
      </w:r>
      <w:r>
        <w:rPr>
          <w:rFonts w:hint="eastAsia" w:ascii="仿宋_GB2312" w:eastAsia="仿宋_GB2312"/>
          <w:color w:val="000000"/>
          <w:sz w:val="32"/>
          <w:szCs w:val="32"/>
          <w:highlight w:val="none"/>
          <w:lang w:val="en-US" w:eastAsia="zh-CN"/>
        </w:rPr>
        <w:t xml:space="preserve">0</w:t>
      </w:r>
      <w:r>
        <w:rPr>
          <w:rFonts w:hint="eastAsia" w:ascii="仿宋_GB2312" w:eastAsia="仿宋_GB2312"/>
          <w:color w:val="000000"/>
          <w:sz w:val="32"/>
          <w:szCs w:val="32"/>
          <w:highlight w:val="none"/>
        </w:rPr>
        <w:t xml:space="preserve">%</w:t>
      </w:r>
      <w:r>
        <w:rPr>
          <w:rFonts w:hint="eastAsia" w:ascii="仿宋_GB2312" w:eastAsia="仿宋_GB2312"/>
          <w:color w:val="000000"/>
          <w:sz w:val="32"/>
          <w:szCs w:val="32"/>
          <w:highlight w:val="none"/>
          <w:lang w:eastAsia="zh-CN"/>
        </w:rPr>
        <w:t xml:space="preserve">；工程采购授予中小企业合同金额占工程</w:t>
      </w:r>
      <w:r>
        <w:rPr>
          <w:rFonts w:hint="eastAsia" w:ascii="仿宋_GB2312" w:eastAsia="仿宋_GB2312"/>
          <w:color w:val="000000"/>
          <w:sz w:val="32"/>
          <w:szCs w:val="32"/>
        </w:rPr>
        <w:t xml:space="preserve">支出</w:t>
      </w:r>
      <w:r>
        <w:rPr>
          <w:rFonts w:hint="eastAsia" w:ascii="仿宋_GB2312" w:eastAsia="仿宋_GB2312"/>
          <w:sz w:val="32"/>
          <w:szCs w:val="32"/>
          <w:lang w:eastAsia="zh-CN"/>
        </w:rPr>
        <w:t xml:space="preserve">金额的</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w:t>
      </w:r>
      <w:r>
        <w:rPr>
          <w:rFonts w:hint="eastAsia" w:ascii="仿宋_GB2312" w:eastAsia="仿宋_GB2312"/>
          <w:sz w:val="32"/>
          <w:szCs w:val="32"/>
          <w:lang w:eastAsia="zh-CN"/>
        </w:rPr>
        <w:t xml:space="preserve">；服务采购授予中小企业合同金额</w:t>
      </w:r>
      <w:r>
        <w:rPr>
          <w:rFonts w:hint="eastAsia" w:ascii="仿宋_GB2312" w:eastAsia="仿宋_GB2312"/>
          <w:color w:val="000000"/>
          <w:sz w:val="32"/>
          <w:szCs w:val="32"/>
          <w:highlight w:val="none"/>
          <w:lang w:eastAsia="zh-CN"/>
        </w:rPr>
        <w:t xml:space="preserve">占服务</w:t>
      </w:r>
      <w:r>
        <w:rPr>
          <w:rFonts w:hint="eastAsia" w:ascii="仿宋_GB2312" w:eastAsia="仿宋_GB2312"/>
          <w:color w:val="000000"/>
          <w:sz w:val="32"/>
          <w:szCs w:val="32"/>
          <w:highlight w:val="none"/>
        </w:rPr>
        <w:t xml:space="preserve">支</w:t>
      </w:r>
      <w:r>
        <w:rPr>
          <w:rFonts w:hint="eastAsia" w:ascii="仿宋_GB2312" w:eastAsia="仿宋_GB2312"/>
          <w:sz w:val="32"/>
          <w:szCs w:val="32"/>
        </w:rPr>
        <w:t xml:space="preserve">出</w:t>
      </w:r>
      <w:r>
        <w:rPr>
          <w:rFonts w:hint="eastAsia" w:ascii="仿宋_GB2312" w:eastAsia="仿宋_GB2312"/>
          <w:sz w:val="32"/>
          <w:szCs w:val="32"/>
          <w:lang w:eastAsia="zh-CN"/>
        </w:rPr>
        <w:t xml:space="preserve">金额的</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w:t>
      </w:r>
      <w:r>
        <w:rPr>
          <w:rFonts w:hint="eastAsia" w:ascii="仿宋_GB2312" w:eastAsia="仿宋_GB2312"/>
          <w:sz w:val="32"/>
          <w:szCs w:val="32"/>
          <w:lang w:eastAsia="zh-CN"/>
        </w:rPr>
        <w:t xml:space="preserve">。</w:t>
      </w:r>
      <w:r>
        <w:rPr>
          <w:rFonts w:hint="eastAsia" w:ascii="仿宋_GB2312" w:hAnsi="黑体" w:eastAsia="仿宋_GB2312"/>
          <w:sz w:val="32"/>
          <w:szCs w:val="32"/>
          <w:lang w:eastAsia="zh-CN"/>
        </w:rPr>
      </w:r>
      <w:r>
        <w:rPr>
          <w:rFonts w:hint="eastAsia" w:ascii="仿宋_GB2312" w:hAnsi="黑体" w:eastAsia="仿宋_GB2312"/>
          <w:sz w:val="32"/>
          <w:szCs w:val="32"/>
          <w:lang w:eastAsia="zh-CN"/>
        </w:rPr>
      </w:r>
    </w:p>
    <w:p>
      <w:pPr>
        <w:pStyle w:val="859"/>
        <w:pBdr/>
        <w:spacing w:line="540" w:lineRule="exact"/>
        <w:ind w:firstLine="643"/>
        <w:rPr>
          <w:rFonts w:hint="eastAsia" w:ascii="楷体_GB2312" w:hAnsi="黑体" w:eastAsia="楷体_GB2312"/>
          <w:b/>
          <w:sz w:val="32"/>
          <w:szCs w:val="32"/>
        </w:rPr>
      </w:pPr>
      <w:r>
        <w:rPr>
          <w:rFonts w:hint="eastAsia" w:ascii="楷体_GB2312" w:hAnsi="黑体" w:eastAsia="楷体_GB2312"/>
          <w:b/>
          <w:sz w:val="32"/>
          <w:szCs w:val="32"/>
        </w:rPr>
        <w:t xml:space="preserve">（三）国有资产占用情况。</w:t>
      </w:r>
      <w:r>
        <w:rPr>
          <w:rFonts w:hint="eastAsia" w:ascii="楷体_GB2312" w:hAnsi="黑体" w:eastAsia="楷体_GB2312"/>
          <w:b/>
          <w:sz w:val="32"/>
          <w:szCs w:val="32"/>
        </w:rPr>
      </w:r>
      <w:r>
        <w:rPr>
          <w:rFonts w:hint="eastAsia" w:ascii="楷体_GB2312" w:hAnsi="黑体" w:eastAsia="楷体_GB2312"/>
          <w:b/>
          <w:sz w:val="32"/>
          <w:szCs w:val="32"/>
        </w:rPr>
      </w:r>
    </w:p>
    <w:p>
      <w:pPr>
        <w:pStyle w:val="859"/>
        <w:pBdr/>
        <w:spacing w:line="540" w:lineRule="exact"/>
        <w:ind w:firstLine="640"/>
        <w:rPr>
          <w:rFonts w:hint="eastAsia" w:ascii="仿宋_GB2312" w:hAnsi="黑体" w:eastAsia="仿宋_GB2312"/>
          <w:sz w:val="32"/>
          <w:szCs w:val="32"/>
        </w:rPr>
      </w:pPr>
      <w:r>
        <w:rPr>
          <w:rFonts w:hint="eastAsia" w:ascii="仿宋_GB2312" w:hAnsi="黑体" w:eastAsia="仿宋_GB2312"/>
          <w:sz w:val="32"/>
          <w:szCs w:val="32"/>
        </w:rPr>
        <w:t xml:space="preserve">截至</w:t>
      </w:r>
      <w:r>
        <w:rPr>
          <w:rFonts w:hint="eastAsia" w:ascii="仿宋_GB2312" w:hAnsi="黑体" w:eastAsia="仿宋_GB2312"/>
          <w:sz w:val="32"/>
          <w:szCs w:val="32"/>
          <w:lang w:eastAsia="zh-CN"/>
        </w:rPr>
        <w:t xml:space="preserve">2022</w:t>
      </w:r>
      <w:r>
        <w:rPr>
          <w:rFonts w:hint="eastAsia" w:ascii="仿宋_GB2312" w:hAnsi="黑体" w:eastAsia="仿宋_GB2312"/>
          <w:sz w:val="32"/>
          <w:szCs w:val="32"/>
        </w:rPr>
        <w:t xml:space="preserve">年12月31日，共有车辆</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辆，其中：副省级以上领导干部用车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辆，主要</w:t>
      </w:r>
      <w:r>
        <w:rPr>
          <w:rFonts w:ascii="仿宋_GB2312" w:hAnsi="黑体" w:eastAsia="仿宋_GB2312"/>
          <w:sz w:val="32"/>
          <w:szCs w:val="32"/>
        </w:rPr>
        <w:t xml:space="preserve">领导干部</w:t>
      </w:r>
      <w:r>
        <w:rPr>
          <w:rFonts w:hint="eastAsia" w:ascii="仿宋_GB2312" w:hAnsi="黑体" w:eastAsia="仿宋_GB2312"/>
          <w:sz w:val="32"/>
          <w:szCs w:val="32"/>
        </w:rPr>
        <w:t xml:space="preserve">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辆，机要</w:t>
      </w:r>
      <w:r>
        <w:rPr>
          <w:rFonts w:hint="eastAsia" w:ascii="仿宋_GB2312" w:hAnsi="黑体" w:eastAsia="仿宋_GB2312"/>
          <w:sz w:val="32"/>
          <w:szCs w:val="32"/>
          <w:lang w:eastAsia="zh-CN"/>
        </w:rPr>
        <w:t xml:space="preserve">通信</w:t>
      </w:r>
      <w:r>
        <w:rPr>
          <w:rFonts w:hint="eastAsia" w:ascii="仿宋_GB2312" w:hAnsi="黑体" w:eastAsia="仿宋_GB2312"/>
          <w:sz w:val="32"/>
          <w:szCs w:val="32"/>
        </w:rPr>
        <w:t xml:space="preserve">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辆，应急</w:t>
      </w:r>
      <w:r>
        <w:rPr>
          <w:rFonts w:ascii="仿宋_GB2312" w:hAnsi="黑体" w:eastAsia="仿宋_GB2312"/>
          <w:sz w:val="32"/>
          <w:szCs w:val="32"/>
        </w:rPr>
        <w:t xml:space="preserve">保障用车</w:t>
      </w:r>
      <w:r>
        <w:rPr>
          <w:rFonts w:hint="eastAsia" w:ascii="仿宋_GB2312" w:hAnsi="黑体" w:eastAsia="仿宋_GB2312"/>
          <w:sz w:val="32"/>
          <w:szCs w:val="32"/>
          <w:lang w:val="en-US" w:eastAsia="zh-CN"/>
        </w:rPr>
        <w:t xml:space="preserve">0</w:t>
      </w:r>
      <w:r>
        <w:rPr>
          <w:rFonts w:ascii="仿宋_GB2312" w:hAnsi="黑体" w:eastAsia="仿宋_GB2312"/>
          <w:sz w:val="32"/>
          <w:szCs w:val="32"/>
        </w:rPr>
        <w:t xml:space="preserve">辆，</w:t>
      </w:r>
      <w:r>
        <w:rPr>
          <w:rFonts w:hint="eastAsia" w:ascii="仿宋_GB2312" w:hAnsi="黑体" w:eastAsia="仿宋_GB2312"/>
          <w:sz w:val="32"/>
          <w:szCs w:val="32"/>
        </w:rPr>
        <w:t xml:space="preserve">执法执勤</w:t>
      </w:r>
      <w:r>
        <w:rPr>
          <w:rFonts w:ascii="仿宋_GB2312" w:hAnsi="黑体" w:eastAsia="仿宋_GB2312"/>
          <w:sz w:val="32"/>
          <w:szCs w:val="32"/>
        </w:rPr>
        <w:t xml:space="preserve">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w:t>
      </w:r>
      <w:r>
        <w:rPr>
          <w:rFonts w:ascii="仿宋_GB2312" w:hAnsi="黑体" w:eastAsia="仿宋_GB2312"/>
          <w:sz w:val="32"/>
          <w:szCs w:val="32"/>
        </w:rPr>
        <w:t xml:space="preserve">，</w:t>
      </w:r>
      <w:r>
        <w:rPr>
          <w:rFonts w:hint="eastAsia" w:ascii="仿宋_GB2312" w:hAnsi="黑体" w:eastAsia="仿宋_GB2312"/>
          <w:sz w:val="32"/>
          <w:szCs w:val="32"/>
        </w:rPr>
        <w:t xml:space="preserve">特种专业技术用车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辆，离退休</w:t>
      </w:r>
      <w:r>
        <w:rPr>
          <w:rFonts w:ascii="仿宋_GB2312" w:hAnsi="黑体" w:eastAsia="仿宋_GB2312"/>
          <w:sz w:val="32"/>
          <w:szCs w:val="32"/>
        </w:rPr>
        <w:t xml:space="preserve">干部用车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w:t>
      </w:r>
      <w:r>
        <w:rPr>
          <w:rFonts w:ascii="仿宋_GB2312" w:hAnsi="黑体" w:eastAsia="仿宋_GB2312"/>
          <w:sz w:val="32"/>
          <w:szCs w:val="32"/>
        </w:rPr>
        <w:t xml:space="preserve">，</w:t>
      </w:r>
      <w:r>
        <w:rPr>
          <w:rFonts w:hint="eastAsia" w:ascii="仿宋_GB2312" w:hAnsi="黑体" w:eastAsia="仿宋_GB2312"/>
          <w:sz w:val="32"/>
          <w:szCs w:val="32"/>
        </w:rPr>
        <w:t xml:space="preserve">其他用车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辆；单价100万元</w:t>
      </w:r>
      <w:r>
        <w:rPr>
          <w:rFonts w:hint="eastAsia" w:ascii="仿宋_GB2312" w:hAnsi="黑体" w:eastAsia="仿宋_GB2312"/>
          <w:sz w:val="32"/>
          <w:szCs w:val="32"/>
          <w:lang w:eastAsia="zh-CN"/>
        </w:rPr>
        <w:t xml:space="preserve">（含）</w:t>
      </w:r>
      <w:r>
        <w:rPr>
          <w:rFonts w:hint="eastAsia" w:ascii="仿宋_GB2312" w:hAnsi="黑体" w:eastAsia="仿宋_GB2312"/>
          <w:sz w:val="32"/>
          <w:szCs w:val="32"/>
        </w:rPr>
        <w:t xml:space="preserve">以上设备</w:t>
      </w:r>
      <w:r>
        <w:rPr>
          <w:rFonts w:hint="eastAsia" w:ascii="仿宋_GB2312" w:hAnsi="黑体" w:eastAsia="仿宋_GB2312"/>
          <w:sz w:val="32"/>
          <w:szCs w:val="32"/>
          <w:lang w:eastAsia="zh-CN"/>
        </w:rPr>
        <w:t xml:space="preserve">（不含车辆）</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台（套）。</w:t>
      </w:r>
      <w:r>
        <w:rPr>
          <w:rFonts w:hint="eastAsia" w:ascii="仿宋_GB2312" w:hAnsi="黑体" w:eastAsia="仿宋_GB2312"/>
          <w:sz w:val="32"/>
          <w:szCs w:val="32"/>
        </w:rPr>
      </w:r>
      <w:r>
        <w:rPr>
          <w:rFonts w:hint="eastAsia" w:ascii="仿宋_GB2312" w:hAnsi="黑体" w:eastAsia="仿宋_GB2312"/>
          <w:sz w:val="32"/>
          <w:szCs w:val="32"/>
        </w:rPr>
      </w:r>
    </w:p>
    <w:p>
      <w:pPr>
        <w:pStyle w:val="859"/>
        <w:keepNext w:val="false"/>
        <w:keepLines w:val="false"/>
        <w:widowControl w:val="true"/>
        <w:suppressLineNumbers w:val="false"/>
        <w:pBdr/>
        <w:spacing w:after="0" w:afterAutospacing="0" w:before="0" w:beforeAutospacing="0" w:line="540" w:lineRule="exact"/>
        <w:ind w:right="0" w:firstLine="643" w:left="0"/>
        <w:jc w:val="left"/>
        <w:rPr>
          <w:color w:val="000000"/>
          <w:highlight w:val="none"/>
          <w:shd w:val="clear" w:color="auto" w:fill="auto"/>
        </w:rPr>
      </w:pPr>
      <w:r>
        <w:rPr>
          <w:rFonts w:ascii="楷体_GB2312" w:hAnsi="宋体" w:eastAsia="楷体_GB2312" w:cs="楷体_GB2312"/>
          <w:b/>
          <w:color w:val="000000"/>
          <w:sz w:val="32"/>
          <w:szCs w:val="32"/>
          <w:highlight w:val="none"/>
          <w:shd w:val="clear" w:color="auto" w:fill="auto"/>
          <w:lang w:val="en-US" w:eastAsia="zh-CN" w:bidi="ar"/>
        </w:rPr>
        <w:t xml:space="preserve">（四）预算绩效情况。</w:t>
      </w:r>
      <w:r>
        <w:rPr>
          <w:color w:val="000000"/>
          <w:highlight w:val="none"/>
          <w:shd w:val="clear" w:color="auto" w:fill="auto"/>
        </w:rPr>
      </w:r>
      <w:r>
        <w:rPr>
          <w:color w:val="000000"/>
          <w:highlight w:val="none"/>
          <w:shd w:val="clear" w:color="auto" w:fill="auto"/>
        </w:rPr>
      </w:r>
    </w:p>
    <w:p>
      <w:pPr>
        <w:pStyle w:val="859"/>
        <w:keepNext w:val="false"/>
        <w:keepLines w:val="false"/>
        <w:pageBreakBefore w:val="false"/>
        <w:widowControl w:val="true"/>
        <w:suppressLineNumbers w:val="false"/>
        <w:pBdr/>
        <w:spacing w:after="0" w:afterAutospacing="0" w:before="0" w:beforeAutospacing="0" w:line="520" w:lineRule="exact"/>
        <w:ind w:right="0" w:firstLine="643" w:left="0"/>
        <w:jc w:val="left"/>
        <w:rPr>
          <w:rFonts w:hint="eastAsia" w:ascii="仿宋_GB2312" w:hAnsi="仿宋_GB2312" w:eastAsia="仿宋_GB2312" w:cs="仿宋_GB2312"/>
          <w:color w:val="000000"/>
          <w:highlight w:val="none"/>
          <w:shd w:val="clear" w:color="auto" w:fill="auto"/>
        </w:rPr>
      </w:pPr>
      <w:r>
        <w:rPr>
          <w:rFonts w:hint="eastAsia" w:ascii="仿宋_GB2312" w:hAnsi="仿宋_GB2312" w:eastAsia="仿宋_GB2312" w:cs="仿宋_GB2312"/>
          <w:b/>
          <w:color w:val="000000"/>
          <w:sz w:val="32"/>
          <w:szCs w:val="32"/>
          <w:highlight w:val="none"/>
          <w:shd w:val="clear" w:color="auto" w:fill="auto"/>
          <w:lang w:val="en-US" w:eastAsia="zh-CN" w:bidi="ar"/>
        </w:rPr>
        <w:t xml:space="preserve">1.绩效评价工作开展情况。</w:t>
      </w:r>
      <w:r>
        <w:rPr>
          <w:rFonts w:hint="eastAsia" w:ascii="仿宋_GB2312" w:hAnsi="仿宋_GB2312" w:eastAsia="仿宋_GB2312" w:cs="仿宋_GB2312"/>
          <w:color w:val="000000"/>
          <w:highlight w:val="none"/>
          <w:shd w:val="clear" w:color="auto" w:fill="auto"/>
        </w:rPr>
      </w:r>
      <w:r>
        <w:rPr>
          <w:rFonts w:hint="eastAsia" w:ascii="仿宋_GB2312" w:hAnsi="仿宋_GB2312" w:eastAsia="仿宋_GB2312" w:cs="仿宋_GB2312"/>
          <w:color w:val="000000"/>
          <w:highlight w:val="none"/>
          <w:shd w:val="clear" w:color="auto" w:fill="auto"/>
        </w:rPr>
      </w:r>
    </w:p>
    <w:p>
      <w:pPr>
        <w:pStyle w:val="859"/>
        <w:keepNext w:val="false"/>
        <w:keepLines w:val="false"/>
        <w:pageBreakBefore w:val="false"/>
        <w:widowControl w:val="true"/>
        <w:suppressLineNumbers w:val="false"/>
        <w:pBdr/>
        <w:spacing w:after="0" w:afterAutospacing="0" w:before="0" w:beforeAutospacing="0" w:line="520" w:lineRule="exact"/>
        <w:ind w:right="0" w:firstLine="640" w:left="0"/>
        <w:jc w:val="left"/>
        <w:rPr>
          <w:rFonts w:hint="eastAsia" w:ascii="仿宋_GB2312" w:hAnsi="宋体" w:eastAsia="仿宋_GB2312" w:cs="仿宋_GB2312"/>
          <w:color w:val="000000"/>
          <w:sz w:val="32"/>
          <w:szCs w:val="32"/>
          <w:highlight w:val="none"/>
          <w:shd w:val="clear" w:color="auto" w:fill="auto"/>
          <w:lang w:val="en-US" w:eastAsia="zh-CN" w:bidi="ar"/>
        </w:rPr>
      </w:pPr>
      <w:r>
        <w:rPr>
          <w:rFonts w:ascii="仿宋_GB2312" w:hAnsi="宋体" w:eastAsia="仿宋_GB2312" w:cs="仿宋_GB2312"/>
          <w:color w:val="000000"/>
          <w:sz w:val="32"/>
          <w:szCs w:val="32"/>
          <w:highlight w:val="none"/>
          <w:shd w:val="clear" w:color="auto" w:fill="auto"/>
          <w:lang w:val="en-US" w:eastAsia="zh-CN" w:bidi="ar"/>
        </w:rPr>
        <w:t xml:space="preserve">根据预算</w:t>
      </w:r>
      <w:r>
        <w:rPr>
          <w:rFonts w:hint="eastAsia" w:hAnsi="宋体" w:eastAsia="仿宋_GB2312" w:cs="仿宋_GB2312"/>
          <w:color w:val="000000"/>
          <w:sz w:val="32"/>
          <w:szCs w:val="32"/>
          <w:highlight w:val="none"/>
          <w:shd w:val="clear" w:color="auto" w:fill="auto"/>
          <w:lang w:val="en-US" w:eastAsia="zh-CN" w:bidi="ar"/>
        </w:rPr>
        <w:t xml:space="preserve">绩效</w:t>
      </w:r>
      <w:r>
        <w:rPr>
          <w:rFonts w:ascii="仿宋_GB2312" w:hAnsi="宋体" w:eastAsia="仿宋_GB2312" w:cs="仿宋_GB2312"/>
          <w:color w:val="000000"/>
          <w:sz w:val="32"/>
          <w:szCs w:val="32"/>
          <w:highlight w:val="none"/>
          <w:shd w:val="clear" w:color="auto" w:fill="auto"/>
          <w:lang w:val="en-US" w:eastAsia="zh-CN" w:bidi="ar"/>
        </w:rPr>
        <w:t xml:space="preserve">管理要求，</w:t>
      </w:r>
      <w:r>
        <w:rPr>
          <w:rFonts w:hint="eastAsia" w:ascii="仿宋_GB2312" w:hAnsi="宋体" w:eastAsia="仿宋_GB2312" w:cs="仿宋_GB2312"/>
          <w:color w:val="000000"/>
          <w:sz w:val="32"/>
          <w:szCs w:val="32"/>
          <w:highlight w:val="none"/>
          <w:shd w:val="clear" w:color="auto" w:fill="auto"/>
          <w:lang w:val="en-US" w:eastAsia="zh-CN" w:bidi="ar"/>
        </w:rPr>
        <w:t xml:space="preserve">本部门</w:t>
      </w:r>
      <w:r>
        <w:rPr>
          <w:rFonts w:ascii="仿宋_GB2312" w:hAnsi="宋体" w:eastAsia="仿宋_GB2312" w:cs="仿宋_GB2312"/>
          <w:color w:val="000000"/>
          <w:sz w:val="32"/>
          <w:szCs w:val="32"/>
          <w:highlight w:val="none"/>
          <w:shd w:val="clear" w:color="auto" w:fill="auto"/>
          <w:lang w:val="en-US" w:eastAsia="zh-CN" w:bidi="ar"/>
        </w:rPr>
        <w:t xml:space="preserve">组织对</w:t>
      </w:r>
      <w:r>
        <w:rPr>
          <w:rFonts w:hint="eastAsia" w:ascii="仿宋_GB2312" w:hAnsi="宋体" w:eastAsia="仿宋_GB2312" w:cs="宋体"/>
          <w:color w:val="000000"/>
          <w:sz w:val="32"/>
          <w:szCs w:val="32"/>
          <w:highlight w:val="none"/>
          <w:shd w:val="clear" w:color="auto" w:fill="auto"/>
          <w:lang w:val="en-US" w:eastAsia="zh-CN" w:bidi="ar"/>
        </w:rPr>
        <w:t xml:space="preserve">2022</w:t>
      </w:r>
      <w:r>
        <w:rPr>
          <w:rFonts w:hint="eastAsia" w:ascii="仿宋_GB2312" w:hAnsi="宋体" w:eastAsia="仿宋_GB2312" w:cs="仿宋_GB2312"/>
          <w:color w:val="000000"/>
          <w:sz w:val="32"/>
          <w:szCs w:val="32"/>
          <w:highlight w:val="none"/>
          <w:shd w:val="clear" w:color="auto" w:fill="auto"/>
          <w:lang w:val="en-US" w:eastAsia="zh-CN" w:bidi="ar"/>
        </w:rPr>
        <w:t xml:space="preserve">年度预算项目支出全面开展绩效自评，共涉及预算支出项目5个（其中：一般公共预算项目5个，政府性基金预算项目0个，国有资本经营预算项目0个），涉及资金1638万元（其中：一般公共预算资金1638万元，政府性基金预算资金0万元，国有资本经营预算资金0万元），自评覆盖率（开展绩效自评的项目数</w:t>
      </w:r>
      <w:r>
        <w:rPr>
          <w:rFonts w:hint="eastAsia" w:ascii="仿宋_GB2312" w:hAnsi="宋体" w:eastAsia="仿宋_GB2312" w:cs="宋体"/>
          <w:color w:val="000000"/>
          <w:sz w:val="32"/>
          <w:szCs w:val="32"/>
          <w:highlight w:val="none"/>
          <w:shd w:val="clear" w:color="auto" w:fill="auto"/>
          <w:lang w:val="en-US" w:eastAsia="zh-CN" w:bidi="ar"/>
        </w:rPr>
        <w:t xml:space="preserve">/年初批复绩效目标的项目数*100%）达到</w:t>
      </w:r>
      <w:r>
        <w:rPr>
          <w:rFonts w:hint="eastAsia" w:ascii="仿宋_GB2312" w:hAnsi="宋体" w:eastAsia="仿宋_GB2312" w:cs="仿宋_GB2312"/>
          <w:color w:val="000000"/>
          <w:sz w:val="32"/>
          <w:szCs w:val="32"/>
          <w:highlight w:val="none"/>
          <w:shd w:val="clear" w:color="auto" w:fill="auto"/>
          <w:lang w:val="en-US" w:eastAsia="zh-CN" w:bidi="ar"/>
        </w:rPr>
        <w:t xml:space="preserve">100</w:t>
      </w:r>
      <w:r>
        <w:rPr>
          <w:rFonts w:hint="eastAsia" w:ascii="仿宋_GB2312" w:hAnsi="宋体" w:eastAsia="仿宋_GB2312" w:cs="宋体"/>
          <w:color w:val="000000"/>
          <w:sz w:val="32"/>
          <w:szCs w:val="32"/>
          <w:highlight w:val="none"/>
          <w:shd w:val="clear" w:color="auto" w:fill="auto"/>
          <w:lang w:val="en-US" w:eastAsia="zh-CN" w:bidi="ar"/>
        </w:rPr>
        <w:t xml:space="preserve">%，自评平均分（开展绩效自评的项目分数总和/开展绩效自评的项目数）</w:t>
      </w:r>
      <w:r>
        <w:rPr>
          <w:rFonts w:hint="eastAsia" w:ascii="仿宋_GB2312" w:hAnsi="宋体" w:eastAsia="仿宋_GB2312" w:cs="仿宋_GB2312"/>
          <w:color w:val="000000"/>
          <w:sz w:val="32"/>
          <w:szCs w:val="32"/>
          <w:highlight w:val="none"/>
          <w:shd w:val="clear" w:color="auto" w:fill="auto"/>
          <w:lang w:val="en-US" w:eastAsia="zh-CN" w:bidi="ar"/>
        </w:rPr>
        <w:t xml:space="preserve">70分。</w:t>
      </w:r>
      <w:r>
        <w:rPr>
          <w:rFonts w:hint="eastAsia" w:ascii="仿宋_GB2312" w:hAnsi="宋体" w:eastAsia="仿宋_GB2312" w:cs="仿宋_GB2312"/>
          <w:color w:val="000000"/>
          <w:sz w:val="32"/>
          <w:szCs w:val="32"/>
          <w:highlight w:val="none"/>
          <w:shd w:val="clear" w:color="auto" w:fill="auto"/>
          <w:lang w:val="en-US" w:eastAsia="zh-CN" w:bidi="ar"/>
        </w:rPr>
      </w:r>
      <w:r>
        <w:rPr>
          <w:rFonts w:hint="eastAsia" w:ascii="仿宋_GB2312" w:hAnsi="宋体" w:eastAsia="仿宋_GB2312" w:cs="仿宋_GB2312"/>
          <w:color w:val="000000"/>
          <w:sz w:val="32"/>
          <w:szCs w:val="32"/>
          <w:highlight w:val="none"/>
          <w:shd w:val="clear" w:color="auto" w:fill="auto"/>
          <w:lang w:val="en-US" w:eastAsia="zh-CN" w:bidi="ar"/>
        </w:rPr>
      </w:r>
    </w:p>
    <w:p>
      <w:pPr>
        <w:pStyle w:val="859"/>
        <w:keepNext w:val="false"/>
        <w:keepLines w:val="false"/>
        <w:pageBreakBefore w:val="false"/>
        <w:widowControl w:val="true"/>
        <w:suppressLineNumbers w:val="false"/>
        <w:pBdr/>
        <w:spacing w:after="0" w:afterAutospacing="0" w:before="0" w:beforeAutospacing="0" w:line="520" w:lineRule="exact"/>
        <w:ind w:right="0" w:firstLine="640" w:left="0"/>
        <w:jc w:val="left"/>
        <w:rPr>
          <w:color w:val="000000"/>
          <w:highlight w:val="none"/>
          <w:shd w:val="clear" w:color="auto" w:fill="auto"/>
        </w:rPr>
      </w:pPr>
      <w:r>
        <w:rPr>
          <w:rFonts w:hint="eastAsia" w:hAnsi="宋体" w:eastAsia="仿宋_GB2312" w:cs="仿宋_GB2312"/>
          <w:color w:val="000000"/>
          <w:sz w:val="32"/>
          <w:szCs w:val="32"/>
          <w:highlight w:val="none"/>
          <w:shd w:val="clear" w:color="auto" w:fill="auto"/>
          <w:lang w:val="en-US" w:eastAsia="zh-CN" w:bidi="ar"/>
        </w:rPr>
        <w:t xml:space="preserve">组织对</w:t>
      </w:r>
      <w:r>
        <w:rPr>
          <w:rFonts w:hint="eastAsia" w:ascii="仿宋_GB2312" w:hAnsi="宋体" w:eastAsia="仿宋_GB2312" w:cs="仿宋_GB2312"/>
          <w:color w:val="000000"/>
          <w:sz w:val="32"/>
          <w:szCs w:val="32"/>
          <w:highlight w:val="none"/>
          <w:shd w:val="clear" w:color="auto" w:fill="auto"/>
          <w:lang w:val="en-US" w:eastAsia="zh-CN" w:bidi="ar"/>
        </w:rPr>
        <w:t xml:space="preserve">1</w:t>
      </w:r>
      <w:r>
        <w:rPr>
          <w:rFonts w:hint="eastAsia" w:hAnsi="宋体" w:eastAsia="仿宋_GB2312" w:cs="仿宋_GB2312"/>
          <w:color w:val="000000"/>
          <w:sz w:val="32"/>
          <w:szCs w:val="32"/>
          <w:highlight w:val="none"/>
          <w:shd w:val="clear" w:color="auto" w:fill="auto"/>
          <w:lang w:val="en-US" w:eastAsia="zh-CN" w:bidi="ar"/>
        </w:rPr>
        <w:t xml:space="preserve">个单位开展整体绩效自评，涉及资金</w:t>
      </w:r>
      <w:r>
        <w:rPr>
          <w:rFonts w:hint="eastAsia" w:ascii="仿宋_GB2312" w:hAnsi="宋体" w:eastAsia="仿宋_GB2312" w:cs="仿宋_GB2312"/>
          <w:color w:val="000000"/>
          <w:sz w:val="32"/>
          <w:szCs w:val="32"/>
          <w:highlight w:val="none"/>
          <w:shd w:val="clear" w:color="auto" w:fill="auto"/>
          <w:lang w:val="en-US" w:eastAsia="zh-CN" w:bidi="ar"/>
        </w:rPr>
        <w:t xml:space="preserve">1592.39</w:t>
      </w:r>
      <w:r>
        <w:rPr>
          <w:rFonts w:hint="eastAsia" w:hAnsi="宋体" w:eastAsia="仿宋_GB2312" w:cs="仿宋_GB2312"/>
          <w:color w:val="000000"/>
          <w:sz w:val="32"/>
          <w:szCs w:val="32"/>
          <w:highlight w:val="none"/>
          <w:shd w:val="clear" w:color="auto" w:fill="auto"/>
          <w:lang w:val="en-US" w:eastAsia="zh-CN" w:bidi="ar"/>
        </w:rPr>
        <w:t xml:space="preserve">万元，自评平均分</w:t>
      </w:r>
      <w:r>
        <w:rPr>
          <w:rFonts w:hint="eastAsia" w:ascii="仿宋_GB2312" w:hAnsi="宋体" w:eastAsia="仿宋_GB2312" w:cs="仿宋_GB2312"/>
          <w:color w:val="000000"/>
          <w:sz w:val="32"/>
          <w:szCs w:val="32"/>
          <w:highlight w:val="none"/>
          <w:shd w:val="clear" w:color="auto" w:fill="auto"/>
          <w:lang w:val="en-US" w:eastAsia="zh-CN" w:bidi="ar"/>
        </w:rPr>
        <w:t xml:space="preserve">97</w:t>
      </w:r>
      <w:r>
        <w:rPr>
          <w:rFonts w:hint="eastAsia" w:hAnsi="宋体" w:eastAsia="仿宋_GB2312" w:cs="仿宋_GB2312"/>
          <w:color w:val="000000"/>
          <w:sz w:val="32"/>
          <w:szCs w:val="32"/>
          <w:highlight w:val="none"/>
          <w:shd w:val="clear" w:color="auto" w:fill="auto"/>
          <w:lang w:val="en-US" w:eastAsia="zh-CN" w:bidi="ar"/>
        </w:rPr>
        <w:t xml:space="preserve">分。《部门（单位）整体绩效自评表》见附件。</w:t>
      </w:r>
      <w:r>
        <w:rPr>
          <w:color w:val="000000"/>
          <w:highlight w:val="none"/>
          <w:shd w:val="clear" w:color="auto" w:fill="auto"/>
        </w:rPr>
      </w:r>
      <w:r>
        <w:rPr>
          <w:color w:val="000000"/>
          <w:highlight w:val="none"/>
          <w:shd w:val="clear" w:color="auto" w:fill="auto"/>
        </w:rPr>
      </w:r>
    </w:p>
    <w:p>
      <w:pPr>
        <w:pStyle w:val="859"/>
        <w:keepNext w:val="false"/>
        <w:keepLines w:val="false"/>
        <w:pageBreakBefore w:val="false"/>
        <w:widowControl w:val="true"/>
        <w:suppressLineNumbers w:val="false"/>
        <w:pBdr/>
        <w:spacing w:after="0" w:afterAutospacing="0" w:before="0" w:beforeAutospacing="0" w:line="520" w:lineRule="exact"/>
        <w:ind w:right="0" w:firstLine="640" w:left="0"/>
        <w:jc w:val="left"/>
        <w:rPr>
          <w:rFonts w:hAnsi="宋体" w:eastAsia="仿宋_GB2312" w:cs="仿宋_GB2312"/>
          <w:color w:val="000000"/>
          <w:sz w:val="32"/>
          <w:szCs w:val="32"/>
          <w:highlight w:val="none"/>
          <w:shd w:val="clear" w:color="auto" w:fill="auto"/>
          <w:lang w:val="en" w:eastAsia="zh-CN" w:bidi="ar"/>
        </w:rPr>
      </w:pPr>
      <w:r>
        <w:rPr>
          <w:rFonts w:hint="eastAsia" w:hAnsi="宋体" w:eastAsia="仿宋_GB2312" w:cs="仿宋_GB2312"/>
          <w:color w:val="000000"/>
          <w:sz w:val="32"/>
          <w:szCs w:val="32"/>
          <w:highlight w:val="none"/>
          <w:shd w:val="clear" w:color="auto" w:fill="auto"/>
          <w:lang w:val="en-US" w:eastAsia="zh-CN" w:bidi="ar"/>
        </w:rPr>
        <w:t xml:space="preserve">本部门</w:t>
      </w:r>
      <w:r>
        <w:rPr>
          <w:rFonts w:hint="eastAsia" w:ascii="仿宋" w:hAnsi="仿宋" w:eastAsia="仿宋"/>
          <w:sz w:val="32"/>
          <w:highlight w:val="none"/>
          <w:shd w:val="clear" w:color="auto" w:fill="auto"/>
        </w:rPr>
        <w:t xml:space="preserve">组织对</w:t>
      </w:r>
      <w:r>
        <w:rPr>
          <w:rFonts w:hint="eastAsia" w:ascii="仿宋_GB2312" w:hAnsi="宋体" w:eastAsia="仿宋_GB2312" w:cs="仿宋_GB2312"/>
          <w:color w:val="000000"/>
          <w:sz w:val="32"/>
          <w:szCs w:val="32"/>
          <w:highlight w:val="none"/>
          <w:shd w:val="clear" w:color="auto" w:fill="auto"/>
          <w:lang w:val="en-US" w:eastAsia="zh-CN" w:bidi="ar"/>
        </w:rPr>
        <w:t xml:space="preserve">5</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 xml:space="preserve">，</w:t>
      </w:r>
      <w:r>
        <w:rPr>
          <w:rFonts w:hint="eastAsia" w:hAnsi="宋体" w:eastAsia="仿宋_GB2312" w:cs="仿宋_GB2312"/>
          <w:color w:val="000000"/>
          <w:sz w:val="32"/>
          <w:szCs w:val="32"/>
          <w:highlight w:val="none"/>
          <w:shd w:val="clear" w:color="auto" w:fill="auto"/>
          <w:lang w:val="en-US" w:eastAsia="zh-CN" w:bidi="ar"/>
        </w:rPr>
        <w:t xml:space="preserve">涉及资金</w:t>
      </w:r>
      <w:r>
        <w:rPr>
          <w:rFonts w:hint="eastAsia" w:ascii="仿宋_GB2312" w:hAnsi="宋体" w:eastAsia="仿宋_GB2312" w:cs="仿宋_GB2312"/>
          <w:color w:val="000000"/>
          <w:sz w:val="32"/>
          <w:szCs w:val="32"/>
          <w:highlight w:val="none"/>
          <w:shd w:val="clear" w:color="auto" w:fill="auto"/>
          <w:lang w:val="en-US" w:eastAsia="zh-CN" w:bidi="ar"/>
        </w:rPr>
        <w:t xml:space="preserve">1638</w:t>
      </w:r>
      <w:r>
        <w:rPr>
          <w:rFonts w:hint="eastAsia" w:hAnsi="宋体" w:eastAsia="仿宋_GB2312" w:cs="仿宋_GB2312"/>
          <w:color w:val="000000"/>
          <w:sz w:val="32"/>
          <w:szCs w:val="32"/>
          <w:highlight w:val="none"/>
          <w:shd w:val="clear" w:color="auto" w:fill="auto"/>
          <w:lang w:val="en-US" w:eastAsia="zh-CN" w:bidi="ar"/>
        </w:rPr>
        <w:t xml:space="preserve">万元</w:t>
      </w:r>
      <w:r>
        <w:rPr>
          <w:rFonts w:hint="eastAsia" w:ascii="仿宋_GB2312" w:hAnsi="宋体" w:eastAsia="仿宋_GB2312" w:cs="仿宋_GB2312"/>
          <w:color w:val="000000"/>
          <w:sz w:val="32"/>
          <w:szCs w:val="32"/>
          <w:highlight w:val="none"/>
          <w:shd w:val="clear" w:color="auto" w:fill="auto"/>
          <w:lang w:val="en-US" w:eastAsia="zh-CN" w:bidi="ar"/>
        </w:rPr>
        <w:t xml:space="preserve">（其中：一般公共预算资金1638万元，政府性基金预算资金0万元，国有资本经营预算资金0万元）</w:t>
      </w:r>
      <w:r>
        <w:rPr>
          <w:rFonts w:hint="eastAsia" w:hAnsi="宋体" w:eastAsia="仿宋_GB2312" w:cs="仿宋_GB2312"/>
          <w:color w:val="000000"/>
          <w:sz w:val="32"/>
          <w:szCs w:val="32"/>
          <w:highlight w:val="none"/>
          <w:shd w:val="clear" w:color="auto" w:fill="auto"/>
          <w:lang w:val="en" w:eastAsia="zh-CN" w:bidi="ar"/>
        </w:rPr>
        <w:t xml:space="preserve">。</w:t>
      </w:r>
      <w:r>
        <w:rPr>
          <w:rFonts w:hAnsi="宋体" w:eastAsia="仿宋_GB2312" w:cs="仿宋_GB2312"/>
          <w:color w:val="000000"/>
          <w:sz w:val="32"/>
          <w:szCs w:val="32"/>
          <w:highlight w:val="none"/>
          <w:shd w:val="clear" w:color="auto" w:fill="auto"/>
          <w:lang w:val="en" w:eastAsia="zh-CN" w:bidi="ar"/>
        </w:rPr>
      </w:r>
      <w:r>
        <w:rPr>
          <w:rFonts w:hAnsi="宋体" w:eastAsia="仿宋_GB2312" w:cs="仿宋_GB2312"/>
          <w:color w:val="000000"/>
          <w:sz w:val="32"/>
          <w:szCs w:val="32"/>
          <w:highlight w:val="none"/>
          <w:shd w:val="clear" w:color="auto" w:fill="auto"/>
          <w:lang w:val="en" w:eastAsia="zh-CN" w:bidi="ar"/>
        </w:rPr>
      </w:r>
    </w:p>
    <w:p>
      <w:pPr>
        <w:pStyle w:val="859"/>
        <w:keepNext w:val="false"/>
        <w:keepLines w:val="false"/>
        <w:pageBreakBefore w:val="false"/>
        <w:widowControl w:val="true"/>
        <w:suppressLineNumbers w:val="false"/>
        <w:pBdr/>
        <w:spacing w:after="0" w:afterAutospacing="0" w:before="0" w:beforeAutospacing="0" w:line="520" w:lineRule="exact"/>
        <w:ind w:right="0" w:firstLine="643" w:left="0"/>
        <w:jc w:val="left"/>
        <w:rPr>
          <w:rFonts w:hint="eastAsia" w:ascii="仿宋_GB2312" w:hAnsi="宋体" w:eastAsia="仿宋_GB2312" w:cs="仿宋_GB2312"/>
          <w:b/>
          <w:bCs/>
          <w:color w:val="000000"/>
          <w:sz w:val="32"/>
          <w:szCs w:val="32"/>
          <w:highlight w:val="none"/>
          <w:shd w:val="clear" w:color="auto" w:fill="auto"/>
          <w:lang w:val="en-US" w:eastAsia="zh-CN" w:bidi="ar"/>
        </w:rPr>
      </w:pPr>
      <w:r>
        <w:rPr>
          <w:rFonts w:hint="eastAsia" w:ascii="仿宋_GB2312" w:hAnsi="宋体" w:eastAsia="仿宋_GB2312" w:cs="仿宋_GB2312"/>
          <w:b/>
          <w:bCs/>
          <w:color w:val="000000"/>
          <w:sz w:val="32"/>
          <w:szCs w:val="32"/>
          <w:highlight w:val="none"/>
          <w:shd w:val="clear" w:color="auto" w:fill="auto"/>
          <w:lang w:val="en-US" w:eastAsia="zh-CN" w:bidi="ar"/>
        </w:rPr>
        <w:t xml:space="preserve">2.项目绩效自评结果。</w:t>
      </w:r>
      <w:r>
        <w:rPr>
          <w:rFonts w:hint="eastAsia" w:ascii="仿宋_GB2312" w:hAnsi="宋体" w:eastAsia="仿宋_GB2312" w:cs="仿宋_GB2312"/>
          <w:b/>
          <w:bCs/>
          <w:color w:val="000000"/>
          <w:sz w:val="32"/>
          <w:szCs w:val="32"/>
          <w:highlight w:val="none"/>
          <w:shd w:val="clear" w:color="auto" w:fill="auto"/>
          <w:lang w:val="en-US" w:eastAsia="zh-CN" w:bidi="ar"/>
        </w:rPr>
      </w:r>
      <w:r>
        <w:rPr>
          <w:rFonts w:hint="eastAsia" w:ascii="仿宋_GB2312" w:hAnsi="宋体" w:eastAsia="仿宋_GB2312" w:cs="仿宋_GB2312"/>
          <w:b/>
          <w:bCs/>
          <w:color w:val="000000"/>
          <w:sz w:val="32"/>
          <w:szCs w:val="32"/>
          <w:highlight w:val="none"/>
          <w:shd w:val="clear" w:color="auto" w:fill="auto"/>
          <w:lang w:val="en-US" w:eastAsia="zh-CN" w:bidi="ar"/>
        </w:rPr>
      </w:r>
    </w:p>
    <w:p>
      <w:pPr>
        <w:pStyle w:val="859"/>
        <w:keepNext w:val="false"/>
        <w:keepLines w:val="false"/>
        <w:pageBreakBefore w:val="false"/>
        <w:widowControl w:val="true"/>
        <w:suppressLineNumbers w:val="false"/>
        <w:pBdr/>
        <w:spacing w:after="0" w:afterAutospacing="0" w:before="0" w:beforeAutospacing="0" w:line="520" w:lineRule="exact"/>
        <w:ind w:right="0" w:firstLine="640" w:left="0"/>
        <w:jc w:val="left"/>
        <w:rPr>
          <w:rFonts w:hint="eastAsia" w:ascii="仿宋_GB2312" w:hAnsi="宋体" w:eastAsia="仿宋_GB2312" w:cs="仿宋_GB2312"/>
          <w:color w:val="000000"/>
          <w:sz w:val="32"/>
          <w:szCs w:val="32"/>
          <w:highlight w:val="none"/>
          <w:shd w:val="clear" w:color="auto" w:fill="auto"/>
          <w:lang w:val="en-US" w:eastAsia="zh-CN" w:bidi="ar"/>
        </w:rPr>
      </w:pPr>
      <w:r>
        <w:rPr>
          <w:rFonts w:hint="eastAsia" w:ascii="仿宋_GB2312" w:hAnsi="宋体" w:eastAsia="仿宋_GB2312" w:cs="仿宋_GB2312"/>
          <w:color w:val="000000"/>
          <w:sz w:val="32"/>
          <w:szCs w:val="32"/>
          <w:highlight w:val="none"/>
          <w:shd w:val="clear" w:color="auto" w:fill="auto"/>
          <w:lang w:val="en-US" w:eastAsia="zh-CN" w:bidi="ar"/>
        </w:rPr>
        <w:t xml:space="preserve">本部门在2022年度市直部门决算中反映5个项目绩效自评结果。</w:t>
      </w:r>
      <w:r>
        <w:rPr>
          <w:rFonts w:hint="eastAsia" w:ascii="仿宋_GB2312" w:hAnsi="宋体" w:eastAsia="仿宋_GB2312" w:cs="仿宋_GB2312"/>
          <w:color w:val="000000"/>
          <w:sz w:val="32"/>
          <w:szCs w:val="32"/>
          <w:highlight w:val="none"/>
          <w:shd w:val="clear" w:color="auto" w:fill="auto"/>
          <w:lang w:val="en-US" w:eastAsia="zh-CN" w:bidi="ar"/>
        </w:rPr>
      </w:r>
      <w:r>
        <w:rPr>
          <w:rFonts w:hint="eastAsia" w:ascii="仿宋_GB2312" w:hAnsi="宋体" w:eastAsia="仿宋_GB2312" w:cs="仿宋_GB2312"/>
          <w:color w:val="000000"/>
          <w:sz w:val="32"/>
          <w:szCs w:val="32"/>
          <w:highlight w:val="none"/>
          <w:shd w:val="clear" w:color="auto" w:fill="auto"/>
          <w:lang w:val="en-US" w:eastAsia="zh-CN" w:bidi="ar"/>
        </w:rPr>
      </w:r>
    </w:p>
    <w:p>
      <w:pPr>
        <w:pStyle w:val="859"/>
        <w:keepNext w:val="false"/>
        <w:keepLines w:val="false"/>
        <w:pageBreakBefore w:val="false"/>
        <w:widowControl w:val="true"/>
        <w:suppressLineNumbers w:val="false"/>
        <w:pBdr/>
        <w:spacing w:after="0" w:afterAutospacing="0" w:before="0" w:beforeAutospacing="0" w:line="520" w:lineRule="exact"/>
        <w:ind w:right="0" w:firstLine="643" w:left="0"/>
        <w:jc w:val="left"/>
        <w:rPr>
          <w:rFonts w:hint="eastAsia" w:ascii="仿宋_GB2312" w:hAnsi="宋体" w:eastAsia="仿宋_GB2312" w:cs="仿宋_GB2312"/>
          <w:b/>
          <w:bCs/>
          <w:color w:val="000000"/>
          <w:sz w:val="32"/>
          <w:szCs w:val="32"/>
          <w:highlight w:val="none"/>
          <w:shd w:val="clear" w:color="auto" w:fill="auto"/>
          <w:lang w:val="en-US" w:eastAsia="zh-CN" w:bidi="ar"/>
        </w:rPr>
      </w:pPr>
      <w:r>
        <w:rPr>
          <w:rFonts w:hint="eastAsia" w:ascii="仿宋_GB2312" w:hAnsi="宋体" w:eastAsia="仿宋_GB2312" w:cs="仿宋_GB2312"/>
          <w:b/>
          <w:bCs/>
          <w:color w:val="000000"/>
          <w:sz w:val="32"/>
          <w:szCs w:val="32"/>
          <w:highlight w:val="none"/>
          <w:shd w:val="clear" w:color="auto" w:fill="auto"/>
          <w:lang w:val="en-US" w:eastAsia="zh-CN" w:bidi="ar"/>
        </w:rPr>
        <w:t xml:space="preserve">3.部门评价结果。</w:t>
      </w:r>
      <w:r>
        <w:rPr>
          <w:rFonts w:hint="eastAsia" w:ascii="仿宋_GB2312" w:hAnsi="宋体" w:eastAsia="仿宋_GB2312" w:cs="仿宋_GB2312"/>
          <w:b/>
          <w:bCs/>
          <w:color w:val="000000"/>
          <w:sz w:val="32"/>
          <w:szCs w:val="32"/>
          <w:highlight w:val="none"/>
          <w:shd w:val="clear" w:color="auto" w:fill="auto"/>
          <w:lang w:val="en-US" w:eastAsia="zh-CN" w:bidi="ar"/>
        </w:rPr>
      </w:r>
      <w:r>
        <w:rPr>
          <w:rFonts w:hint="eastAsia" w:ascii="仿宋_GB2312" w:hAnsi="宋体" w:eastAsia="仿宋_GB2312" w:cs="仿宋_GB2312"/>
          <w:b/>
          <w:bCs/>
          <w:color w:val="000000"/>
          <w:sz w:val="32"/>
          <w:szCs w:val="32"/>
          <w:highlight w:val="none"/>
          <w:shd w:val="clear" w:color="auto" w:fill="auto"/>
          <w:lang w:val="en-US" w:eastAsia="zh-CN" w:bidi="ar"/>
        </w:rPr>
      </w:r>
    </w:p>
    <w:p>
      <w:pPr>
        <w:pStyle w:val="859"/>
        <w:keepNext w:val="false"/>
        <w:keepLines w:val="false"/>
        <w:pageBreakBefore w:val="false"/>
        <w:widowControl w:val="true"/>
        <w:suppressLineNumbers w:val="false"/>
        <w:pBdr/>
        <w:spacing w:after="0" w:afterAutospacing="0" w:before="0" w:beforeAutospacing="0" w:line="520" w:lineRule="exact"/>
        <w:ind w:right="0" w:firstLine="643" w:left="0"/>
        <w:jc w:val="left"/>
        <w:rPr>
          <w:sz w:val="32"/>
          <w:szCs w:val="32"/>
        </w:rPr>
      </w:pPr>
      <w:r>
        <w:rPr>
          <w:rFonts w:hint="eastAsia" w:ascii="仿宋_GB2312" w:hAnsi="宋体" w:eastAsia="仿宋_GB2312" w:cs="仿宋_GB2312"/>
          <w:b/>
          <w:bCs/>
          <w:color w:val="000000"/>
          <w:sz w:val="32"/>
          <w:szCs w:val="32"/>
          <w:highlight w:val="none"/>
          <w:shd w:val="clear" w:color="auto" w:fill="auto"/>
          <w:lang w:val="en-US" w:eastAsia="zh-CN" w:bidi="ar"/>
        </w:rPr>
        <w:t xml:space="preserve">4.财政评价结果。</w:t>
      </w:r>
      <w:r>
        <w:rPr>
          <w:sz w:val="32"/>
          <w:szCs w:val="32"/>
        </w:rPr>
      </w:r>
      <w:r>
        <w:rPr>
          <w:sz w:val="32"/>
          <w:szCs w:val="32"/>
        </w:rPr>
      </w:r>
    </w:p>
    <w:p>
      <w:pPr>
        <w:pStyle w:val="859"/>
        <w:keepNext w:val="false"/>
        <w:keepLines w:val="false"/>
        <w:pageBreakBefore w:val="false"/>
        <w:widowControl w:val="true"/>
        <w:numPr>
          <w:ilvl w:val="0"/>
          <w:numId w:val="0"/>
        </w:numPr>
        <w:suppressLineNumbers w:val="false"/>
        <w:pBdr/>
        <w:spacing w:after="0" w:afterAutospacing="0" w:before="0" w:beforeAutospacing="0" w:line="240" w:lineRule="auto"/>
        <w:ind w:right="0" w:firstLine="0"/>
        <w:jc w:val="center"/>
        <w:rPr>
          <w:rFonts w:ascii="宋体" w:hAnsi="宋体"/>
          <w:b/>
          <w:sz w:val="36"/>
          <w:szCs w:val="36"/>
        </w:rPr>
      </w:pPr>
      <w:r>
        <w:rPr>
          <w:rFonts w:hint="eastAsia" w:ascii="宋体" w:hAnsi="宋体"/>
          <w:b/>
          <w:sz w:val="36"/>
          <w:szCs w:val="36"/>
        </w:rPr>
        <w:br w:type="page" w:clear="all"/>
      </w:r>
      <w:r>
        <w:rPr>
          <w:rFonts w:hint="eastAsia" w:ascii="宋体" w:hAnsi="宋体"/>
          <w:b/>
          <w:sz w:val="36"/>
          <w:szCs w:val="36"/>
        </w:rPr>
        <w:t xml:space="preserve">第三部分 名词解释</w:t>
      </w:r>
      <w:r>
        <w:rPr>
          <w:rFonts w:ascii="宋体" w:hAnsi="宋体"/>
          <w:b/>
          <w:sz w:val="36"/>
          <w:szCs w:val="36"/>
        </w:rPr>
      </w:r>
      <w:r>
        <w:rPr>
          <w:rFonts w:ascii="宋体" w:hAnsi="宋体"/>
          <w:b/>
          <w:sz w:val="36"/>
          <w:szCs w:val="36"/>
        </w:rPr>
      </w:r>
    </w:p>
    <w:p>
      <w:pPr>
        <w:pStyle w:val="859"/>
        <w:pBdr/>
        <w:spacing w:line="540" w:lineRule="exact"/>
        <w:ind/>
        <w:jc w:val="center"/>
        <w:rPr>
          <w:rFonts w:ascii="宋体" w:hAnsi="宋体"/>
          <w:b/>
          <w:sz w:val="36"/>
          <w:szCs w:val="36"/>
        </w:rPr>
      </w:pPr>
      <w:r>
        <w:rPr>
          <w:rFonts w:ascii="宋体" w:hAnsi="宋体"/>
          <w:b/>
          <w:sz w:val="36"/>
          <w:szCs w:val="36"/>
        </w:rPr>
      </w:r>
      <w:r>
        <w:rPr>
          <w:rFonts w:ascii="宋体" w:hAnsi="宋体"/>
          <w:b/>
          <w:sz w:val="36"/>
          <w:szCs w:val="36"/>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1.财政拨款收入：</w:t>
      </w:r>
      <w:r>
        <w:rPr>
          <w:rFonts w:hint="eastAsia" w:ascii="仿宋_GB2312" w:eastAsia="仿宋_GB2312"/>
          <w:sz w:val="32"/>
          <w:szCs w:val="32"/>
        </w:rPr>
        <w:t xml:space="preserve">指单位从同级财政部门取得的财政预算资金。</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2.上级补助收入：</w:t>
      </w:r>
      <w:r>
        <w:rPr>
          <w:rFonts w:hint="eastAsia" w:ascii="仿宋_GB2312" w:eastAsia="仿宋_GB2312"/>
          <w:sz w:val="32"/>
          <w:szCs w:val="32"/>
        </w:rPr>
        <w:t xml:space="preserve">指单位从主管部门和上级单位取得的非财政性补助收入。</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3.事业收入：</w:t>
      </w:r>
      <w:r>
        <w:rPr>
          <w:rFonts w:hint="eastAsia" w:ascii="仿宋_GB2312" w:eastAsia="仿宋_GB2312"/>
          <w:sz w:val="32"/>
          <w:szCs w:val="32"/>
        </w:rPr>
        <w:t xml:space="preserve">指事业单位开展专业业务活动及辅助活动所取得的收入。</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4.经营收入：</w:t>
      </w:r>
      <w:r>
        <w:rPr>
          <w:rFonts w:hint="eastAsia" w:ascii="仿宋_GB2312" w:eastAsia="仿宋_GB2312"/>
          <w:sz w:val="32"/>
          <w:szCs w:val="32"/>
        </w:rPr>
        <w:t xml:space="preserve">指事业单位在专业业务活动及辅助活动之外开展非独立核算经营活动取得的收入。</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5.附属单位上缴收入：</w:t>
      </w:r>
      <w:r>
        <w:rPr>
          <w:rFonts w:hint="eastAsia" w:ascii="仿宋_GB2312" w:eastAsia="仿宋_GB2312"/>
          <w:sz w:val="32"/>
          <w:szCs w:val="32"/>
        </w:rPr>
        <w:t xml:space="preserve">指单位附属的独立核算单位按照规定上缴的收入。</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6.其他收入：</w:t>
      </w:r>
      <w:r>
        <w:rPr>
          <w:rFonts w:hint="eastAsia" w:ascii="仿宋_GB2312" w:eastAsia="仿宋_GB2312"/>
          <w:sz w:val="32"/>
          <w:szCs w:val="32"/>
        </w:rPr>
        <w:t xml:space="preserve">指除上述“财政拨款收入”、</w:t>
      </w:r>
      <w:r>
        <w:rPr>
          <w:rFonts w:hint="eastAsia" w:ascii="仿宋_GB2312" w:eastAsia="仿宋_GB2312"/>
          <w:b/>
          <w:sz w:val="32"/>
          <w:szCs w:val="32"/>
        </w:rPr>
        <w:t xml:space="preserve"> </w:t>
      </w:r>
      <w:r>
        <w:rPr>
          <w:rFonts w:hint="eastAsia" w:ascii="仿宋_GB2312" w:eastAsia="仿宋_GB2312"/>
          <w:sz w:val="32"/>
          <w:szCs w:val="32"/>
        </w:rPr>
        <w:t xml:space="preserve">“上级补助收入”、“事业收入”、“经营收入”、“附属单位上缴收入”等以外的收入。</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7.</w:t>
      </w:r>
      <w:r>
        <w:rPr>
          <w:rFonts w:hint="eastAsia" w:ascii="仿宋_GB2312" w:eastAsia="仿宋_GB2312"/>
          <w:b/>
          <w:sz w:val="32"/>
          <w:szCs w:val="32"/>
          <w:lang w:val="en-US" w:eastAsia="zh-CN"/>
        </w:rPr>
        <w:t xml:space="preserve">使用非财政拨款结余</w:t>
      </w:r>
      <w:r>
        <w:rPr>
          <w:rFonts w:hint="eastAsia" w:ascii="仿宋_GB2312" w:eastAsia="仿宋_GB2312"/>
          <w:b/>
          <w:sz w:val="32"/>
          <w:szCs w:val="32"/>
        </w:rPr>
        <w:t xml:space="preserve">：</w:t>
      </w:r>
      <w:r>
        <w:rPr>
          <w:rFonts w:hint="eastAsia" w:ascii="仿宋_GB2312" w:eastAsia="仿宋_GB2312"/>
          <w:sz w:val="32"/>
          <w:szCs w:val="32"/>
        </w:rPr>
        <w:t xml:space="preserve">指事业单位</w:t>
      </w:r>
      <w:r>
        <w:rPr>
          <w:rFonts w:hint="eastAsia" w:ascii="仿宋_GB2312" w:eastAsia="仿宋_GB2312"/>
          <w:sz w:val="32"/>
          <w:szCs w:val="32"/>
          <w:lang w:val="en-US" w:eastAsia="zh-CN"/>
        </w:rPr>
        <w:t xml:space="preserve">按照预算管理要求使用非财政拨款结余弥补收支差额的金额</w:t>
      </w:r>
      <w:r>
        <w:rPr>
          <w:rFonts w:hint="eastAsia" w:ascii="仿宋_GB2312" w:eastAsia="仿宋_GB2312"/>
          <w:sz w:val="32"/>
          <w:szCs w:val="32"/>
        </w:rPr>
        <w:t xml:space="preserve">。</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8.上年结转和结余：</w:t>
      </w:r>
      <w:r>
        <w:rPr>
          <w:rFonts w:hint="eastAsia" w:ascii="仿宋_GB2312" w:eastAsia="仿宋_GB2312"/>
          <w:sz w:val="32"/>
          <w:szCs w:val="32"/>
        </w:rPr>
        <w:t xml:space="preserve">指以前年度尚未完成、结转到本年按有关规定继续使用的资金。</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9.基本支出：</w:t>
      </w:r>
      <w:r>
        <w:rPr>
          <w:rFonts w:hint="eastAsia" w:ascii="仿宋_GB2312" w:eastAsia="仿宋_GB2312"/>
          <w:sz w:val="32"/>
          <w:szCs w:val="32"/>
        </w:rPr>
        <w:t xml:space="preserve">指保障机构正常运转、完成日常工作任务而发生的人员支出和公用支出。</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10.项目支出：</w:t>
      </w:r>
      <w:r>
        <w:rPr>
          <w:rFonts w:hint="eastAsia" w:ascii="仿宋_GB2312" w:eastAsia="仿宋_GB2312"/>
          <w:sz w:val="32"/>
          <w:szCs w:val="32"/>
        </w:rPr>
        <w:t xml:space="preserve">指在基本支出之外为完成特定行政任务和事业发展目标所发生的支出。</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11.上缴上级支出：</w:t>
      </w:r>
      <w:r>
        <w:rPr>
          <w:rFonts w:hint="eastAsia" w:ascii="仿宋_GB2312" w:eastAsia="仿宋_GB2312"/>
          <w:sz w:val="32"/>
          <w:szCs w:val="32"/>
        </w:rPr>
        <w:t xml:space="preserve">指事业单位按照财政部门和主管部门的规定上缴上级单位的支出。</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12.经营支出：</w:t>
      </w:r>
      <w:r>
        <w:rPr>
          <w:rFonts w:hint="eastAsia" w:ascii="仿宋_GB2312" w:eastAsia="仿宋_GB2312"/>
          <w:sz w:val="32"/>
          <w:szCs w:val="32"/>
        </w:rPr>
        <w:t xml:space="preserve">指事业单位在专业活动及辅助活动之外开展非独立核算经营活动发生的支出。</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b/>
          <w:sz w:val="32"/>
          <w:szCs w:val="32"/>
        </w:rPr>
      </w:pPr>
      <w:r>
        <w:rPr>
          <w:rFonts w:hint="eastAsia" w:ascii="仿宋_GB2312" w:eastAsia="仿宋_GB2312"/>
          <w:b/>
          <w:sz w:val="32"/>
          <w:szCs w:val="32"/>
        </w:rPr>
        <w:t xml:space="preserve">13.对附属单位补助支出：</w:t>
      </w:r>
      <w:r>
        <w:rPr>
          <w:rFonts w:hint="eastAsia" w:ascii="仿宋_GB2312" w:eastAsia="仿宋_GB2312"/>
          <w:sz w:val="32"/>
          <w:szCs w:val="32"/>
        </w:rPr>
        <w:t xml:space="preserve">指事业单位用财政补助收入之外的收入对附属单位补助发生的支出。</w:t>
      </w:r>
      <w:r>
        <w:rPr>
          <w:rFonts w:hint="eastAsia" w:ascii="仿宋_GB2312" w:eastAsia="仿宋_GB2312"/>
          <w:b/>
          <w:sz w:val="32"/>
          <w:szCs w:val="32"/>
        </w:rPr>
      </w:r>
      <w:r>
        <w:rPr>
          <w:rFonts w:hint="eastAsia" w:ascii="仿宋_GB2312" w:eastAsia="仿宋_GB2312"/>
          <w:b/>
          <w:sz w:val="32"/>
          <w:szCs w:val="32"/>
        </w:rPr>
      </w:r>
    </w:p>
    <w:p>
      <w:pPr>
        <w:pStyle w:val="859"/>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14.“三公”经费：</w:t>
      </w:r>
      <w:r>
        <w:rPr>
          <w:rFonts w:hint="eastAsia" w:ascii="仿宋_GB2312" w:eastAsia="仿宋_GB2312"/>
          <w:sz w:val="32"/>
          <w:szCs w:val="32"/>
        </w:rPr>
        <w:t xml:space="preserve">指用</w:t>
      </w:r>
      <w:r>
        <w:rPr>
          <w:rFonts w:hint="eastAsia" w:ascii="仿宋_GB2312" w:eastAsia="仿宋_GB2312"/>
          <w:sz w:val="32"/>
          <w:szCs w:val="32"/>
          <w:lang w:val="en-US" w:eastAsia="zh-CN"/>
        </w:rPr>
        <w:t xml:space="preserve">一般公共预算</w:t>
      </w:r>
      <w:r>
        <w:rPr>
          <w:rFonts w:hint="eastAsia" w:ascii="仿宋_GB2312" w:eastAsia="仿宋_GB2312"/>
          <w:sz w:val="32"/>
          <w:szCs w:val="32"/>
        </w:rPr>
        <w:t xml:space="preserve">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r>
        <w:rPr>
          <w:rFonts w:hint="eastAsia" w:ascii="仿宋_GB2312" w:eastAsia="仿宋_GB2312"/>
          <w:sz w:val="32"/>
          <w:szCs w:val="32"/>
        </w:rPr>
      </w:r>
      <w:r>
        <w:rPr>
          <w:rFonts w:hint="eastAsia" w:ascii="仿宋_GB2312" w:eastAsia="仿宋_GB2312"/>
          <w:sz w:val="32"/>
          <w:szCs w:val="32"/>
        </w:rPr>
      </w:r>
    </w:p>
    <w:p>
      <w:pPr>
        <w:pStyle w:val="859"/>
        <w:pBdr/>
        <w:spacing w:line="540" w:lineRule="exact"/>
        <w:ind w:firstLine="643"/>
        <w:rPr>
          <w:rFonts w:hint="eastAsia" w:ascii="仿宋_GB2312" w:eastAsia="仿宋_GB2312"/>
          <w:sz w:val="32"/>
          <w:szCs w:val="32"/>
          <w:lang w:val="en-US" w:eastAsia="zh-CN"/>
        </w:rPr>
      </w:pPr>
      <w:r>
        <w:rPr>
          <w:rFonts w:hint="eastAsia" w:ascii="仿宋_GB2312" w:eastAsia="仿宋_GB2312"/>
          <w:b/>
          <w:bCs/>
          <w:sz w:val="32"/>
          <w:szCs w:val="32"/>
          <w:lang w:val="en-US" w:eastAsia="zh-CN"/>
        </w:rPr>
        <w:t xml:space="preserve">15.机关运行经费：</w:t>
      </w:r>
      <w:r>
        <w:rPr>
          <w:rFonts w:hint="eastAsia" w:ascii="仿宋_GB2312" w:eastAsia="仿宋_GB2312"/>
          <w:sz w:val="32"/>
          <w:szCs w:val="32"/>
          <w:lang w:val="en-US" w:eastAsia="zh-CN"/>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仿宋_GB2312" w:eastAsia="仿宋_GB2312"/>
          <w:sz w:val="32"/>
          <w:szCs w:val="32"/>
          <w:lang w:val="en-US" w:eastAsia="zh-CN"/>
        </w:rPr>
      </w:r>
      <w:r>
        <w:rPr>
          <w:rFonts w:hint="eastAsia" w:ascii="仿宋_GB2312" w:eastAsia="仿宋_GB2312"/>
          <w:sz w:val="32"/>
          <w:szCs w:val="32"/>
          <w:lang w:val="en-US" w:eastAsia="zh-CN"/>
        </w:rPr>
      </w:r>
    </w:p>
    <w:p>
      <w:pPr>
        <w:pStyle w:val="859"/>
        <w:pBdr/>
        <w:spacing w:line="540" w:lineRule="exact"/>
        <w:ind w:firstLine="643"/>
        <w:rPr>
          <w:rFonts w:hint="eastAsia" w:ascii="仿宋_GB2312" w:eastAsia="仿宋_GB2312"/>
          <w:b/>
          <w:sz w:val="32"/>
          <w:szCs w:val="32"/>
        </w:rPr>
      </w:pPr>
      <w:r>
        <w:rPr>
          <w:rFonts w:hint="eastAsia" w:ascii="仿宋_GB2312" w:eastAsia="仿宋_GB2312"/>
          <w:b/>
          <w:sz w:val="32"/>
          <w:szCs w:val="32"/>
        </w:rPr>
        <w:t xml:space="preserve">1</w:t>
      </w:r>
      <w:r>
        <w:rPr>
          <w:rFonts w:hint="eastAsia" w:ascii="仿宋_GB2312" w:eastAsia="仿宋_GB2312"/>
          <w:b/>
          <w:sz w:val="32"/>
          <w:szCs w:val="32"/>
          <w:lang w:val="en-US" w:eastAsia="zh-CN"/>
        </w:rPr>
        <w:t xml:space="preserve">6</w:t>
      </w:r>
      <w:r>
        <w:rPr>
          <w:rFonts w:hint="eastAsia" w:ascii="仿宋_GB2312" w:eastAsia="仿宋_GB2312"/>
          <w:b/>
          <w:sz w:val="32"/>
          <w:szCs w:val="32"/>
        </w:rPr>
        <w:t xml:space="preserve">.一般公共服务（类）财政事务（款）行政运行（项）：</w:t>
      </w:r>
      <w:r>
        <w:rPr>
          <w:rFonts w:hint="eastAsia" w:ascii="仿宋_GB2312" w:eastAsia="仿宋_GB2312"/>
          <w:sz w:val="32"/>
          <w:szCs w:val="32"/>
        </w:rPr>
        <w:t xml:space="preserve">反映行政单位（包括实行公务员管理的事业单位）的基本支出。</w:t>
      </w:r>
      <w:r>
        <w:rPr>
          <w:rFonts w:hint="eastAsia" w:ascii="仿宋_GB2312" w:eastAsia="仿宋_GB2312"/>
          <w:b/>
          <w:sz w:val="32"/>
          <w:szCs w:val="32"/>
        </w:rPr>
      </w:r>
      <w:r>
        <w:rPr>
          <w:rFonts w:hint="eastAsia" w:ascii="仿宋_GB2312" w:eastAsia="仿宋_GB2312"/>
          <w:b/>
          <w:sz w:val="32"/>
          <w:szCs w:val="32"/>
        </w:rPr>
      </w:r>
    </w:p>
    <w:p>
      <w:pPr>
        <w:pStyle w:val="859"/>
        <w:pBdr/>
        <w:spacing w:line="540" w:lineRule="exact"/>
        <w:ind w:firstLine="640"/>
        <w:rPr>
          <w:rFonts w:hint="eastAsia" w:ascii="仿宋_GB2312" w:eastAsia="仿宋_GB2312"/>
          <w:b/>
          <w:sz w:val="32"/>
          <w:szCs w:val="32"/>
        </w:rPr>
      </w:pPr>
      <w:r>
        <w:rPr>
          <w:rFonts w:hint="eastAsia" w:ascii="仿宋_GB2312" w:eastAsia="仿宋_GB2312"/>
          <w:i/>
          <w:sz w:val="32"/>
          <w:szCs w:val="32"/>
          <w:u w:val="single"/>
        </w:rPr>
        <w:t xml:space="preserve">（部门决算涉及的支出功能分类全部项级科目，逐一解释）……</w:t>
      </w:r>
      <w:r>
        <w:rPr>
          <w:rFonts w:hint="eastAsia" w:ascii="仿宋_GB2312" w:eastAsia="仿宋_GB2312"/>
          <w:b/>
          <w:sz w:val="32"/>
          <w:szCs w:val="32"/>
        </w:rPr>
      </w:r>
      <w:r>
        <w:rPr>
          <w:rFonts w:hint="eastAsia" w:ascii="仿宋_GB2312" w:eastAsia="仿宋_GB2312"/>
          <w:b/>
          <w:sz w:val="32"/>
          <w:szCs w:val="32"/>
        </w:rPr>
      </w:r>
    </w:p>
    <w:p>
      <w:pPr>
        <w:pStyle w:val="859"/>
        <w:pBdr/>
        <w:spacing w:line="540" w:lineRule="exact"/>
        <w:ind/>
        <w:rPr>
          <w:sz w:val="32"/>
          <w:szCs w:val="32"/>
        </w:rPr>
        <w:sectPr>
          <w:footerReference w:type="default" r:id="rId14"/>
          <w:footerReference w:type="even" r:id="rId15"/>
          <w:footnotePr/>
          <w:endnotePr/>
          <w:type w:val="nextPage"/>
          <w:pgSz w:h="16838" w:orient="landscape" w:w="11906"/>
          <w:pgMar w:top="1701" w:right="1417" w:bottom="1701" w:left="1417" w:header="851" w:footer="992" w:gutter="0"/>
          <w:cols w:num="1" w:sep="0" w:space="1701" w:equalWidth="1"/>
        </w:sectPr>
      </w:pPr>
      <w:r>
        <w:rPr>
          <w:sz w:val="32"/>
          <w:szCs w:val="32"/>
        </w:rPr>
      </w:r>
      <w:r>
        <w:rPr>
          <w:sz w:val="32"/>
          <w:szCs w:val="32"/>
        </w:rPr>
      </w:r>
    </w:p>
    <w:p>
      <w:pPr>
        <w:pStyle w:val="859"/>
        <w:pBdr/>
        <w:spacing w:line="540" w:lineRule="exact"/>
        <w:ind w:firstLine="640"/>
        <w:jc w:val="left"/>
        <w:rPr>
          <w:rFonts w:hint="eastAsia" w:ascii="仿宋_GB2312" w:eastAsia="仿宋_GB2312"/>
          <w:i/>
          <w:sz w:val="32"/>
          <w:szCs w:val="32"/>
          <w:u w:val="single"/>
        </w:rPr>
      </w:pPr>
      <w:r>
        <w:rPr>
          <w:rFonts w:hint="eastAsia" w:ascii="仿宋_GB2312" w:eastAsia="仿宋_GB2312"/>
          <w:i/>
          <w:sz w:val="32"/>
          <w:szCs w:val="32"/>
          <w:u w:val="single"/>
        </w:rPr>
      </w:r>
      <w:r>
        <w:rPr>
          <w:rFonts w:hint="eastAsia" w:ascii="仿宋_GB2312" w:eastAsia="仿宋_GB2312"/>
          <w:i/>
          <w:sz w:val="32"/>
          <w:szCs w:val="32"/>
          <w:u w:val="single"/>
        </w:rPr>
      </w:r>
    </w:p>
    <w:p>
      <w:pPr>
        <w:pStyle w:val="859"/>
        <w:pBdr/>
        <w:spacing w:line="540" w:lineRule="exact"/>
        <w:ind/>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9"/>
        <w:pBdr/>
        <w:spacing w:line="540" w:lineRule="exact"/>
        <w:ind/>
        <w:jc w:val="center"/>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9"/>
        <w:pBdr/>
        <w:spacing w:line="540" w:lineRule="exact"/>
        <w:ind/>
        <w:jc w:val="center"/>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9"/>
        <w:pBdr/>
        <w:spacing w:line="540" w:lineRule="exact"/>
        <w:ind/>
        <w:jc w:val="center"/>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9"/>
        <w:pBdr/>
        <w:spacing w:line="540" w:lineRule="exact"/>
        <w:ind/>
        <w:jc w:val="center"/>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9"/>
        <w:pBdr/>
        <w:spacing w:line="540" w:lineRule="exact"/>
        <w:ind/>
        <w:jc w:val="center"/>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9"/>
        <w:pBdr/>
        <w:spacing w:line="540" w:lineRule="exact"/>
        <w:ind/>
        <w:jc w:val="center"/>
        <w:rPr>
          <w:rFonts w:hint="eastAsia" w:ascii="宋体" w:hAnsi="宋体"/>
          <w:b/>
          <w:sz w:val="52"/>
          <w:szCs w:val="52"/>
        </w:rPr>
        <w:sectPr>
          <w:footnotePr/>
          <w:endnotePr/>
          <w:type w:val="nextPage"/>
          <w:pgSz w:h="16838" w:orient="landscape" w:w="11906"/>
          <w:pgMar w:top="1701" w:right="1418" w:bottom="1701" w:left="1418" w:header="851" w:footer="992" w:gutter="0"/>
          <w:cols w:num="1" w:sep="0" w:space="1701" w:equalWidth="1"/>
        </w:sectPr>
      </w:pPr>
      <w:r>
        <w:rPr>
          <w:rFonts w:hint="eastAsia" w:ascii="宋体" w:hAnsi="宋体"/>
          <w:b/>
          <w:sz w:val="52"/>
          <w:szCs w:val="52"/>
        </w:rPr>
        <w:t xml:space="preserve">第四部分 </w:t>
      </w:r>
      <w:r>
        <w:rPr>
          <w:rFonts w:hint="eastAsia" w:ascii="宋体" w:hAnsi="宋体"/>
          <w:b/>
          <w:sz w:val="52"/>
          <w:szCs w:val="52"/>
          <w:lang w:eastAsia="zh-CN"/>
        </w:rPr>
        <w:t xml:space="preserve">2022</w:t>
      </w:r>
      <w:r>
        <w:rPr>
          <w:rFonts w:hint="eastAsia" w:ascii="宋体" w:hAnsi="宋体"/>
          <w:b/>
          <w:sz w:val="52"/>
          <w:szCs w:val="52"/>
        </w:rPr>
        <w:t xml:space="preserve">年度部门决算表</w:t>
      </w:r>
      <w:r>
        <w:rPr>
          <w:rFonts w:hint="eastAsia" w:ascii="宋体" w:hAnsi="宋体"/>
          <w:b/>
          <w:sz w:val="52"/>
          <w:szCs w:val="52"/>
        </w:rPr>
      </w:r>
      <w:r>
        <w:rPr>
          <w:rFonts w:hint="eastAsia" w:ascii="宋体" w:hAnsi="宋体"/>
          <w:b/>
          <w:sz w:val="52"/>
          <w:szCs w:val="52"/>
        </w:rPr>
      </w:r>
    </w:p>
    <w:p>
      <w:pPr>
        <w:pStyle w:val="859"/>
        <w:pBdr/>
        <w:spacing w:line="540" w:lineRule="exact"/>
        <w:ind/>
        <w:jc w:val="center"/>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9"/>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9"/>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9"/>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9"/>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9"/>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9"/>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9"/>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9"/>
        <w:pBdr/>
        <w:spacing w:line="540" w:lineRule="exact"/>
        <w:ind/>
        <w:jc w:val="center"/>
        <w:rPr>
          <w:rFonts w:hint="eastAsia" w:ascii="宋体" w:hAnsi="宋体"/>
          <w:b/>
          <w:sz w:val="52"/>
          <w:szCs w:val="52"/>
          <w:lang w:eastAsia="zh-CN"/>
        </w:rPr>
      </w:pPr>
      <w:r>
        <w:rPr>
          <w:rFonts w:hint="eastAsia" w:ascii="宋体" w:hAnsi="宋体"/>
          <w:b/>
          <w:sz w:val="52"/>
          <w:szCs w:val="52"/>
        </w:rPr>
        <w:t xml:space="preserve">第</w:t>
      </w:r>
      <w:r>
        <w:rPr>
          <w:rFonts w:hint="eastAsia" w:ascii="宋体" w:hAnsi="宋体"/>
          <w:b/>
          <w:sz w:val="52"/>
          <w:szCs w:val="52"/>
          <w:lang w:eastAsia="zh-CN"/>
        </w:rPr>
        <w:t xml:space="preserve">五</w:t>
      </w:r>
      <w:r>
        <w:rPr>
          <w:rFonts w:hint="eastAsia" w:ascii="宋体" w:hAnsi="宋体"/>
          <w:b/>
          <w:sz w:val="52"/>
          <w:szCs w:val="52"/>
        </w:rPr>
        <w:t xml:space="preserve">部分</w:t>
      </w: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 xml:space="preserve">附件</w:t>
      </w:r>
      <w:r>
        <w:rPr>
          <w:rFonts w:hint="eastAsia" w:ascii="宋体" w:hAnsi="宋体"/>
          <w:b/>
          <w:sz w:val="52"/>
          <w:szCs w:val="52"/>
          <w:lang w:eastAsia="zh-CN"/>
        </w:rPr>
        <w:br w:type="page" w:clear="all"/>
      </w:r>
      <w:r>
        <w:rPr>
          <w:rFonts w:hint="eastAsia" w:ascii="宋体" w:hAnsi="宋体"/>
          <w:b/>
          <w:sz w:val="52"/>
          <w:szCs w:val="52"/>
          <w:lang w:eastAsia="zh-CN"/>
        </w:rPr>
      </w:r>
      <w:r>
        <w:rPr>
          <w:rFonts w:hint="eastAsia" w:ascii="宋体" w:hAnsi="宋体"/>
          <w:b/>
          <w:sz w:val="52"/>
          <w:szCs w:val="52"/>
          <w:lang w:eastAsia="zh-CN"/>
        </w:rPr>
      </w:r>
    </w:p>
    <w:tbl>
      <w:tblPr>
        <w:tblW w:w="14951"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631"/>
        <w:gridCol w:w="16"/>
        <w:gridCol w:w="616"/>
        <w:gridCol w:w="31"/>
        <w:gridCol w:w="601"/>
        <w:gridCol w:w="46"/>
        <w:gridCol w:w="1096"/>
        <w:gridCol w:w="89"/>
        <w:gridCol w:w="509"/>
        <w:gridCol w:w="102"/>
        <w:gridCol w:w="503"/>
        <w:gridCol w:w="108"/>
        <w:gridCol w:w="490"/>
        <w:gridCol w:w="35"/>
        <w:gridCol w:w="1016"/>
        <w:gridCol w:w="90"/>
        <w:gridCol w:w="327"/>
        <w:gridCol w:w="259"/>
        <w:gridCol w:w="340"/>
        <w:gridCol w:w="265"/>
        <w:gridCol w:w="346"/>
        <w:gridCol w:w="259"/>
        <w:gridCol w:w="568"/>
        <w:gridCol w:w="233"/>
        <w:gridCol w:w="594"/>
        <w:gridCol w:w="207"/>
        <w:gridCol w:w="620"/>
        <w:gridCol w:w="181"/>
        <w:gridCol w:w="646"/>
        <w:gridCol w:w="155"/>
        <w:gridCol w:w="672"/>
        <w:gridCol w:w="129"/>
        <w:gridCol w:w="1525"/>
        <w:gridCol w:w="49"/>
        <w:gridCol w:w="1594"/>
        <w:gridCol w:w="11"/>
      </w:tblGrid>
      <w:tr>
        <w:trPr>
          <w:gridAfter w:val="1"/>
          <w:trHeight w:val="285"/>
        </w:trPr>
        <w:tc>
          <w:tcPr>
            <w:gridSpan w:val="35"/>
            <w:shd w:val="clear" w:color="auto" w:fill="ffffff"/>
            <w:tcBorders/>
            <w:tcW w:w="14948"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部门（单位）整体绩效自评表</w:t>
            </w:r>
            <w:r>
              <w:rPr>
                <w:rFonts w:hint="eastAsia" w:ascii="宋体" w:hAnsi="宋体" w:eastAsia="宋体" w:cs="宋体"/>
                <w:b/>
                <w:bCs/>
                <w:i w:val="0"/>
                <w:iCs w:val="0"/>
                <w:color w:val="000000"/>
                <w:sz w:val="32"/>
                <w:szCs w:val="32"/>
                <w:u w:val="none"/>
                <w:lang w:val="en-US" w:eastAsia="zh-CN" w:bidi="ar"/>
              </w:rPr>
              <w:br w:type="textWrapping" w:clear="all"/>
            </w:r>
            <w:r>
              <w:rPr>
                <w:rStyle w:val="872"/>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gridAfter w:val="1"/>
          <w:trHeight w:val="285"/>
        </w:trPr>
        <w:tc>
          <w:tcPr>
            <w:gridSpan w:val="7"/>
            <w:shd w:val="clear" w:color="auto" w:fill="ffffff"/>
            <w:tcBorders/>
            <w:tcW w:w="314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部门（单位）名称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119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833001朝阳市自然资源和生态环境保护服务中心-211300000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312"/>
        </w:trPr>
        <w:tc>
          <w:tcPr>
            <w:gridSpan w:val="7"/>
            <w:shd w:val="clear" w:color="auto" w:fill="ffffff"/>
            <w:tcBorders/>
            <w:tcW w:w="314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部门年初预算收入金额（万元）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119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377.75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312"/>
        </w:trPr>
        <w:tc>
          <w:tcPr>
            <w:gridSpan w:val="7"/>
            <w:shd w:val="clear" w:color="auto" w:fill="ffffff"/>
            <w:tcBorders/>
            <w:tcW w:w="314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部门年初预算支出金额（万元）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119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377.75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600"/>
        </w:trPr>
        <w:tc>
          <w:tcPr>
            <w:shd w:val="clear" w:color="auto" w:fill="ffffff"/>
            <w:tcBorders/>
            <w:tcW w:w="63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年度主要任务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9"/>
            <w:shd w:val="clear" w:color="auto" w:fill="ffffff"/>
            <w:tcBorders/>
            <w:tcW w:w="653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对应项目</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40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项目下达金额（万元）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60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项目执行金额（万元）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60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57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59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48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9"/>
            <w:shd w:val="clear" w:color="auto" w:fill="ffffff"/>
            <w:tcBorders/>
            <w:tcW w:w="653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部门预算基本支出人员经费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0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490.41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60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488.27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60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99.56%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57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59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19.91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9"/>
            <w:shd w:val="clear" w:color="auto" w:fill="ffffff"/>
            <w:tcBorders/>
            <w:tcW w:w="653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部门预算基本支出公用经费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0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18.90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60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16.48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60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87.21%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57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59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17.44</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312"/>
        </w:trPr>
        <w:tc>
          <w:tcPr>
            <w:shd w:val="clear" w:color="auto" w:fill="ffffff"/>
            <w:tcBorders/>
            <w:tcW w:w="63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714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3"/>
            <w:shd w:val="clear" w:color="auto" w:fill="ffffff"/>
            <w:tcBorders/>
            <w:tcW w:w="717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48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714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保证人员开支，保障单位正常运转</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3"/>
            <w:shd w:val="clear" w:color="auto" w:fill="ffffff"/>
            <w:tcBorders/>
            <w:tcW w:w="717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已完成绩效目标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shd w:val="clear" w:color="auto" w:fill="ffffff"/>
            <w:tcBorders/>
            <w:tcW w:w="63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98"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5"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98"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14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98"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5"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5"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0"/>
            <w:shd w:val="clear" w:color="auto" w:fill="ffffff"/>
            <w:tcBorders/>
            <w:tcW w:w="40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偏差原因分析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168"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96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98"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98"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14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98"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80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80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80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80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80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168"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96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履职效能</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重点工作履行情况</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重点工作办结率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整体工作完成情况</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总体工作完成率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工作完成及时率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工作质量达标率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40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基础管理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依法行政能力</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40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综合管理水平</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预算执行</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预算执行效率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预算执行率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预算调整率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结转结余变动率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72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管理效率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预算编制管理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预算绩效目标覆盖率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40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预算监督管理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预决算公开情况</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全部公开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40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预算收支管理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预算支出管理规范性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40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预算收入管理规范性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40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财务管理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内控制度有效性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制度有效</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资产管理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固定资产利用率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72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业务管理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政府采购管理违法违规行为发生次数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次</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运行成本</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成本控制成效</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“三公”经费变动率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在职人员控制率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40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社会效应</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重点生态保护修复和监测项目完成率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海洋监测预警预报满意度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400"/>
        </w:trPr>
        <w:tc>
          <w:tcPr>
            <w:shd w:val="clear" w:color="auto" w:fill="ffffff"/>
            <w:tcBorders/>
            <w:tcW w:w="63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体制机制改革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自然资源资产产权制度改革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9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316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22"/>
            <w:shd w:val="clear" w:color="auto" w:fill="ffffff"/>
            <w:tcBorders/>
            <w:tcW w:w="7775" w:type="dxa"/>
            <w:vAlign w:val="bottom"/>
            <w:textDirection w:val="lrTb"/>
            <w:noWrap/>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lang w:val="en-US" w:eastAsia="zh-CN" w:bidi="ar"/>
              </w:rPr>
              <w:t xml:space="preserve">总评价得分</w:t>
            </w:r>
            <w:r>
              <w:rPr>
                <w:rFonts w:hint="eastAsia" w:ascii="宋体" w:hAnsi="宋体" w:eastAsia="宋体" w:cs="宋体"/>
                <w:b/>
                <w:bCs/>
                <w:i w:val="0"/>
                <w:iCs w:val="0"/>
                <w:color w:val="000000"/>
                <w:sz w:val="22"/>
                <w:szCs w:val="22"/>
                <w:u w:val="none"/>
              </w:rPr>
            </w:r>
            <w:r>
              <w:rPr>
                <w:rFonts w:hint="eastAsia" w:ascii="宋体" w:hAnsi="宋体" w:eastAsia="宋体" w:cs="宋体"/>
                <w:b/>
                <w:bCs/>
                <w:i w:val="0"/>
                <w:iCs w:val="0"/>
                <w:color w:val="000000"/>
                <w:sz w:val="22"/>
                <w:szCs w:val="22"/>
                <w:u w:val="none"/>
              </w:rPr>
            </w:r>
          </w:p>
        </w:tc>
        <w:tc>
          <w:tcPr>
            <w:gridSpan w:val="13"/>
            <w:shd w:val="clear" w:color="auto" w:fill="ffffff"/>
            <w:tcBorders/>
            <w:tcW w:w="7173" w:type="dxa"/>
            <w:vAlign w:val="bottom"/>
            <w:textDirection w:val="lrTb"/>
            <w:noWrap/>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bidi="ar"/>
              </w:rPr>
              <w:t xml:space="preserve">97.35</w:t>
            </w:r>
            <w:r>
              <w:rPr>
                <w:rFonts w:hint="eastAsia" w:ascii="宋体" w:hAnsi="宋体" w:eastAsia="宋体" w:cs="宋体"/>
                <w:i w:val="0"/>
                <w:iCs w:val="0"/>
                <w:color w:val="000000"/>
                <w:sz w:val="22"/>
                <w:szCs w:val="22"/>
                <w:u w:val="none"/>
              </w:rPr>
            </w:r>
            <w:r>
              <w:rPr>
                <w:rFonts w:hint="eastAsia" w:ascii="宋体" w:hAnsi="宋体" w:eastAsia="宋体" w:cs="宋体"/>
                <w:i w:val="0"/>
                <w:iCs w:val="0"/>
                <w:color w:val="000000"/>
                <w:sz w:val="22"/>
                <w:szCs w:val="22"/>
                <w:u w:val="none"/>
              </w:rPr>
            </w:r>
          </w:p>
        </w:tc>
      </w:tr>
      <w:tr>
        <w:trPr>
          <w:trHeight w:val="285"/>
        </w:trPr>
        <w:tc>
          <w:tcPr>
            <w:gridSpan w:val="36"/>
            <w:shd w:val="clear" w:color="auto" w:fill="ffffff"/>
            <w:tcBorders/>
            <w:tcW w:w="14959"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部门（单位）整体绩效自评表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8"/>
            <w:shd w:val="clear" w:color="auto" w:fill="ffffff"/>
            <w:tcBorders/>
            <w:tcW w:w="323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部门（单位）名称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1183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833001朝阳市自然资源和生态环境保护服务中心-211300000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312"/>
        </w:trPr>
        <w:tc>
          <w:tcPr>
            <w:gridSpan w:val="8"/>
            <w:shd w:val="clear" w:color="auto" w:fill="ffffff"/>
            <w:tcBorders/>
            <w:tcW w:w="323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部门年初预算收入金额（万元）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1183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377.75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312"/>
        </w:trPr>
        <w:tc>
          <w:tcPr>
            <w:gridSpan w:val="8"/>
            <w:shd w:val="clear" w:color="auto" w:fill="ffffff"/>
            <w:tcBorders/>
            <w:tcW w:w="323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部门年初预算支出金额（万元）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1183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377.75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600"/>
        </w:trPr>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年度主要任务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7"/>
            <w:shd w:val="clear" w:color="auto" w:fill="ffffff"/>
            <w:tcBorders/>
            <w:tcW w:w="625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对应项目</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43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项目下达金额（万元）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项目执行金额（万元）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7"/>
            <w:shd w:val="clear" w:color="auto" w:fill="ffffff"/>
            <w:tcBorders/>
            <w:tcW w:w="625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部门预算基本支出人员经费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3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490.41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488.27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99.56%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19.91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7"/>
            <w:shd w:val="clear" w:color="auto" w:fill="ffffff"/>
            <w:tcBorders/>
            <w:tcW w:w="625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部门预算基本支出公用经费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3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18.90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16.48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87.21%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65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17.44</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312"/>
        </w:trPr>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9"/>
            <w:shd w:val="clear" w:color="auto" w:fill="ffffff"/>
            <w:tcBorders/>
            <w:tcW w:w="686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744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9"/>
            <w:shd w:val="clear" w:color="auto" w:fill="ffffff"/>
            <w:tcBorders/>
            <w:tcW w:w="686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保证人员开支，保障单位正常运转</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5"/>
            <w:shd w:val="clear" w:color="auto" w:fill="ffffff"/>
            <w:tcBorders/>
            <w:tcW w:w="744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已完成绩效目标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90"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0"/>
            <w:shd w:val="clear" w:color="auto" w:fill="ffffff"/>
            <w:tcBorders/>
            <w:tcW w:w="413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偏差原因分析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308"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90"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82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82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82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82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82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308"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履职效能</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重点工作履行情况</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重点工作办结率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整体工作完成情况</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总体工作完成率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工作完成及时率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工作质量达标率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基础管理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依法行政能力</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综合管理水平</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预算执行</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预算执行效率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预算执行率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预算调整率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结转结余变动率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管理效率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预算编制管理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预算绩效目标覆盖率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预算监督管理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预决算公开情况</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全部公开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预算收支管理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预算支出管理规范性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预算收入管理规范性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财务管理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内控制度有效性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制度有效</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资产管理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固定资产利用率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业务管理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政府采购管理违法违规行为发生次数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次</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运行成本</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成本控制成效</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“三公”经费变动率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在职人员控制率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社会效应</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重点生态保护修复和监测项目完成率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96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海洋监测预警预报满意度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gridSpan w:val="2"/>
            <w:shd w:val="clear" w:color="auto" w:fill="ffffff"/>
            <w:tcBorders/>
            <w:tcW w:w="64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体制机制改革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29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自然资源资产产权制度改革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82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33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1"/>
            <w:shd w:val="clear" w:color="auto" w:fill="ffffff"/>
            <w:tcBorders/>
            <w:tcW w:w="7516" w:type="dxa"/>
            <w:vAlign w:val="bottom"/>
            <w:textDirection w:val="lrTb"/>
            <w:noWrap/>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lang w:val="en-US" w:eastAsia="zh-CN" w:bidi="ar"/>
              </w:rPr>
              <w:t xml:space="preserve">总评价得分</w:t>
            </w:r>
            <w:r>
              <w:rPr>
                <w:rFonts w:hint="eastAsia" w:ascii="宋体" w:hAnsi="宋体" w:eastAsia="宋体" w:cs="宋体"/>
                <w:b/>
                <w:bCs/>
                <w:i w:val="0"/>
                <w:iCs w:val="0"/>
                <w:color w:val="000000"/>
                <w:sz w:val="22"/>
                <w:szCs w:val="22"/>
                <w:u w:val="none"/>
              </w:rPr>
            </w:r>
            <w:r>
              <w:rPr>
                <w:rFonts w:hint="eastAsia" w:ascii="宋体" w:hAnsi="宋体" w:eastAsia="宋体" w:cs="宋体"/>
                <w:b/>
                <w:bCs/>
                <w:i w:val="0"/>
                <w:iCs w:val="0"/>
                <w:color w:val="000000"/>
                <w:sz w:val="22"/>
                <w:szCs w:val="22"/>
                <w:u w:val="none"/>
              </w:rPr>
            </w:r>
          </w:p>
        </w:tc>
        <w:tc>
          <w:tcPr>
            <w:gridSpan w:val="15"/>
            <w:shd w:val="clear" w:color="auto" w:fill="ffffff"/>
            <w:tcBorders/>
            <w:tcW w:w="7443" w:type="dxa"/>
            <w:vAlign w:val="bottom"/>
            <w:textDirection w:val="lrTb"/>
            <w:noWrap/>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bidi="ar"/>
              </w:rPr>
              <w:t xml:space="preserve">97.35</w:t>
            </w:r>
            <w:r>
              <w:rPr>
                <w:rFonts w:hint="eastAsia" w:ascii="宋体" w:hAnsi="宋体" w:eastAsia="宋体" w:cs="宋体"/>
                <w:i w:val="0"/>
                <w:iCs w:val="0"/>
                <w:color w:val="000000"/>
                <w:sz w:val="22"/>
                <w:szCs w:val="22"/>
                <w:u w:val="none"/>
              </w:rPr>
            </w:r>
            <w:r>
              <w:rPr>
                <w:rFonts w:hint="eastAsia" w:ascii="宋体" w:hAnsi="宋体" w:eastAsia="宋体" w:cs="宋体"/>
                <w:i w:val="0"/>
                <w:iCs w:val="0"/>
                <w:color w:val="000000"/>
                <w:sz w:val="22"/>
                <w:szCs w:val="22"/>
                <w:u w:val="none"/>
              </w:rPr>
            </w:r>
          </w:p>
        </w:tc>
      </w:tr>
    </w:tbl>
    <w:p>
      <w:pPr>
        <w:pStyle w:val="859"/>
        <w:pBdr/>
        <w:spacing w:line="540" w:lineRule="exact"/>
        <w:ind/>
        <w:jc w:val="center"/>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9"/>
        <w:pBdr/>
        <w:spacing w:line="540" w:lineRule="exact"/>
        <w:ind/>
        <w:jc w:val="center"/>
        <w:rPr>
          <w:rFonts w:hint="eastAsia" w:ascii="仿宋_GB2312" w:eastAsia="仿宋_GB2312"/>
          <w:sz w:val="52"/>
          <w:szCs w:val="52"/>
        </w:rPr>
      </w:pPr>
      <w:r>
        <w:rPr>
          <w:rFonts w:hint="eastAsia" w:ascii="仿宋_GB2312" w:eastAsia="仿宋_GB2312"/>
          <w:sz w:val="52"/>
          <w:szCs w:val="52"/>
        </w:rPr>
        <w:br w:type="page" w:clear="all"/>
      </w:r>
      <w:r>
        <w:rPr>
          <w:rFonts w:hint="eastAsia" w:ascii="仿宋_GB2312" w:eastAsia="仿宋_GB2312"/>
          <w:sz w:val="52"/>
          <w:szCs w:val="52"/>
        </w:rPr>
      </w:r>
      <w:r>
        <w:rPr>
          <w:rFonts w:hint="eastAsia" w:ascii="仿宋_GB2312" w:eastAsia="仿宋_GB2312"/>
          <w:sz w:val="52"/>
          <w:szCs w:val="52"/>
        </w:rPr>
      </w:r>
    </w:p>
    <w:p>
      <w:pPr>
        <w:pStyle w:val="859"/>
        <w:pBdr/>
        <w:spacing w:line="540" w:lineRule="exact"/>
        <w:ind/>
        <w:jc w:val="left"/>
        <w:rPr>
          <w:sz w:val="32"/>
          <w:szCs w:val="32"/>
        </w:rPr>
      </w:pPr>
      <w:r>
        <w:rPr>
          <w:sz w:val="32"/>
          <w:szCs w:val="32"/>
        </w:rPr>
      </w:r>
      <w:r>
        <w:rPr>
          <w:sz w:val="32"/>
          <w:szCs w:val="32"/>
        </w:rPr>
      </w:r>
    </w:p>
    <w:p>
      <w:pPr>
        <w:pStyle w:val="859"/>
        <w:pBdr/>
        <w:spacing w:line="540" w:lineRule="exact"/>
        <w:ind/>
        <w:rPr>
          <w:sz w:val="32"/>
          <w:szCs w:val="32"/>
        </w:rPr>
      </w:pPr>
      <w:r>
        <w:rPr>
          <w:sz w:val="32"/>
          <w:szCs w:val="32"/>
        </w:rPr>
      </w:r>
      <w:r>
        <w:rPr>
          <w:sz w:val="32"/>
          <w:szCs w:val="32"/>
        </w:rPr>
      </w:r>
    </w:p>
    <w:p>
      <w:pPr>
        <w:pStyle w:val="859"/>
        <w:pBdr/>
        <w:spacing w:line="540" w:lineRule="exact"/>
        <w:ind/>
        <w:rPr>
          <w:sz w:val="32"/>
          <w:szCs w:val="32"/>
        </w:rPr>
      </w:pPr>
      <w:r>
        <w:rPr>
          <w:sz w:val="32"/>
          <w:szCs w:val="32"/>
        </w:rPr>
      </w:r>
      <w:r>
        <w:rPr>
          <w:sz w:val="32"/>
          <w:szCs w:val="3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64"/>
        <w:gridCol w:w="964"/>
        <w:gridCol w:w="953"/>
        <w:gridCol w:w="1394"/>
        <w:gridCol w:w="663"/>
        <w:gridCol w:w="1131"/>
        <w:gridCol w:w="663"/>
        <w:gridCol w:w="1016"/>
        <w:gridCol w:w="716"/>
        <w:gridCol w:w="616"/>
        <w:gridCol w:w="616"/>
        <w:gridCol w:w="582"/>
        <w:gridCol w:w="571"/>
        <w:gridCol w:w="674"/>
        <w:gridCol w:w="605"/>
        <w:gridCol w:w="605"/>
        <w:gridCol w:w="1018"/>
        <w:gridCol w:w="1114"/>
      </w:tblGrid>
      <w:tr>
        <w:trPr>
          <w:trHeight w:val="840"/>
        </w:trPr>
        <w:tc>
          <w:tcPr>
            <w:gridSpan w:val="18"/>
            <w:shd w:val="clear" w:color="auto" w:fill="ffffff"/>
            <w:tcBorders/>
            <w:tcW w:w="1487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Style w:val="873"/>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8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*不动产林权及数据整理项目</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8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朝阳市自然资源和生态环境保护服务中心-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8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朝阳市不动产登记中心-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39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6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1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2400"/>
        </w:trPr>
        <w:tc>
          <w:tcPr>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11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根据《自然资源部办公厅 国家林业和草原局办公室关于进一步规范林权类不动产登记做好林权登记与林业管理衔接的通知》《不动产登记暂行条例实施细则》前期准备费9万元。包括对两区已发林权证的纸质档案按乡镇、按年度进行归纳整理，形成一证一档。数据采集和规范化整理需经费19.49万元。其中空间数据库生成8.14万元，林权登记电子数据建立8.73万元，原有林权档案数据挂接2.62万元。数据质检经费9万元，同三调成果，农村宅基地及集体建设用地是否存在压盖等情况，林权数据入库28万元，图属关联9.74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该项目预算指标下达时间为2022年12月9日，我局党组会议通过后计划开始招标工作，国库12月16日封库停止支付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3360"/>
        </w:trPr>
        <w:tc>
          <w:tcPr>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基础调查</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4.25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其他:该项目预算指标下达时间为2022年12月9日，我局党组会议通过后计划开始招标工作，国库12月16日封库停止支付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其他:招标工作完成，并对后续的工作进行相应的完善，达到支付的完成度后，对该项目进行支付。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执行相关文件要求</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达到指标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3360"/>
        </w:trPr>
        <w:tc>
          <w:tcPr>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项目总经费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其他:该项目预算指标下达时间为2022年12月9日，我局党组会议通过后计划开始招标工作，国库12月16日封库停止支付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3360"/>
        </w:trPr>
        <w:tc>
          <w:tcPr>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项目效果持续性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其他:该项目预算指标下达时间为2022年12月9日，我局党组会议通过后计划开始招标工作，国库12月16日封库停止支付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3360"/>
        </w:trPr>
        <w:tc>
          <w:tcPr>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政策可持续性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其他:该项目预算指标下达时间为2022年12月9日，我局党组会议通过后计划开始招标工作，国库12月16日封库停止支付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3360"/>
        </w:trPr>
        <w:tc>
          <w:tcPr>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社会用户满意度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其他:该项目预算指标下达时间为2022年12月9日，我局党组会议通过后计划开始招标工作，国库12月16日封库停止支付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39.75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39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9"/>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39.75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9"/>
        <w:pBdr/>
        <w:spacing w:line="540" w:lineRule="exact"/>
        <w:ind/>
        <w:rPr>
          <w:sz w:val="32"/>
          <w:szCs w:val="32"/>
        </w:rPr>
      </w:pPr>
      <w:r>
        <w:rPr>
          <w:sz w:val="32"/>
          <w:szCs w:val="32"/>
        </w:rPr>
      </w:r>
      <w:r>
        <w:rPr>
          <w:sz w:val="32"/>
          <w:szCs w:val="32"/>
        </w:rPr>
      </w:r>
    </w:p>
    <w:tbl>
      <w:tblPr>
        <w:tblW w:w="14876"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74"/>
        <w:gridCol w:w="9"/>
        <w:gridCol w:w="965"/>
        <w:gridCol w:w="18"/>
        <w:gridCol w:w="945"/>
        <w:gridCol w:w="26"/>
        <w:gridCol w:w="1389"/>
        <w:gridCol w:w="38"/>
        <w:gridCol w:w="629"/>
        <w:gridCol w:w="42"/>
        <w:gridCol w:w="1099"/>
        <w:gridCol w:w="52"/>
        <w:gridCol w:w="615"/>
        <w:gridCol w:w="56"/>
        <w:gridCol w:w="960"/>
        <w:gridCol w:w="616"/>
        <w:gridCol w:w="3"/>
        <w:gridCol w:w="613"/>
        <w:gridCol w:w="10"/>
        <w:gridCol w:w="606"/>
        <w:gridCol w:w="15"/>
        <w:gridCol w:w="572"/>
        <w:gridCol w:w="12"/>
        <w:gridCol w:w="564"/>
        <w:gridCol w:w="10"/>
        <w:gridCol w:w="673"/>
        <w:gridCol w:w="7"/>
        <w:gridCol w:w="604"/>
        <w:gridCol w:w="4"/>
        <w:gridCol w:w="608"/>
        <w:gridCol w:w="1026"/>
        <w:gridCol w:w="3"/>
        <w:gridCol w:w="1117"/>
      </w:tblGrid>
      <w:tr>
        <w:trPr>
          <w:trHeight w:val="840"/>
        </w:trPr>
        <w:tc>
          <w:tcPr>
            <w:gridSpan w:val="33"/>
            <w:shd w:val="clear" w:color="auto" w:fill="ffffff"/>
            <w:tcBorders/>
            <w:tcW w:w="1488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5"/>
            <w:shd w:val="clear" w:color="auto" w:fill="ffffff"/>
            <w:tcBorders/>
            <w:tcW w:w="29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1196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*原房产交易登记系统，网签备案维护</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5"/>
            <w:shd w:val="clear" w:color="auto" w:fill="ffffff"/>
            <w:tcBorders/>
            <w:tcW w:w="29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1196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朝阳市自然资源和生态环境保护服务中心-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5"/>
            <w:shd w:val="clear" w:color="auto" w:fill="ffffff"/>
            <w:tcBorders/>
            <w:tcW w:w="29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1196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朝阳市不动产登记中心-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5"/>
            <w:shd w:val="clear" w:color="auto" w:fill="ffffff"/>
            <w:tcBorders/>
            <w:tcW w:w="29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322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230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0"/>
            <w:shd w:val="clear" w:color="auto" w:fill="ffffff"/>
            <w:tcBorders/>
            <w:tcW w:w="308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224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74"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8"/>
            <w:shd w:val="clear" w:color="auto" w:fill="ffffff"/>
            <w:tcBorders/>
            <w:tcW w:w="808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4"/>
            <w:shd w:val="clear" w:color="auto" w:fill="ffffff"/>
            <w:tcBorders/>
            <w:tcW w:w="58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1680"/>
        </w:trPr>
        <w:tc>
          <w:tcPr>
            <w:shd w:val="clear" w:color="auto" w:fill="ffffff"/>
            <w:tcBorders/>
            <w:tcW w:w="974"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8"/>
            <w:shd w:val="clear" w:color="auto" w:fill="ffffff"/>
            <w:tcBorders/>
            <w:tcW w:w="808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建立不动产登记信息管理基础平台，实现不动产审批、交易和登记信息在有关部门间依法依规互通共享，提供不动产登记信息依法公开查询服务，有利于方便群众办证，提高办证效率，消除“信息孤岛”，促进不动产登记信息更加完备、准确、可靠，建立健全社会征信体系，保证不动产交易安全，保护群众合法权益。参照往年合同安排20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4"/>
            <w:shd w:val="clear" w:color="auto" w:fill="ffffff"/>
            <w:tcBorders/>
            <w:tcW w:w="582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维护期未满，未进行支付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74"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4"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6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415"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247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016"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9"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2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2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0"/>
            <w:shd w:val="clear" w:color="auto" w:fill="ffffff"/>
            <w:tcBorders/>
            <w:tcW w:w="408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0"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74"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4"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6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41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016"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9"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2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2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8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7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8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0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2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0"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285"/>
        </w:trPr>
        <w:tc>
          <w:tcPr>
            <w:shd w:val="clear" w:color="auto" w:fill="ffffff"/>
            <w:tcBorders/>
            <w:tcW w:w="974"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4" w:type="dxa"/>
            <w:vAlign w:val="center"/>
            <w:vMerge w:val="restart"/>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基础调查</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1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0"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6"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0"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74"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4"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执行相关文件要求</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1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0"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其他:维护期未满，未进行支付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74"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4"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1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0"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6"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0"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74"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4"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项目总经费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1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0"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其他:维护期未满，经费未进行支付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74"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4" w:type="dxa"/>
            <w:vAlign w:val="center"/>
            <w:vMerge w:val="restart"/>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项目效果持续性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1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0"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其他:维护期未满，未进行支付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74"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4"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政策可持续性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1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0"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6"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0"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74"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4"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政府、社会用户满意度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1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0"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6"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0"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5"/>
            <w:shd w:val="clear" w:color="auto" w:fill="ffffff"/>
            <w:tcBorders/>
            <w:tcW w:w="29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322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60.5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230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24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5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80" w:type="dxa"/>
            <w:vAlign w:val="center"/>
            <w:textDirection w:val="lrTb"/>
            <w:noWrap w:val="false"/>
          </w:tcPr>
          <w:p>
            <w:pPr>
              <w:pStyle w:val="859"/>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224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74"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974"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963"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1415"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67"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1141"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67"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1016"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19"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23"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21"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584"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574"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80"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08"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08"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026"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1120"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r>
      <w:tr>
        <w:trPr>
          <w:trHeight w:val="840"/>
        </w:trPr>
        <w:tc>
          <w:tcPr>
            <w:gridSpan w:val="33"/>
            <w:shd w:val="clear" w:color="auto" w:fill="ffffff"/>
            <w:tcBorders/>
            <w:tcW w:w="1488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6"/>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7"/>
            <w:shd w:val="clear" w:color="auto" w:fill="ffffff"/>
            <w:tcBorders/>
            <w:tcW w:w="1194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不动产登记服务大厅和档案馆改造工程及配套设施建设*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6"/>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7"/>
            <w:shd w:val="clear" w:color="auto" w:fill="ffffff"/>
            <w:tcBorders/>
            <w:tcW w:w="1194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朝阳市自然资源和生态环境保护服务中心-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6"/>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7"/>
            <w:shd w:val="clear" w:color="auto" w:fill="ffffff"/>
            <w:tcBorders/>
            <w:tcW w:w="1194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朝阳市不动产登记中心-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6"/>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324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2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0"/>
            <w:shd w:val="clear" w:color="auto" w:fill="ffffff"/>
            <w:tcBorders/>
            <w:tcW w:w="307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225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6"/>
            <w:shd w:val="clear" w:color="auto" w:fill="ffffff"/>
            <w:tcBorders/>
            <w:tcW w:w="806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58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264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6"/>
            <w:shd w:val="clear" w:color="auto" w:fill="ffffff"/>
            <w:tcBorders/>
            <w:tcW w:w="8066"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目前不动产登记服</w:t>
            </w:r>
            <w:r>
              <w:rPr>
                <w:rFonts w:hint="eastAsia" w:ascii="宋体" w:hAnsi="宋体" w:eastAsia="宋体" w:cs="宋体"/>
                <w:i w:val="0"/>
                <w:iCs w:val="0"/>
                <w:color w:val="000000"/>
                <w:sz w:val="20"/>
                <w:szCs w:val="20"/>
                <w:u w:val="none"/>
                <w:lang w:val="en-US" w:eastAsia="zh-CN" w:bidi="ar"/>
              </w:rPr>
              <w:t xml:space="preserve">务大厅设在原房产交易大厅，该大厅始建于2003年，由住宅底层商网改造，房间格局老化，设备老旧，档案室已经满载,设置的窗口数量不能满足登记、交易、税务“一窗受理、并行办理”工作需求，随着林地、草原、水域和集体用地登记业务增加还需增设窗口，按照国务院和省政府关于深入推进不动产便民快捷服务要求，实现涉及不动产登记相关事项的工作人员集中办公，现有服务大厅的功能已满足不了现有工作需求，现已明确划转市公共资源交易中心改造为不动产登记服务大厅，房产交易和不动产登记合署办公流程再造，完善现有工作场所，满足不动产综合服务需求</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5"/>
            <w:shd w:val="clear" w:color="auto" w:fill="ffffff"/>
            <w:tcBorders/>
            <w:tcW w:w="583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财政未下达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42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249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6"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6"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409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42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6"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6"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8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7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8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03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不动产权证书证明质量抽检数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次</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2"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成果质量达标率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2"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560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小时</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560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2"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项目维护成本</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2"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带动社会投入比例</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2"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96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政策持续性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3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其他:财政经费未下达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用人单位满意度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2"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6"/>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324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224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2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6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83" w:type="dxa"/>
            <w:vAlign w:val="center"/>
            <w:textDirection w:val="lrTb"/>
            <w:noWrap w:val="false"/>
          </w:tcPr>
          <w:p>
            <w:pPr>
              <w:pStyle w:val="859"/>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225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9"/>
        <w:pBdr/>
        <w:spacing w:line="540" w:lineRule="exact"/>
        <w:ind/>
        <w:rPr>
          <w:sz w:val="32"/>
          <w:szCs w:val="32"/>
        </w:rPr>
      </w:pPr>
      <w:r>
        <w:rPr>
          <w:sz w:val="32"/>
          <w:szCs w:val="32"/>
        </w:rPr>
      </w:r>
      <w:r>
        <w:rPr>
          <w:sz w:val="32"/>
          <w:szCs w:val="32"/>
        </w:rPr>
      </w:r>
    </w:p>
    <w:p>
      <w:pPr>
        <w:pStyle w:val="859"/>
        <w:pBdr/>
        <w:spacing w:line="540" w:lineRule="exact"/>
        <w:ind/>
        <w:rPr>
          <w:sz w:val="32"/>
          <w:szCs w:val="32"/>
        </w:rPr>
      </w:pPr>
      <w:r>
        <w:rPr>
          <w:sz w:val="32"/>
          <w:szCs w:val="32"/>
        </w:rPr>
      </w:r>
      <w:r>
        <w:rPr>
          <w:sz w:val="32"/>
          <w:szCs w:val="32"/>
        </w:rPr>
      </w:r>
    </w:p>
    <w:tbl>
      <w:tblPr>
        <w:tblW w:w="14876"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tblGrid>
      <w:tr>
        <w:trPr>
          <w:gridAfter w:val="2"/>
          <w:trHeight w:val="840"/>
        </w:trPr>
        <w:tc>
          <w:tcPr>
            <w:gridSpan w:val="35"/>
            <w:shd w:val="clear" w:color="auto" w:fill="ffffff"/>
            <w:tcBorders/>
            <w:tcW w:w="1546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Style w:val="874"/>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gridAfter w:val="2"/>
          <w:trHeight w:val="285"/>
        </w:trPr>
        <w:tc>
          <w:tcPr>
            <w:gridSpan w:val="5"/>
            <w:shd w:val="clear" w:color="auto" w:fill="ffffff"/>
            <w:tcBorders/>
            <w:tcW w:w="291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0"/>
            <w:shd w:val="clear" w:color="auto" w:fill="ffffff"/>
            <w:tcBorders/>
            <w:tcW w:w="1255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不动产登记购买服务支出</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gridSpan w:val="5"/>
            <w:shd w:val="clear" w:color="auto" w:fill="ffffff"/>
            <w:tcBorders/>
            <w:tcW w:w="291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0"/>
            <w:shd w:val="clear" w:color="auto" w:fill="ffffff"/>
            <w:tcBorders/>
            <w:tcW w:w="1255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朝阳市自然资源和生态环境保护服务中心-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gridSpan w:val="5"/>
            <w:shd w:val="clear" w:color="auto" w:fill="ffffff"/>
            <w:tcBorders/>
            <w:tcW w:w="291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0"/>
            <w:shd w:val="clear" w:color="auto" w:fill="ffffff"/>
            <w:tcBorders/>
            <w:tcW w:w="1255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朝阳市不动产登记中心-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gridSpan w:val="5"/>
            <w:shd w:val="clear" w:color="auto" w:fill="ffffff"/>
            <w:tcBorders/>
            <w:tcW w:w="291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322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704.23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236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1"/>
            <w:shd w:val="clear" w:color="auto" w:fill="ffffff"/>
            <w:tcBorders/>
            <w:tcW w:w="361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610.93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223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86.75%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shd w:val="clear" w:color="auto" w:fill="ffffff"/>
            <w:tcBorders/>
            <w:tcW w:w="975"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9"/>
            <w:shd w:val="clear" w:color="auto" w:fill="ffffff"/>
            <w:tcBorders/>
            <w:tcW w:w="814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6"/>
            <w:shd w:val="clear" w:color="auto" w:fill="ffffff"/>
            <w:tcBorders/>
            <w:tcW w:w="635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480"/>
        </w:trPr>
        <w:tc>
          <w:tcPr>
            <w:shd w:val="clear" w:color="auto" w:fill="ffffff"/>
            <w:tcBorders/>
            <w:tcW w:w="97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9"/>
            <w:shd w:val="clear" w:color="auto" w:fill="ffffff"/>
            <w:tcBorders/>
            <w:tcW w:w="814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解决老百姓多次跑，办事难问题; 实现不动产登记和房产交易一次受理和办理，简化流程，压缩办理时限;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6"/>
            <w:shd w:val="clear" w:color="auto" w:fill="ffffff"/>
            <w:tcBorders/>
            <w:tcW w:w="63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按财政下达指标进行支付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75"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5"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6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415"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247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7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2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6"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2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460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2"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2"/>
          <w:trHeight w:val="720"/>
        </w:trPr>
        <w:tc>
          <w:tcPr>
            <w:shd w:val="clear" w:color="auto" w:fill="ffffff"/>
            <w:tcBorders/>
            <w:tcW w:w="97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6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41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4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7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22"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6"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2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20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0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0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2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2" w:type="dxa"/>
            <w:vAlign w:val="center"/>
            <w:vMerge w:val="restart"/>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2"/>
          <w:trHeight w:val="285"/>
        </w:trPr>
        <w:tc>
          <w:tcPr>
            <w:shd w:val="clear" w:color="auto" w:fill="ffffff"/>
            <w:tcBorders/>
            <w:tcW w:w="97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5" w:type="dxa"/>
            <w:vAlign w:val="center"/>
            <w:vMerge w:val="restart"/>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基础调查</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2"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1200"/>
        </w:trPr>
        <w:tc>
          <w:tcPr>
            <w:shd w:val="clear" w:color="auto" w:fill="ffffff"/>
            <w:tcBorders/>
            <w:tcW w:w="97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5"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执行相关文件要求</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2"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达到指标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shd w:val="clear" w:color="auto" w:fill="ffffff"/>
            <w:tcBorders/>
            <w:tcW w:w="97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5"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2"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shd w:val="clear" w:color="auto" w:fill="ffffff"/>
            <w:tcBorders/>
            <w:tcW w:w="97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5"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项目总经费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2"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774</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774</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1200"/>
        </w:trPr>
        <w:tc>
          <w:tcPr>
            <w:shd w:val="clear" w:color="auto" w:fill="ffffff"/>
            <w:tcBorders/>
            <w:tcW w:w="97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5" w:type="dxa"/>
            <w:vAlign w:val="center"/>
            <w:vMerge w:val="restart"/>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项目效果持续性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2"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长效</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1200"/>
        </w:trPr>
        <w:tc>
          <w:tcPr>
            <w:shd w:val="clear" w:color="auto" w:fill="ffffff"/>
            <w:tcBorders/>
            <w:tcW w:w="97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5"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政策可持续性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2"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长效</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720"/>
        </w:trPr>
        <w:tc>
          <w:tcPr>
            <w:shd w:val="clear" w:color="auto" w:fill="ffffff"/>
            <w:tcBorders/>
            <w:tcW w:w="975"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6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1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政府、社会用户满意度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42"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6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4"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0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08"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2"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gridSpan w:val="5"/>
            <w:shd w:val="clear" w:color="auto" w:fill="ffffff"/>
            <w:tcBorders/>
            <w:tcW w:w="291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3224"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236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124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8.68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201" w:type="dxa"/>
            <w:vAlign w:val="center"/>
            <w:textDirection w:val="lrTb"/>
            <w:noWrap w:val="false"/>
          </w:tcPr>
          <w:p>
            <w:pPr>
              <w:pStyle w:val="859"/>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38"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98.68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840"/>
        </w:trPr>
        <w:tc>
          <w:tcPr>
            <w:gridSpan w:val="36"/>
            <w:shd w:val="clear" w:color="auto" w:fill="ffffff"/>
            <w:tcBorders/>
            <w:tcW w:w="15480"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gridAfter w:val="1"/>
          <w:trHeight w:val="285"/>
        </w:trPr>
        <w:tc>
          <w:tcPr>
            <w:gridSpan w:val="6"/>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0"/>
            <w:shd w:val="clear" w:color="auto" w:fill="ffffff"/>
            <w:tcBorders/>
            <w:tcW w:w="1254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不动产系统维护</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6"/>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0"/>
            <w:shd w:val="clear" w:color="auto" w:fill="ffffff"/>
            <w:tcBorders/>
            <w:tcW w:w="1254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朝阳市自然资源和生态环境保护服务中心-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6"/>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0"/>
            <w:shd w:val="clear" w:color="auto" w:fill="ffffff"/>
            <w:tcBorders/>
            <w:tcW w:w="1254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朝阳市不动产登记中心-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gridSpan w:val="6"/>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324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41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230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0"/>
            <w:shd w:val="clear" w:color="auto" w:fill="ffffff"/>
            <w:tcBorders/>
            <w:tcW w:w="3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225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43.9%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2"/>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7"/>
            <w:shd w:val="clear" w:color="auto" w:fill="ffffff"/>
            <w:tcBorders/>
            <w:tcW w:w="812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7"/>
            <w:shd w:val="clear" w:color="auto" w:fill="ffffff"/>
            <w:tcBorders/>
            <w:tcW w:w="6375"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48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7"/>
            <w:shd w:val="clear" w:color="auto" w:fill="ffffff"/>
            <w:tcBorders/>
            <w:tcW w:w="8122"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不动产登记信息更加完备准确可靠，建立健全社会征信体系; 方便群众办证，提高办证效率，消除信息孤岛;</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7"/>
            <w:shd w:val="clear" w:color="auto" w:fill="ffffff"/>
            <w:tcBorders/>
            <w:tcW w:w="6375"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该项目服务期至2023年3月31日，因服务期未满暂未拨付，待服务期满后拨付。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gridSpan w:val="2"/>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1"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42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249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6"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6"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6"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3"/>
            <w:shd w:val="clear" w:color="auto" w:fill="ffffff"/>
            <w:tcBorders/>
            <w:tcW w:w="46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2"/>
          <w:trHeight w:val="72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71"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42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6"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6"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6"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8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7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2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3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2"/>
          <w:trHeight w:val="240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基础调查</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21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其他:因2022年维护时间为2022年4月1日-2023年3月31日，维护期满后支付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192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执行相关文件要求</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到达指标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21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其他:维护期为2022年4月1日-2023年3月31日，维护期满后支付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其他:无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21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项目总经费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21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120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restart"/>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项目效果持续性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到达指标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21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120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vMerge w:val="continue"/>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政策可持续性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到达指标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21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720"/>
        </w:trPr>
        <w:tc>
          <w:tcPr>
            <w:gridSpan w:val="2"/>
            <w:shd w:val="clear" w:color="auto" w:fill="ffffff"/>
            <w:tcBorders/>
            <w:tcW w:w="983" w:type="dxa"/>
            <w:vAlign w:val="center"/>
            <w:vMerge w:val="continue"/>
            <w:textDirection w:val="lrTb"/>
            <w:noWrap w:val="false"/>
          </w:tcPr>
          <w:p>
            <w:pPr>
              <w:pStyle w:val="859"/>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983"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97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27"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政府、社会用户满意度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51"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71"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9"/>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6"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7"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7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216"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9"/>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9"/>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gridSpan w:val="6"/>
            <w:shd w:val="clear" w:color="auto" w:fill="ffffff"/>
            <w:tcBorders/>
            <w:tcW w:w="293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3249"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230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232"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4.39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6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216" w:type="dxa"/>
            <w:vAlign w:val="center"/>
            <w:textDirection w:val="lrTb"/>
            <w:noWrap w:val="false"/>
          </w:tcPr>
          <w:p>
            <w:pPr>
              <w:pStyle w:val="859"/>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22.8902439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2253"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9"/>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2"/>
          <w:trHeight w:val="285"/>
        </w:trPr>
        <w:tc>
          <w:tcPr>
            <w:gridSpan w:val="2"/>
            <w:shd w:val="clear" w:color="auto" w:fill="ffffff"/>
            <w:tcBorders/>
            <w:tcW w:w="983"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983"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971"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1427"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71"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1151"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71"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960"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16"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16"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16"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587"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576"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3"/>
            <w:shd w:val="clear" w:color="auto" w:fill="ffffff"/>
            <w:tcBorders/>
            <w:tcW w:w="1216"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1"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2"/>
            <w:shd w:val="clear" w:color="auto" w:fill="ffffff"/>
            <w:tcBorders/>
            <w:tcW w:w="611"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gridSpan w:val="3"/>
            <w:shd w:val="clear" w:color="auto" w:fill="ffffff"/>
            <w:tcBorders/>
            <w:tcW w:w="1031"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127" w:type="dxa"/>
            <w:vAlign w:val="center"/>
            <w:textDirection w:val="lrTb"/>
            <w:noWrap/>
          </w:tcPr>
          <w:p>
            <w:pPr>
              <w:pStyle w:val="859"/>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r>
    </w:tbl>
    <w:p>
      <w:pPr>
        <w:pStyle w:val="859"/>
        <w:pBdr/>
        <w:spacing w:line="540" w:lineRule="exact"/>
        <w:ind/>
        <w:rPr>
          <w:sz w:val="32"/>
          <w:szCs w:val="32"/>
        </w:rPr>
      </w:pPr>
      <w:r>
        <w:rPr>
          <w:sz w:val="32"/>
          <w:szCs w:val="32"/>
        </w:rPr>
      </w:r>
      <w:r>
        <w:rPr>
          <w:sz w:val="32"/>
          <w:szCs w:val="32"/>
        </w:rPr>
      </w:r>
    </w:p>
    <w:sectPr>
      <w:footnotePr/>
      <w:endnotePr/>
      <w:type w:val="nextPage"/>
      <w:pgSz w:h="11906" w:orient="portrait" w:w="16838"/>
      <w:pgMar w:top="1418" w:right="1701" w:bottom="1418" w:left="1701" w:header="851" w:footer="992"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_GB2312">
    <w:panose1 w:val="02010609060101010101"/>
  </w:font>
  <w:font w:name="仿宋">
    <w:panose1 w:val="02010609060101010101"/>
  </w:font>
  <w:font w:name="黑体">
    <w:panose1 w:val="02010609060101010101"/>
  </w:font>
  <w:font w:name="Symbol">
    <w:panose1 w:val="05050102010706020507"/>
  </w:font>
  <w:font w:name="Wingdings">
    <w:panose1 w:val="05000000000000000000"/>
  </w:font>
  <w:font w:name="仿宋_GB2312">
    <w:panose1 w:val="02010609060101010101"/>
  </w:font>
  <w:font w:name="Arial">
    <w:panose1 w:val="020B0604020202020204"/>
  </w:font>
  <w:font w:name="Calibri">
    <w:panose1 w:val="020F0502020204030204"/>
  </w:font>
  <w:font w:name="Verdana">
    <w:panose1 w:val="020B0604030504040204"/>
  </w:font>
  <w:font w:name="等线">
    <w:panose1 w:val="02010600030101010101"/>
  </w:font>
  <w:font w:name="宋体">
    <w:panose1 w:val="02010600030101010101"/>
  </w:font>
  <w:font w:name="Courier New">
    <w:panose1 w:val="020703090202050204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9"/>
      <w:pBdr/>
      <w:spacing w:line="1" w:lineRule="exact"/>
      <w:ind/>
      <w:rPr/>
    </w:pPr>
    <w:r>
      <mc:AlternateContent>
        <mc:Choice Requires="wpg">
          <w:drawing>
            <wp:anchor xmlns:wp="http://schemas.openxmlformats.org/drawingml/2006/wordprocessingDrawing" xmlns:wp14="http://schemas.microsoft.com/office/word/2010/wordprocessingDrawing" distT="0" distB="0" distL="114300" distR="114300" simplePos="0" relativeHeight="250609663" behindDoc="1" locked="0" layoutInCell="1" allowOverlap="1">
              <wp:simplePos x="0" y="0"/>
              <wp:positionH relativeFrom="page">
                <wp:posOffset>6066790</wp:posOffset>
              </wp:positionH>
              <wp:positionV relativeFrom="page">
                <wp:posOffset>9555480</wp:posOffset>
              </wp:positionV>
              <wp:extent cx="417830" cy="118745"/>
              <wp:effectExtent l="0" t="0" r="0" b="0"/>
              <wp:wrapNone/>
              <wp:docPr id="1" name="_x0000_s2050"/>
              <wp:cNvGraphicFramePr/>
              <a:graphic xmlns:a="http://schemas.openxmlformats.org/drawingml/2006/main">
                <a:graphicData uri="http://schemas.microsoft.com/office/word/2010/wordprocessingShape">
                  <wps:wsp>
                    <wps:cNvPr id="0" name=""/>
                    <wps:cNvSpPr txBox="1"/>
                    <wps:spPr bwMode="auto">
                      <a:xfrm>
                        <a:off x="0" y="0"/>
                        <a:ext cx="417830" cy="118745"/>
                      </a:xfrm>
                      <a:prstGeom prst="rect">
                        <a:avLst/>
                      </a:prstGeom>
                      <a:noFill/>
                      <a:ln>
                        <a:noFill/>
                      </a:ln>
                    </wps:spPr>
                    <wps:txbx>
                      <w:txbxContent>
                        <w:p>
                          <w:pPr>
                            <w:pStyle w:val="871"/>
                            <w:pBdr/>
                            <w:spacing/>
                            <w:ind/>
                            <w:jc w:val="left"/>
                            <w:rPr>
                              <w:sz w:val="26"/>
                              <w:szCs w:val="26"/>
                            </w:rPr>
                          </w:pPr>
                          <w:r>
                            <w:rPr>
                              <w:rFonts w:ascii="宋体" w:hAnsi="宋体" w:cs="宋体"/>
                              <w:color w:val="494749"/>
                            </w:rPr>
                            <w:t xml:space="preserve">一 </w:t>
                          </w:r>
                          <w:r>
                            <w:fldChar w:fldCharType="begin"/>
                          </w:r>
                          <w:r>
                            <w:instrText xml:space="preserve"> PAGE \* MERGEFORMAT </w:instrText>
                          </w:r>
                          <w:r>
                            <w:fldChar w:fldCharType="separate"/>
                          </w:r>
                          <w:r>
                            <w:rPr>
                              <w:rFonts w:ascii="Times New Roman" w:hAnsi="Times New Roman" w:eastAsia="Times New Roman"/>
                              <w:color w:val="494749"/>
                              <w:sz w:val="26"/>
                              <w:szCs w:val="26"/>
                            </w:rPr>
                            <w:t xml:space="preserve">3</w:t>
                          </w:r>
                          <w:r>
                            <w:rPr>
                              <w:rFonts w:ascii="Times New Roman" w:hAnsi="Times New Roman" w:eastAsia="Times New Roman"/>
                              <w:color w:val="494749"/>
                              <w:sz w:val="26"/>
                              <w:szCs w:val="26"/>
                            </w:rPr>
                            <w:fldChar w:fldCharType="end"/>
                          </w:r>
                          <w:r>
                            <w:rPr>
                              <w:rFonts w:ascii="Times New Roman" w:hAnsi="Times New Roman" w:eastAsia="Times New Roman"/>
                              <w:color w:val="494749"/>
                              <w:sz w:val="26"/>
                              <w:szCs w:val="26"/>
                            </w:rPr>
                            <w:t xml:space="preserve"> —</w:t>
                          </w:r>
                          <w:r>
                            <w:rPr>
                              <w:sz w:val="26"/>
                              <w:szCs w:val="26"/>
                            </w:rPr>
                          </w:r>
                          <w:r>
                            <w:rPr>
                              <w:sz w:val="26"/>
                              <w:szCs w:val="26"/>
                            </w:rPr>
                          </w:r>
                        </w:p>
                        <w:p>
                          <w:pPr>
                            <w:pStyle w:val="859"/>
                            <w:pBdr/>
                            <w:spacing/>
                            <w:ind/>
                            <w:rPr/>
                          </w:pPr>
                          <w:r/>
                          <w:r/>
                        </w:p>
                      </w:txbxContent>
                    </wps:txbx>
                    <wps:bodyPr wrap="none" lIns="0" tIns="0" rIns="0" bIns="0" upright="1">
                      <a:spAutoFit/>
                    </wps:bodyPr>
                  </wps:wsp>
                </a:graphicData>
              </a:graphic>
            </wp:anchor>
          </w:drawing>
        </mc:Choice>
        <mc:Fallback>
          <w:pict>
            <v:shape id="shape 0" o:spid="_x0000_s0" o:spt="202" type="#_x0000_t202" style="position:absolute;z-index:-250609663;o:allowoverlap:true;o:allowincell:true;mso-position-horizontal-relative:page;margin-left:477.70pt;mso-position-horizontal:absolute;mso-position-vertical-relative:page;margin-top:752.40pt;mso-position-vertical:absolute;width:32.90pt;height:9.35pt;mso-wrap-distance-left:9.00pt;mso-wrap-distance-top:0.00pt;mso-wrap-distance-right:9.00pt;mso-wrap-distance-bottom:0.00pt;visibility:visible;" filled="f" stroked="f">
              <v:textbox inset="0,0,0,0">
                <w:txbxContent>
                  <w:p>
                    <w:pPr>
                      <w:pStyle w:val="871"/>
                      <w:pBdr/>
                      <w:spacing/>
                      <w:ind/>
                      <w:jc w:val="left"/>
                      <w:rPr>
                        <w:sz w:val="26"/>
                        <w:szCs w:val="26"/>
                      </w:rPr>
                    </w:pPr>
                    <w:r>
                      <w:rPr>
                        <w:rFonts w:ascii="宋体" w:hAnsi="宋体" w:cs="宋体"/>
                        <w:color w:val="494749"/>
                      </w:rPr>
                      <w:t xml:space="preserve">一 </w:t>
                    </w:r>
                    <w:r>
                      <w:fldChar w:fldCharType="begin"/>
                    </w:r>
                    <w:r>
                      <w:instrText xml:space="preserve"> PAGE \* MERGEFORMAT </w:instrText>
                    </w:r>
                    <w:r>
                      <w:fldChar w:fldCharType="separate"/>
                    </w:r>
                    <w:r>
                      <w:rPr>
                        <w:rFonts w:ascii="Times New Roman" w:hAnsi="Times New Roman" w:eastAsia="Times New Roman"/>
                        <w:color w:val="494749"/>
                        <w:sz w:val="26"/>
                        <w:szCs w:val="26"/>
                      </w:rPr>
                      <w:t xml:space="preserve">3</w:t>
                    </w:r>
                    <w:r>
                      <w:rPr>
                        <w:rFonts w:ascii="Times New Roman" w:hAnsi="Times New Roman" w:eastAsia="Times New Roman"/>
                        <w:color w:val="494749"/>
                        <w:sz w:val="26"/>
                        <w:szCs w:val="26"/>
                      </w:rPr>
                      <w:fldChar w:fldCharType="end"/>
                    </w:r>
                    <w:r>
                      <w:rPr>
                        <w:rFonts w:ascii="Times New Roman" w:hAnsi="Times New Roman" w:eastAsia="Times New Roman"/>
                        <w:color w:val="494749"/>
                        <w:sz w:val="26"/>
                        <w:szCs w:val="26"/>
                      </w:rPr>
                      <w:t xml:space="preserve"> —</w:t>
                    </w:r>
                    <w:r>
                      <w:rPr>
                        <w:sz w:val="26"/>
                        <w:szCs w:val="26"/>
                      </w:rPr>
                    </w:r>
                    <w:r>
                      <w:rPr>
                        <w:sz w:val="26"/>
                        <w:szCs w:val="26"/>
                      </w:rPr>
                    </w:r>
                  </w:p>
                  <w:p>
                    <w:pPr>
                      <w:pStyle w:val="859"/>
                      <w:pBdr/>
                      <w:spacing/>
                      <w:ind/>
                      <w:rPr/>
                    </w:pPr>
                    <w:r/>
                    <w:r/>
                  </w:p>
                </w:txbxContent>
              </v:textbox>
            </v:shape>
          </w:pict>
        </mc:Fallback>
      </mc:AlternateContent>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9"/>
      <w:pBdr/>
      <w:spacing w:line="1" w:lineRule="exact"/>
      <w:ind/>
      <w:rPr/>
    </w:pP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1" locked="0" layoutInCell="1" allowOverlap="1">
              <wp:simplePos x="0" y="0"/>
              <wp:positionH relativeFrom="page">
                <wp:posOffset>1196340</wp:posOffset>
              </wp:positionH>
              <wp:positionV relativeFrom="page">
                <wp:posOffset>9530715</wp:posOffset>
              </wp:positionV>
              <wp:extent cx="417830" cy="115570"/>
              <wp:effectExtent l="0" t="0" r="0" b="0"/>
              <wp:wrapNone/>
              <wp:docPr id="2" name="_x0000_s2051"/>
              <wp:cNvGraphicFramePr/>
              <a:graphic xmlns:a="http://schemas.openxmlformats.org/drawingml/2006/main">
                <a:graphicData uri="http://schemas.microsoft.com/office/word/2010/wordprocessingShape">
                  <wps:wsp>
                    <wps:cNvPr id="0" name=""/>
                    <wps:cNvSpPr txBox="1"/>
                    <wps:spPr bwMode="auto">
                      <a:xfrm>
                        <a:off x="0" y="0"/>
                        <a:ext cx="417830" cy="115570"/>
                      </a:xfrm>
                      <a:prstGeom prst="rect">
                        <a:avLst/>
                      </a:prstGeom>
                      <a:noFill/>
                      <a:ln>
                        <a:noFill/>
                      </a:ln>
                    </wps:spPr>
                    <wps:txbx>
                      <w:txbxContent>
                        <w:p>
                          <w:pPr>
                            <w:pStyle w:val="871"/>
                            <w:pBdr/>
                            <w:spacing/>
                            <w:ind/>
                            <w:jc w:val="left"/>
                            <w:rPr>
                              <w:sz w:val="26"/>
                              <w:szCs w:val="26"/>
                            </w:rPr>
                          </w:pPr>
                          <w:r>
                            <w:rPr>
                              <w:rFonts w:ascii="Times New Roman" w:hAnsi="Times New Roman" w:eastAsia="Times New Roman"/>
                              <w:color w:val="727071"/>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w:t>
                          </w:r>
                          <w:r>
                            <w:rPr>
                              <w:rFonts w:ascii="Times New Roman" w:hAnsi="Times New Roman" w:eastAsia="Times New Roman"/>
                              <w:color w:val="353335"/>
                              <w:sz w:val="26"/>
                              <w:szCs w:val="26"/>
                            </w:rPr>
                            <w:fldChar w:fldCharType="end"/>
                          </w:r>
                          <w:r>
                            <w:rPr>
                              <w:rFonts w:ascii="Times New Roman" w:hAnsi="Times New Roman" w:eastAsia="Times New Roman"/>
                              <w:color w:val="353335"/>
                              <w:sz w:val="26"/>
                              <w:szCs w:val="26"/>
                            </w:rPr>
                            <w:t xml:space="preserve"> -</w:t>
                          </w:r>
                          <w:r>
                            <w:rPr>
                              <w:sz w:val="26"/>
                              <w:szCs w:val="26"/>
                            </w:rPr>
                          </w:r>
                          <w:r>
                            <w:rPr>
                              <w:sz w:val="26"/>
                              <w:szCs w:val="26"/>
                            </w:rPr>
                          </w:r>
                        </w:p>
                        <w:p>
                          <w:pPr>
                            <w:pStyle w:val="859"/>
                            <w:pBdr/>
                            <w:spacing/>
                            <w:ind/>
                            <w:rPr/>
                          </w:pPr>
                          <w:r/>
                          <w:r/>
                        </w:p>
                      </w:txbxContent>
                    </wps:txbx>
                    <wps:bodyPr wrap="none" lIns="0" tIns="0" rIns="0" bIns="0" upright="1">
                      <a:spAutoFit/>
                    </wps:bodyPr>
                  </wps:wsp>
                </a:graphicData>
              </a:graphic>
            </wp:anchor>
          </w:drawing>
        </mc:Choice>
        <mc:Fallback>
          <w:pict>
            <v:shape id="shape 1" o:spid="_x0000_s1" o:spt="202" type="#_x0000_t202" style="position:absolute;z-index:-524288;o:allowoverlap:true;o:allowincell:true;mso-position-horizontal-relative:page;margin-left:94.20pt;mso-position-horizontal:absolute;mso-position-vertical-relative:page;margin-top:750.45pt;mso-position-vertical:absolute;width:32.90pt;height:9.10pt;mso-wrap-distance-left:9.00pt;mso-wrap-distance-top:0.00pt;mso-wrap-distance-right:9.00pt;mso-wrap-distance-bottom:0.00pt;visibility:visible;" filled="f" stroked="f">
              <v:textbox inset="0,0,0,0">
                <w:txbxContent>
                  <w:p>
                    <w:pPr>
                      <w:pStyle w:val="871"/>
                      <w:pBdr/>
                      <w:spacing/>
                      <w:ind/>
                      <w:jc w:val="left"/>
                      <w:rPr>
                        <w:sz w:val="26"/>
                        <w:szCs w:val="26"/>
                      </w:rPr>
                    </w:pPr>
                    <w:r>
                      <w:rPr>
                        <w:rFonts w:ascii="Times New Roman" w:hAnsi="Times New Roman" w:eastAsia="Times New Roman"/>
                        <w:color w:val="727071"/>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w:t>
                    </w:r>
                    <w:r>
                      <w:rPr>
                        <w:rFonts w:ascii="Times New Roman" w:hAnsi="Times New Roman" w:eastAsia="Times New Roman"/>
                        <w:color w:val="353335"/>
                        <w:sz w:val="26"/>
                        <w:szCs w:val="26"/>
                      </w:rPr>
                      <w:fldChar w:fldCharType="end"/>
                    </w:r>
                    <w:r>
                      <w:rPr>
                        <w:rFonts w:ascii="Times New Roman" w:hAnsi="Times New Roman" w:eastAsia="Times New Roman"/>
                        <w:color w:val="353335"/>
                        <w:sz w:val="26"/>
                        <w:szCs w:val="26"/>
                      </w:rPr>
                      <w:t xml:space="preserve"> -</w:t>
                    </w:r>
                    <w:r>
                      <w:rPr>
                        <w:sz w:val="26"/>
                        <w:szCs w:val="26"/>
                      </w:rPr>
                    </w:r>
                    <w:r>
                      <w:rPr>
                        <w:sz w:val="26"/>
                        <w:szCs w:val="26"/>
                      </w:rPr>
                    </w:r>
                  </w:p>
                  <w:p>
                    <w:pPr>
                      <w:pStyle w:val="859"/>
                      <w:pBdr/>
                      <w:spacing/>
                      <w:ind/>
                      <w:rPr/>
                    </w:pPr>
                    <w:r/>
                    <w:r/>
                  </w:p>
                </w:txbxContent>
              </v:textbox>
            </v:shape>
          </w:pict>
        </mc:Fallback>
      </mc:AlternateContent>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9"/>
      <w:pBdr/>
      <w:spacing w:line="1" w:lineRule="exact"/>
      <w:ind/>
      <w:rPr/>
    </w:pPr>
    <w:r>
      <mc:AlternateContent>
        <mc:Choice Requires="wpg">
          <w:drawing>
            <wp:anchor xmlns:wp="http://schemas.openxmlformats.org/drawingml/2006/wordprocessingDrawing" xmlns:wp14="http://schemas.microsoft.com/office/word/2010/wordprocessingDrawing" distT="0" distB="0" distL="114300" distR="114300" simplePos="0" relativeHeight="250609662" behindDoc="1" locked="0" layoutInCell="1" allowOverlap="1">
              <wp:simplePos x="0" y="0"/>
              <wp:positionH relativeFrom="page">
                <wp:posOffset>6258560</wp:posOffset>
              </wp:positionH>
              <wp:positionV relativeFrom="page">
                <wp:posOffset>9433560</wp:posOffset>
              </wp:positionV>
              <wp:extent cx="42545" cy="113030"/>
              <wp:effectExtent l="0" t="0" r="0" b="0"/>
              <wp:wrapNone/>
              <wp:docPr id="3" name="_x0000_s2049"/>
              <wp:cNvGraphicFramePr/>
              <a:graphic xmlns:a="http://schemas.openxmlformats.org/drawingml/2006/main">
                <a:graphicData uri="http://schemas.microsoft.com/office/word/2010/wordprocessingShape">
                  <wps:wsp>
                    <wps:cNvPr id="0" name=""/>
                    <wps:cNvSpPr txBox="1"/>
                    <wps:spPr bwMode="auto">
                      <a:xfrm>
                        <a:off x="0" y="0"/>
                        <a:ext cx="42545" cy="113030"/>
                      </a:xfrm>
                      <a:prstGeom prst="rect">
                        <a:avLst/>
                      </a:prstGeom>
                      <a:noFill/>
                      <a:ln>
                        <a:noFill/>
                      </a:ln>
                    </wps:spPr>
                    <wps:txbx>
                      <w:txbxContent>
                        <w:p>
                          <w:pPr>
                            <w:pStyle w:val="871"/>
                            <w:pBdr/>
                            <w:spacing/>
                            <w:ind/>
                            <w:jc w:val="left"/>
                            <w:rPr>
                              <w:sz w:val="26"/>
                              <w:szCs w:val="26"/>
                            </w:rPr>
                          </w:pP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1</w:t>
                          </w:r>
                          <w:r>
                            <w:rPr>
                              <w:rFonts w:ascii="Times New Roman" w:hAnsi="Times New Roman" w:eastAsia="Times New Roman"/>
                              <w:color w:val="353335"/>
                              <w:sz w:val="26"/>
                              <w:szCs w:val="26"/>
                            </w:rPr>
                            <w:fldChar w:fldCharType="end"/>
                          </w:r>
                          <w:r>
                            <w:rPr>
                              <w:sz w:val="26"/>
                              <w:szCs w:val="26"/>
                            </w:rPr>
                          </w:r>
                          <w:r>
                            <w:rPr>
                              <w:sz w:val="26"/>
                              <w:szCs w:val="26"/>
                            </w:rPr>
                          </w:r>
                        </w:p>
                        <w:p>
                          <w:pPr>
                            <w:pStyle w:val="859"/>
                            <w:pBdr/>
                            <w:spacing/>
                            <w:ind/>
                            <w:rPr/>
                          </w:pPr>
                          <w:r/>
                          <w:r/>
                        </w:p>
                      </w:txbxContent>
                    </wps:txbx>
                    <wps:bodyPr wrap="none" lIns="0" tIns="0" rIns="0" bIns="0" upright="1">
                      <a:spAutoFit/>
                    </wps:bodyPr>
                  </wps:wsp>
                </a:graphicData>
              </a:graphic>
            </wp:anchor>
          </w:drawing>
        </mc:Choice>
        <mc:Fallback>
          <w:pict>
            <v:shape id="shape 2" o:spid="_x0000_s2" o:spt="202" type="#_x0000_t202" style="position:absolute;z-index:-250609662;o:allowoverlap:true;o:allowincell:true;mso-position-horizontal-relative:page;margin-left:492.80pt;mso-position-horizontal:absolute;mso-position-vertical-relative:page;margin-top:742.80pt;mso-position-vertical:absolute;width:3.35pt;height:8.90pt;mso-wrap-distance-left:9.00pt;mso-wrap-distance-top:0.00pt;mso-wrap-distance-right:9.00pt;mso-wrap-distance-bottom:0.00pt;visibility:visible;" filled="f" stroked="f">
              <v:textbox inset="0,0,0,0">
                <w:txbxContent>
                  <w:p>
                    <w:pPr>
                      <w:pStyle w:val="871"/>
                      <w:pBdr/>
                      <w:spacing/>
                      <w:ind/>
                      <w:jc w:val="left"/>
                      <w:rPr>
                        <w:sz w:val="26"/>
                        <w:szCs w:val="26"/>
                      </w:rPr>
                    </w:pP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1</w:t>
                    </w:r>
                    <w:r>
                      <w:rPr>
                        <w:rFonts w:ascii="Times New Roman" w:hAnsi="Times New Roman" w:eastAsia="Times New Roman"/>
                        <w:color w:val="353335"/>
                        <w:sz w:val="26"/>
                        <w:szCs w:val="26"/>
                      </w:rPr>
                      <w:fldChar w:fldCharType="end"/>
                    </w:r>
                    <w:r>
                      <w:rPr>
                        <w:sz w:val="26"/>
                        <w:szCs w:val="26"/>
                      </w:rPr>
                    </w:r>
                    <w:r>
                      <w:rPr>
                        <w:sz w:val="26"/>
                        <w:szCs w:val="26"/>
                      </w:rPr>
                    </w:r>
                  </w:p>
                  <w:p>
                    <w:pPr>
                      <w:pStyle w:val="859"/>
                      <w:pBdr/>
                      <w:spacing/>
                      <w:ind/>
                      <w:rPr/>
                    </w:pPr>
                    <w:r/>
                    <w:r/>
                  </w:p>
                </w:txbxContent>
              </v:textbox>
            </v:shape>
          </w:pict>
        </mc:Fallback>
      </mc:AlternateContent>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9"/>
      <w:pBdr/>
      <w:spacing w:line="1" w:lineRule="exact"/>
      <w:ind/>
      <w:rPr/>
    </w:pPr>
    <w:r>
      <mc:AlternateContent>
        <mc:Choice Requires="wpg">
          <w:drawing>
            <wp:anchor xmlns:wp="http://schemas.openxmlformats.org/drawingml/2006/wordprocessingDrawing" xmlns:wp14="http://schemas.microsoft.com/office/word/2010/wordprocessingDrawing" distT="0" distB="0" distL="114300" distR="114300" simplePos="0" relativeHeight="250609660" behindDoc="1" locked="0" layoutInCell="1" allowOverlap="1">
              <wp:simplePos x="0" y="0"/>
              <wp:positionH relativeFrom="page">
                <wp:posOffset>6075680</wp:posOffset>
              </wp:positionH>
              <wp:positionV relativeFrom="page">
                <wp:posOffset>9552305</wp:posOffset>
              </wp:positionV>
              <wp:extent cx="414655" cy="118745"/>
              <wp:effectExtent l="0" t="0" r="0" b="0"/>
              <wp:wrapNone/>
              <wp:docPr id="4" name="_x0000_s2052"/>
              <wp:cNvGraphicFramePr/>
              <a:graphic xmlns:a="http://schemas.openxmlformats.org/drawingml/2006/main">
                <a:graphicData uri="http://schemas.microsoft.com/office/word/2010/wordprocessingShape">
                  <wps:wsp>
                    <wps:cNvPr id="0" name=""/>
                    <wps:cNvSpPr txBox="1"/>
                    <wps:spPr bwMode="auto">
                      <a:xfrm>
                        <a:off x="0" y="0"/>
                        <a:ext cx="414655" cy="118745"/>
                      </a:xfrm>
                      <a:prstGeom prst="rect">
                        <a:avLst/>
                      </a:prstGeom>
                      <a:noFill/>
                      <a:ln>
                        <a:noFill/>
                      </a:ln>
                    </wps:spPr>
                    <wps:txbx>
                      <w:txbxContent>
                        <w:p>
                          <w:pPr>
                            <w:pStyle w:val="871"/>
                            <w:pBdr/>
                            <w:spacing/>
                            <w:ind/>
                            <w:jc w:val="left"/>
                            <w:rPr>
                              <w:sz w:val="26"/>
                              <w:szCs w:val="26"/>
                            </w:rPr>
                          </w:pPr>
                          <w:r>
                            <w:rPr>
                              <w:rFonts w:ascii="Times New Roman" w:hAnsi="Times New Roman" w:eastAsia="Times New Roman"/>
                              <w:color w:val="494749"/>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494749"/>
                              <w:sz w:val="26"/>
                              <w:szCs w:val="26"/>
                            </w:rPr>
                            <w:t xml:space="preserve">10</w:t>
                          </w:r>
                          <w:r>
                            <w:rPr>
                              <w:rFonts w:ascii="Times New Roman" w:hAnsi="Times New Roman" w:eastAsia="Times New Roman"/>
                              <w:color w:val="494749"/>
                              <w:sz w:val="26"/>
                              <w:szCs w:val="26"/>
                            </w:rPr>
                            <w:fldChar w:fldCharType="end"/>
                          </w:r>
                          <w:r>
                            <w:rPr>
                              <w:rFonts w:ascii="Times New Roman" w:hAnsi="Times New Roman" w:eastAsia="Times New Roman"/>
                              <w:color w:val="494749"/>
                              <w:sz w:val="26"/>
                              <w:szCs w:val="26"/>
                            </w:rPr>
                            <w:t xml:space="preserve"> -</w:t>
                          </w:r>
                          <w:r>
                            <w:rPr>
                              <w:sz w:val="26"/>
                              <w:szCs w:val="26"/>
                            </w:rPr>
                          </w:r>
                          <w:r>
                            <w:rPr>
                              <w:sz w:val="26"/>
                              <w:szCs w:val="26"/>
                            </w:rPr>
                          </w:r>
                        </w:p>
                        <w:p>
                          <w:pPr>
                            <w:pStyle w:val="859"/>
                            <w:pBdr/>
                            <w:spacing/>
                            <w:ind/>
                            <w:rPr/>
                          </w:pPr>
                          <w:r/>
                          <w:r/>
                        </w:p>
                      </w:txbxContent>
                    </wps:txbx>
                    <wps:bodyPr wrap="none" lIns="0" tIns="0" rIns="0" bIns="0" upright="1">
                      <a:spAutoFit/>
                    </wps:bodyPr>
                  </wps:wsp>
                </a:graphicData>
              </a:graphic>
            </wp:anchor>
          </w:drawing>
        </mc:Choice>
        <mc:Fallback>
          <w:pict>
            <v:shape id="shape 3" o:spid="_x0000_s3" o:spt="202" type="#_x0000_t202" style="position:absolute;z-index:-250609660;o:allowoverlap:true;o:allowincell:true;mso-position-horizontal-relative:page;margin-left:478.40pt;mso-position-horizontal:absolute;mso-position-vertical-relative:page;margin-top:752.15pt;mso-position-vertical:absolute;width:32.65pt;height:9.35pt;mso-wrap-distance-left:9.00pt;mso-wrap-distance-top:0.00pt;mso-wrap-distance-right:9.00pt;mso-wrap-distance-bottom:0.00pt;visibility:visible;" filled="f" stroked="f">
              <v:textbox inset="0,0,0,0">
                <w:txbxContent>
                  <w:p>
                    <w:pPr>
                      <w:pStyle w:val="871"/>
                      <w:pBdr/>
                      <w:spacing/>
                      <w:ind/>
                      <w:jc w:val="left"/>
                      <w:rPr>
                        <w:sz w:val="26"/>
                        <w:szCs w:val="26"/>
                      </w:rPr>
                    </w:pPr>
                    <w:r>
                      <w:rPr>
                        <w:rFonts w:ascii="Times New Roman" w:hAnsi="Times New Roman" w:eastAsia="Times New Roman"/>
                        <w:color w:val="494749"/>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494749"/>
                        <w:sz w:val="26"/>
                        <w:szCs w:val="26"/>
                      </w:rPr>
                      <w:t xml:space="preserve">10</w:t>
                    </w:r>
                    <w:r>
                      <w:rPr>
                        <w:rFonts w:ascii="Times New Roman" w:hAnsi="Times New Roman" w:eastAsia="Times New Roman"/>
                        <w:color w:val="494749"/>
                        <w:sz w:val="26"/>
                        <w:szCs w:val="26"/>
                      </w:rPr>
                      <w:fldChar w:fldCharType="end"/>
                    </w:r>
                    <w:r>
                      <w:rPr>
                        <w:rFonts w:ascii="Times New Roman" w:hAnsi="Times New Roman" w:eastAsia="Times New Roman"/>
                        <w:color w:val="494749"/>
                        <w:sz w:val="26"/>
                        <w:szCs w:val="26"/>
                      </w:rPr>
                      <w:t xml:space="preserve"> -</w:t>
                    </w:r>
                    <w:r>
                      <w:rPr>
                        <w:sz w:val="26"/>
                        <w:szCs w:val="26"/>
                      </w:rPr>
                    </w:r>
                    <w:r>
                      <w:rPr>
                        <w:sz w:val="26"/>
                        <w:szCs w:val="26"/>
                      </w:rPr>
                    </w:r>
                  </w:p>
                  <w:p>
                    <w:pPr>
                      <w:pStyle w:val="859"/>
                      <w:pBdr/>
                      <w:spacing/>
                      <w:ind/>
                      <w:rPr/>
                    </w:pPr>
                    <w:r/>
                    <w:r/>
                  </w:p>
                </w:txbxContent>
              </v:textbox>
            </v:shape>
          </w:pict>
        </mc:Fallback>
      </mc:AlternateContent>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9"/>
      <w:pBdr/>
      <w:spacing w:line="1" w:lineRule="exact"/>
      <w:ind/>
      <w:rPr/>
    </w:pPr>
    <w:r>
      <mc:AlternateContent>
        <mc:Choice Requires="wpg">
          <w:drawing>
            <wp:anchor xmlns:wp="http://schemas.openxmlformats.org/drawingml/2006/wordprocessingDrawing" xmlns:wp14="http://schemas.microsoft.com/office/word/2010/wordprocessingDrawing" distT="0" distB="0" distL="114300" distR="114300" simplePos="0" relativeHeight="250609661" behindDoc="1" locked="0" layoutInCell="1" allowOverlap="1">
              <wp:simplePos x="0" y="0"/>
              <wp:positionH relativeFrom="page">
                <wp:posOffset>1196340</wp:posOffset>
              </wp:positionH>
              <wp:positionV relativeFrom="page">
                <wp:posOffset>9530715</wp:posOffset>
              </wp:positionV>
              <wp:extent cx="417830" cy="115570"/>
              <wp:effectExtent l="0" t="0" r="0" b="0"/>
              <wp:wrapNone/>
              <wp:docPr id="5" name="_x0000_s2053"/>
              <wp:cNvGraphicFramePr/>
              <a:graphic xmlns:a="http://schemas.openxmlformats.org/drawingml/2006/main">
                <a:graphicData uri="http://schemas.microsoft.com/office/word/2010/wordprocessingShape">
                  <wps:wsp>
                    <wps:cNvPr id="0" name=""/>
                    <wps:cNvSpPr txBox="1"/>
                    <wps:spPr bwMode="auto">
                      <a:xfrm>
                        <a:off x="0" y="0"/>
                        <a:ext cx="417830" cy="115570"/>
                      </a:xfrm>
                      <a:prstGeom prst="rect">
                        <a:avLst/>
                      </a:prstGeom>
                      <a:noFill/>
                      <a:ln>
                        <a:noFill/>
                      </a:ln>
                    </wps:spPr>
                    <wps:txbx>
                      <w:txbxContent>
                        <w:p>
                          <w:pPr>
                            <w:pStyle w:val="871"/>
                            <w:pBdr/>
                            <w:spacing/>
                            <w:ind/>
                            <w:jc w:val="left"/>
                            <w:rPr>
                              <w:sz w:val="26"/>
                              <w:szCs w:val="26"/>
                            </w:rPr>
                          </w:pPr>
                          <w:r>
                            <w:rPr>
                              <w:rFonts w:ascii="Times New Roman" w:hAnsi="Times New Roman" w:eastAsia="Times New Roman"/>
                              <w:color w:val="727071"/>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w:t>
                          </w:r>
                          <w:r>
                            <w:rPr>
                              <w:rFonts w:ascii="Times New Roman" w:hAnsi="Times New Roman" w:eastAsia="Times New Roman"/>
                              <w:color w:val="353335"/>
                              <w:sz w:val="26"/>
                              <w:szCs w:val="26"/>
                            </w:rPr>
                            <w:fldChar w:fldCharType="end"/>
                          </w:r>
                          <w:r>
                            <w:rPr>
                              <w:rFonts w:ascii="Times New Roman" w:hAnsi="Times New Roman" w:eastAsia="Times New Roman"/>
                              <w:color w:val="353335"/>
                              <w:sz w:val="26"/>
                              <w:szCs w:val="26"/>
                            </w:rPr>
                            <w:t xml:space="preserve"> -</w:t>
                          </w:r>
                          <w:r>
                            <w:rPr>
                              <w:sz w:val="26"/>
                              <w:szCs w:val="26"/>
                            </w:rPr>
                          </w:r>
                          <w:r>
                            <w:rPr>
                              <w:sz w:val="26"/>
                              <w:szCs w:val="26"/>
                            </w:rPr>
                          </w:r>
                        </w:p>
                        <w:p>
                          <w:pPr>
                            <w:pStyle w:val="859"/>
                            <w:pBdr/>
                            <w:spacing/>
                            <w:ind/>
                            <w:rPr/>
                          </w:pPr>
                          <w:r/>
                          <w:r/>
                        </w:p>
                      </w:txbxContent>
                    </wps:txbx>
                    <wps:bodyPr wrap="none" lIns="0" tIns="0" rIns="0" bIns="0" upright="1">
                      <a:spAutoFit/>
                    </wps:bodyPr>
                  </wps:wsp>
                </a:graphicData>
              </a:graphic>
            </wp:anchor>
          </w:drawing>
        </mc:Choice>
        <mc:Fallback>
          <w:pict>
            <v:shape id="shape 4" o:spid="_x0000_s4" o:spt="202" type="#_x0000_t202" style="position:absolute;z-index:-250609661;o:allowoverlap:true;o:allowincell:true;mso-position-horizontal-relative:page;margin-left:94.20pt;mso-position-horizontal:absolute;mso-position-vertical-relative:page;margin-top:750.45pt;mso-position-vertical:absolute;width:32.90pt;height:9.10pt;mso-wrap-distance-left:9.00pt;mso-wrap-distance-top:0.00pt;mso-wrap-distance-right:9.00pt;mso-wrap-distance-bottom:0.00pt;visibility:visible;" filled="f" stroked="f">
              <v:textbox inset="0,0,0,0">
                <w:txbxContent>
                  <w:p>
                    <w:pPr>
                      <w:pStyle w:val="871"/>
                      <w:pBdr/>
                      <w:spacing/>
                      <w:ind/>
                      <w:jc w:val="left"/>
                      <w:rPr>
                        <w:sz w:val="26"/>
                        <w:szCs w:val="26"/>
                      </w:rPr>
                    </w:pPr>
                    <w:r>
                      <w:rPr>
                        <w:rFonts w:ascii="Times New Roman" w:hAnsi="Times New Roman" w:eastAsia="Times New Roman"/>
                        <w:color w:val="727071"/>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w:t>
                    </w:r>
                    <w:r>
                      <w:rPr>
                        <w:rFonts w:ascii="Times New Roman" w:hAnsi="Times New Roman" w:eastAsia="Times New Roman"/>
                        <w:color w:val="353335"/>
                        <w:sz w:val="26"/>
                        <w:szCs w:val="26"/>
                      </w:rPr>
                      <w:fldChar w:fldCharType="end"/>
                    </w:r>
                    <w:r>
                      <w:rPr>
                        <w:rFonts w:ascii="Times New Roman" w:hAnsi="Times New Roman" w:eastAsia="Times New Roman"/>
                        <w:color w:val="353335"/>
                        <w:sz w:val="26"/>
                        <w:szCs w:val="26"/>
                      </w:rPr>
                      <w:t xml:space="preserve"> -</w:t>
                    </w:r>
                    <w:r>
                      <w:rPr>
                        <w:sz w:val="26"/>
                        <w:szCs w:val="26"/>
                      </w:rPr>
                    </w:r>
                    <w:r>
                      <w:rPr>
                        <w:sz w:val="26"/>
                        <w:szCs w:val="26"/>
                      </w:rPr>
                    </w:r>
                  </w:p>
                  <w:p>
                    <w:pPr>
                      <w:pStyle w:val="859"/>
                      <w:pBdr/>
                      <w:spacing/>
                      <w:ind/>
                      <w:rPr/>
                    </w:pPr>
                    <w:r/>
                    <w:r/>
                  </w:p>
                </w:txbxContent>
              </v:textbox>
            </v:shape>
          </w:pict>
        </mc:Fallback>
      </mc:AlternateContent>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framePr w:hAnchor="margin" w:vAnchor="text" w:wrap="around" w:xAlign="center" w:y="1"/>
      <w:pBdr/>
      <w:tabs>
        <w:tab w:val="center" w:leader="none" w:pos="4153"/>
        <w:tab w:val="right" w:leader="none" w:pos="8306"/>
      </w:tabs>
      <w:spacing/>
      <w:ind/>
      <w:rPr>
        <w:rStyle w:val="867"/>
      </w:rPr>
    </w:pPr>
    <w:r>
      <w:fldChar w:fldCharType="begin"/>
    </w:r>
    <w:r>
      <w:rPr>
        <w:rStyle w:val="867"/>
      </w:rPr>
      <w:instrText xml:space="preserve">PAGE  </w:instrText>
    </w:r>
    <w:r>
      <w:fldChar w:fldCharType="separate"/>
    </w:r>
    <w:r>
      <w:rPr>
        <w:rStyle w:val="867"/>
      </w:rPr>
      <w:t xml:space="preserve">3</w:t>
    </w:r>
    <w:r>
      <w:fldChar w:fldCharType="end"/>
    </w:r>
    <w:r>
      <w:rPr>
        <w:rStyle w:val="867"/>
      </w:rPr>
    </w:r>
    <w:r>
      <w:rPr>
        <w:rStyle w:val="867"/>
      </w:rPr>
    </w:r>
  </w:p>
  <w:p>
    <w:pPr>
      <w:pStyle w:val="864"/>
      <w:pBdr/>
      <w:tabs>
        <w:tab w:val="center" w:leader="none" w:pos="4153"/>
        <w:tab w:val="right" w:leader="none" w:pos="8306"/>
      </w:tabs>
      <w:spacing/>
      <w:ind/>
      <w:rPr/>
    </w:pPr>
    <w:r/>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framePr w:hAnchor="margin" w:vAnchor="text" w:wrap="around" w:xAlign="center" w:y="1"/>
      <w:pBdr/>
      <w:tabs>
        <w:tab w:val="center" w:leader="none" w:pos="4153"/>
        <w:tab w:val="right" w:leader="none" w:pos="8306"/>
      </w:tabs>
      <w:spacing/>
      <w:ind/>
      <w:rPr>
        <w:rStyle w:val="867"/>
      </w:rPr>
    </w:pPr>
    <w:r>
      <w:fldChar w:fldCharType="begin"/>
    </w:r>
    <w:r>
      <w:rPr>
        <w:rStyle w:val="867"/>
      </w:rPr>
      <w:instrText xml:space="preserve">PAGE  </w:instrText>
    </w:r>
    <w:r>
      <w:fldChar w:fldCharType="end"/>
    </w:r>
    <w:r>
      <w:rPr>
        <w:rStyle w:val="867"/>
      </w:rPr>
    </w:r>
    <w:r>
      <w:rPr>
        <w:rStyle w:val="867"/>
      </w:rPr>
    </w:r>
  </w:p>
  <w:p>
    <w:pPr>
      <w:pStyle w:val="864"/>
      <w:pBdr/>
      <w:tabs>
        <w:tab w:val="center" w:leader="none" w:pos="4153"/>
        <w:tab w:val="right" w:leader="none" w:pos="8306"/>
      </w:tabs>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pPr>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space"/>
    </w:lvl>
    <w:lvl w:ilvl="2">
      <w:isLgl w:val="false"/>
      <w:lvlJc w:val="left"/>
      <w:lvlText w:val="§"/>
      <w:numFmt w:val="bullet"/>
      <w:pPr>
        <w:pBdr/>
        <w:spacing/>
        <w:ind w:hanging="360" w:left="2160"/>
      </w:pPr>
      <w:rPr>
        <w:rFonts w:hint="default" w:ascii="Wingdings" w:hAnsi="Wingdings" w:eastAsia="Wingdings" w:cs="Wingdings"/>
      </w:rPr>
      <w:start w:val="1"/>
      <w:suff w:val="space"/>
    </w:lvl>
    <w:lvl w:ilvl="3">
      <w:isLgl w:val="false"/>
      <w:lvlJc w:val="left"/>
      <w:lvlText w:val="·"/>
      <w:numFmt w:val="bullet"/>
      <w:pPr>
        <w:pBdr/>
        <w:spacing/>
        <w:ind w:hanging="360" w:left="2880"/>
      </w:pPr>
      <w:rPr>
        <w:rFonts w:hint="default" w:ascii="Symbol" w:hAnsi="Symbol" w:eastAsia="Symbol" w:cs="Symbol"/>
      </w:rPr>
      <w:start w:val="1"/>
      <w:suff w:val="space"/>
    </w:lvl>
    <w:lvl w:ilvl="4">
      <w:isLgl w:val="false"/>
      <w:lvlJc w:val="left"/>
      <w:lvlText w:val="o"/>
      <w:numFmt w:val="bullet"/>
      <w:pPr>
        <w:pBdr/>
        <w:spacing/>
        <w:ind w:hanging="360" w:left="3600"/>
      </w:pPr>
      <w:rPr>
        <w:rFonts w:hint="default" w:ascii="Courier New" w:hAnsi="Courier New" w:eastAsia="Courier New" w:cs="Courier New"/>
      </w:rPr>
      <w:start w:val="1"/>
      <w:suff w:val="space"/>
    </w:lvl>
    <w:lvl w:ilvl="5">
      <w:isLgl w:val="false"/>
      <w:lvlJc w:val="left"/>
      <w:lvlText w:val="§"/>
      <w:numFmt w:val="bullet"/>
      <w:pPr>
        <w:pBdr/>
        <w:spacing/>
        <w:ind w:hanging="360" w:left="4320"/>
      </w:pPr>
      <w:rPr>
        <w:rFonts w:hint="default" w:ascii="Wingdings" w:hAnsi="Wingdings" w:eastAsia="Wingdings" w:cs="Wingdings"/>
      </w:rPr>
      <w:start w:val="1"/>
      <w:suff w:val="space"/>
    </w:lvl>
    <w:lvl w:ilvl="6">
      <w:isLgl w:val="false"/>
      <w:lvlJc w:val="left"/>
      <w:lvlText w:val="·"/>
      <w:numFmt w:val="bullet"/>
      <w:pPr>
        <w:pBdr/>
        <w:spacing/>
        <w:ind w:hanging="360" w:left="5040"/>
      </w:pPr>
      <w:rPr>
        <w:rFonts w:hint="default" w:ascii="Symbol" w:hAnsi="Symbol" w:eastAsia="Symbol" w:cs="Symbol"/>
      </w:rPr>
      <w:start w:val="1"/>
      <w:suff w:val="space"/>
    </w:lvl>
    <w:lvl w:ilvl="7">
      <w:isLgl w:val="false"/>
      <w:lvlJc w:val="left"/>
      <w:lvlText w:val="o"/>
      <w:numFmt w:val="bullet"/>
      <w:pPr>
        <w:pBdr/>
        <w:spacing/>
        <w:ind w:hanging="360" w:left="5760"/>
      </w:pPr>
      <w:rPr>
        <w:rFonts w:hint="default" w:ascii="Courier New" w:hAnsi="Courier New" w:eastAsia="Courier New" w:cs="Courier New"/>
      </w:rPr>
      <w:start w:val="1"/>
      <w:suff w:val="space"/>
    </w:lvl>
    <w:lvl w:ilvl="8">
      <w:isLgl w:val="false"/>
      <w:lvlJc w:val="left"/>
      <w:lvlText w:val="§"/>
      <w:numFmt w:val="bullet"/>
      <w:pPr>
        <w:pBdr/>
        <w:spacing/>
        <w:ind w:hanging="360" w:left="6480"/>
      </w:pPr>
      <w:rPr>
        <w:rFonts w:hint="default" w:ascii="Wingdings" w:hAnsi="Wingdings" w:eastAsia="Wingdings" w:cs="Wingdings"/>
      </w:rPr>
      <w:start w:val="1"/>
      <w:suff w:val="space"/>
    </w:lvl>
  </w:abstractNum>
  <w:abstractNum w:abstractNumId="1">
    <w:lvl w:ilvl="0">
      <w:isLgl w:val="false"/>
      <w:lvlJc w:val="left"/>
      <w:lvlText w:val="%1、"/>
      <w:numFmt w:val="japaneseCounting"/>
      <w:pPr>
        <w:pBdr/>
        <w:tabs>
          <w:tab w:val="num" w:leader="none" w:pos="720"/>
        </w:tabs>
        <w:spacing/>
        <w:ind w:hanging="720" w:left="720"/>
      </w:pPr>
      <w:rPr/>
      <w:start w:val="1"/>
      <w:suff w:val="space"/>
    </w:lvl>
    <w:lvl w:ilvl="1">
      <w:isLgl w:val="false"/>
      <w:lvlJc w:val="left"/>
      <w:lvlText w:val="%2、"/>
      <w:numFmt w:val="japaneseCounting"/>
      <w:pPr>
        <w:pBdr/>
        <w:tabs>
          <w:tab w:val="num" w:leader="none" w:pos="1140"/>
        </w:tabs>
        <w:spacing/>
        <w:ind w:hanging="720" w:left="1140"/>
      </w:pPr>
      <w:rPr/>
      <w:start w:val="2"/>
      <w:suff w:val="space"/>
    </w:lvl>
    <w:lvl w:ilvl="2">
      <w:isLgl w:val="false"/>
      <w:lvlJc w:val="right"/>
      <w:lvlText w:val="%3."/>
      <w:numFmt w:val="lowerRoman"/>
      <w:pPr>
        <w:pBdr/>
        <w:tabs>
          <w:tab w:val="num" w:leader="none" w:pos="1260"/>
        </w:tabs>
        <w:spacing/>
        <w:ind w:hanging="420" w:left="1260"/>
      </w:pPr>
      <w:rPr/>
      <w:start w:val="1"/>
      <w:suff w:val="space"/>
    </w:lvl>
    <w:lvl w:ilvl="3">
      <w:isLgl w:val="false"/>
      <w:lvlJc w:val="left"/>
      <w:lvlText w:val="%4."/>
      <w:numFmt w:val="decimal"/>
      <w:pPr>
        <w:pBdr/>
        <w:tabs>
          <w:tab w:val="num" w:leader="none" w:pos="1680"/>
        </w:tabs>
        <w:spacing/>
        <w:ind w:hanging="420" w:left="1680"/>
      </w:pPr>
      <w:rPr/>
      <w:start w:val="1"/>
      <w:suff w:val="space"/>
    </w:lvl>
    <w:lvl w:ilvl="4">
      <w:isLgl w:val="false"/>
      <w:lvlJc w:val="left"/>
      <w:lvlText w:val="%5)"/>
      <w:numFmt w:val="lowerLetter"/>
      <w:pPr>
        <w:pBdr/>
        <w:tabs>
          <w:tab w:val="num" w:leader="none" w:pos="2100"/>
        </w:tabs>
        <w:spacing/>
        <w:ind w:hanging="420" w:left="2100"/>
      </w:pPr>
      <w:rPr/>
      <w:start w:val="1"/>
      <w:suff w:val="space"/>
    </w:lvl>
    <w:lvl w:ilvl="5">
      <w:isLgl w:val="false"/>
      <w:lvlJc w:val="right"/>
      <w:lvlText w:val="%6."/>
      <w:numFmt w:val="lowerRoman"/>
      <w:pPr>
        <w:pBdr/>
        <w:tabs>
          <w:tab w:val="num" w:leader="none" w:pos="2520"/>
        </w:tabs>
        <w:spacing/>
        <w:ind w:hanging="420" w:left="2520"/>
      </w:pPr>
      <w:rPr/>
      <w:start w:val="1"/>
      <w:suff w:val="space"/>
    </w:lvl>
    <w:lvl w:ilvl="6">
      <w:isLgl w:val="false"/>
      <w:lvlJc w:val="left"/>
      <w:lvlText w:val="%7."/>
      <w:numFmt w:val="decimal"/>
      <w:pPr>
        <w:pBdr/>
        <w:tabs>
          <w:tab w:val="num" w:leader="none" w:pos="2940"/>
        </w:tabs>
        <w:spacing/>
        <w:ind w:hanging="420" w:left="2940"/>
      </w:pPr>
      <w:rPr/>
      <w:start w:val="1"/>
      <w:suff w:val="space"/>
    </w:lvl>
    <w:lvl w:ilvl="7">
      <w:isLgl w:val="false"/>
      <w:lvlJc w:val="left"/>
      <w:lvlText w:val="%8)"/>
      <w:numFmt w:val="lowerLetter"/>
      <w:pPr>
        <w:pBdr/>
        <w:tabs>
          <w:tab w:val="num" w:leader="none" w:pos="3360"/>
        </w:tabs>
        <w:spacing/>
        <w:ind w:hanging="420" w:left="3360"/>
      </w:pPr>
      <w:rPr/>
      <w:start w:val="1"/>
      <w:suff w:val="space"/>
    </w:lvl>
    <w:lvl w:ilvl="8">
      <w:isLgl w:val="false"/>
      <w:lvlJc w:val="right"/>
      <w:lvlText w:val="%9."/>
      <w:numFmt w:val="lowerRoman"/>
      <w:pPr>
        <w:pBdr/>
        <w:tabs>
          <w:tab w:val="num" w:leader="none" w:pos="3780"/>
        </w:tabs>
        <w:spacing/>
        <w:ind w:hanging="420" w:left="3780"/>
      </w:pPr>
      <w:rPr/>
      <w:start w:val="1"/>
      <w:suff w:val="space"/>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4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balanceSingleByteDoubleByteWidth w:val="true"/>
    <w:ulTrailSpace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宋体" w:cs="Times New Roman"/>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859"/>
    <w:next w:val="859"/>
    <w:link w:val="14"/>
    <w:uiPriority w:val="9"/>
    <w:qFormat/>
    <w:pPr>
      <w:keepNext w:val="true"/>
      <w:keepLines w:val="true"/>
      <w:pBdr/>
      <w:spacing w:after="200" w:before="480"/>
      <w:ind/>
      <w:outlineLvl w:val="0"/>
    </w:pPr>
    <w:rPr>
      <w:rFonts w:ascii="等线" w:hAnsi="等线" w:eastAsia="等线" w:cs="等线"/>
      <w:sz w:val="40"/>
      <w:szCs w:val="40"/>
    </w:rPr>
  </w:style>
  <w:style w:type="character" w:styleId="14">
    <w:name w:val="Heading 1 Char"/>
    <w:basedOn w:val="11"/>
    <w:link w:val="13"/>
    <w:uiPriority w:val="9"/>
    <w:pPr>
      <w:pBdr/>
      <w:spacing/>
      <w:ind/>
    </w:pPr>
    <w:rPr>
      <w:rFonts w:ascii="等线" w:hAnsi="等线" w:eastAsia="等线" w:cs="等线"/>
      <w:sz w:val="40"/>
      <w:szCs w:val="40"/>
    </w:rPr>
  </w:style>
  <w:style w:type="paragraph" w:styleId="15">
    <w:name w:val="Heading 2"/>
    <w:basedOn w:val="859"/>
    <w:next w:val="859"/>
    <w:link w:val="16"/>
    <w:uiPriority w:val="9"/>
    <w:unhideWhenUsed/>
    <w:qFormat/>
    <w:pPr>
      <w:keepNext w:val="true"/>
      <w:keepLines w:val="true"/>
      <w:pBdr/>
      <w:spacing w:after="200" w:before="360"/>
      <w:ind/>
      <w:outlineLvl w:val="1"/>
    </w:pPr>
    <w:rPr>
      <w:rFonts w:ascii="等线" w:hAnsi="等线" w:eastAsia="等线" w:cs="等线"/>
      <w:sz w:val="34"/>
    </w:rPr>
  </w:style>
  <w:style w:type="character" w:styleId="16">
    <w:name w:val="Heading 2 Char"/>
    <w:basedOn w:val="11"/>
    <w:link w:val="15"/>
    <w:uiPriority w:val="9"/>
    <w:pPr>
      <w:pBdr/>
      <w:spacing/>
      <w:ind/>
    </w:pPr>
    <w:rPr>
      <w:rFonts w:ascii="等线" w:hAnsi="等线" w:eastAsia="等线" w:cs="等线"/>
      <w:sz w:val="34"/>
    </w:rPr>
  </w:style>
  <w:style w:type="paragraph" w:styleId="17">
    <w:name w:val="Heading 3"/>
    <w:basedOn w:val="859"/>
    <w:next w:val="859"/>
    <w:link w:val="18"/>
    <w:uiPriority w:val="9"/>
    <w:unhideWhenUsed/>
    <w:qFormat/>
    <w:pPr>
      <w:keepNext w:val="true"/>
      <w:keepLines w:val="true"/>
      <w:pBdr/>
      <w:spacing w:after="200" w:before="320"/>
      <w:ind/>
      <w:outlineLvl w:val="2"/>
    </w:pPr>
    <w:rPr>
      <w:rFonts w:ascii="等线" w:hAnsi="等线" w:eastAsia="等线" w:cs="等线"/>
      <w:sz w:val="30"/>
      <w:szCs w:val="30"/>
    </w:rPr>
  </w:style>
  <w:style w:type="character" w:styleId="18">
    <w:name w:val="Heading 3 Char"/>
    <w:basedOn w:val="11"/>
    <w:link w:val="17"/>
    <w:uiPriority w:val="9"/>
    <w:pPr>
      <w:pBdr/>
      <w:spacing/>
      <w:ind/>
    </w:pPr>
    <w:rPr>
      <w:rFonts w:ascii="等线" w:hAnsi="等线" w:eastAsia="等线" w:cs="等线"/>
      <w:sz w:val="30"/>
      <w:szCs w:val="30"/>
    </w:rPr>
  </w:style>
  <w:style w:type="paragraph" w:styleId="19">
    <w:name w:val="Heading 4"/>
    <w:basedOn w:val="859"/>
    <w:next w:val="859"/>
    <w:link w:val="20"/>
    <w:uiPriority w:val="9"/>
    <w:unhideWhenUsed/>
    <w:qFormat/>
    <w:pPr>
      <w:keepNext w:val="true"/>
      <w:keepLines w:val="true"/>
      <w:pBdr/>
      <w:spacing w:after="200" w:before="320"/>
      <w:ind/>
      <w:outlineLvl w:val="3"/>
    </w:pPr>
    <w:rPr>
      <w:rFonts w:ascii="等线" w:hAnsi="等线" w:eastAsia="等线" w:cs="等线"/>
      <w:b/>
      <w:bCs/>
      <w:sz w:val="26"/>
      <w:szCs w:val="26"/>
    </w:rPr>
  </w:style>
  <w:style w:type="character" w:styleId="20">
    <w:name w:val="Heading 4 Char"/>
    <w:basedOn w:val="11"/>
    <w:link w:val="19"/>
    <w:uiPriority w:val="9"/>
    <w:pPr>
      <w:pBdr/>
      <w:spacing/>
      <w:ind/>
    </w:pPr>
    <w:rPr>
      <w:rFonts w:ascii="等线" w:hAnsi="等线" w:eastAsia="等线" w:cs="等线"/>
      <w:b/>
      <w:bCs/>
      <w:sz w:val="26"/>
      <w:szCs w:val="26"/>
    </w:rPr>
  </w:style>
  <w:style w:type="paragraph" w:styleId="21">
    <w:name w:val="Heading 5"/>
    <w:basedOn w:val="859"/>
    <w:next w:val="859"/>
    <w:link w:val="22"/>
    <w:uiPriority w:val="9"/>
    <w:unhideWhenUsed/>
    <w:qFormat/>
    <w:pPr>
      <w:keepNext w:val="true"/>
      <w:keepLines w:val="true"/>
      <w:pBdr/>
      <w:spacing w:after="200" w:before="320"/>
      <w:ind/>
      <w:outlineLvl w:val="4"/>
    </w:pPr>
    <w:rPr>
      <w:rFonts w:ascii="等线" w:hAnsi="等线" w:eastAsia="等线" w:cs="等线"/>
      <w:b/>
      <w:bCs/>
      <w:sz w:val="24"/>
      <w:szCs w:val="24"/>
    </w:rPr>
  </w:style>
  <w:style w:type="character" w:styleId="22">
    <w:name w:val="Heading 5 Char"/>
    <w:basedOn w:val="11"/>
    <w:link w:val="21"/>
    <w:uiPriority w:val="9"/>
    <w:pPr>
      <w:pBdr/>
      <w:spacing/>
      <w:ind/>
    </w:pPr>
    <w:rPr>
      <w:rFonts w:ascii="等线" w:hAnsi="等线" w:eastAsia="等线" w:cs="等线"/>
      <w:b/>
      <w:bCs/>
      <w:sz w:val="24"/>
      <w:szCs w:val="24"/>
    </w:rPr>
  </w:style>
  <w:style w:type="paragraph" w:styleId="23">
    <w:name w:val="Heading 6"/>
    <w:basedOn w:val="859"/>
    <w:next w:val="859"/>
    <w:link w:val="24"/>
    <w:uiPriority w:val="9"/>
    <w:unhideWhenUsed/>
    <w:qFormat/>
    <w:pPr>
      <w:keepNext w:val="true"/>
      <w:keepLines w:val="true"/>
      <w:pBdr/>
      <w:spacing w:after="200" w:before="320"/>
      <w:ind/>
      <w:outlineLvl w:val="5"/>
    </w:pPr>
    <w:rPr>
      <w:rFonts w:ascii="等线" w:hAnsi="等线" w:eastAsia="等线" w:cs="等线"/>
      <w:b/>
      <w:bCs/>
      <w:sz w:val="22"/>
      <w:szCs w:val="22"/>
    </w:rPr>
  </w:style>
  <w:style w:type="character" w:styleId="24">
    <w:name w:val="Heading 6 Char"/>
    <w:basedOn w:val="11"/>
    <w:link w:val="23"/>
    <w:uiPriority w:val="9"/>
    <w:pPr>
      <w:pBdr/>
      <w:spacing/>
      <w:ind/>
    </w:pPr>
    <w:rPr>
      <w:rFonts w:ascii="等线" w:hAnsi="等线" w:eastAsia="等线" w:cs="等线"/>
      <w:b/>
      <w:bCs/>
      <w:sz w:val="22"/>
      <w:szCs w:val="22"/>
    </w:rPr>
  </w:style>
  <w:style w:type="paragraph" w:styleId="25">
    <w:name w:val="Heading 7"/>
    <w:basedOn w:val="859"/>
    <w:next w:val="859"/>
    <w:link w:val="26"/>
    <w:uiPriority w:val="9"/>
    <w:unhideWhenUsed/>
    <w:qFormat/>
    <w:pPr>
      <w:keepNext w:val="true"/>
      <w:keepLines w:val="true"/>
      <w:pBdr/>
      <w:spacing w:after="200" w:before="320"/>
      <w:ind/>
      <w:outlineLvl w:val="6"/>
    </w:pPr>
    <w:rPr>
      <w:rFonts w:ascii="等线" w:hAnsi="等线" w:eastAsia="等线" w:cs="等线"/>
      <w:b/>
      <w:bCs/>
      <w:i/>
      <w:iCs/>
      <w:sz w:val="22"/>
      <w:szCs w:val="22"/>
    </w:rPr>
  </w:style>
  <w:style w:type="character" w:styleId="26">
    <w:name w:val="Heading 7 Char"/>
    <w:basedOn w:val="11"/>
    <w:link w:val="25"/>
    <w:uiPriority w:val="9"/>
    <w:pPr>
      <w:pBdr/>
      <w:spacing/>
      <w:ind/>
    </w:pPr>
    <w:rPr>
      <w:rFonts w:ascii="等线" w:hAnsi="等线" w:eastAsia="等线" w:cs="等线"/>
      <w:b/>
      <w:bCs/>
      <w:i/>
      <w:iCs/>
      <w:sz w:val="22"/>
      <w:szCs w:val="22"/>
    </w:rPr>
  </w:style>
  <w:style w:type="paragraph" w:styleId="27">
    <w:name w:val="Heading 8"/>
    <w:basedOn w:val="859"/>
    <w:next w:val="859"/>
    <w:link w:val="28"/>
    <w:uiPriority w:val="9"/>
    <w:unhideWhenUsed/>
    <w:qFormat/>
    <w:pPr>
      <w:keepNext w:val="true"/>
      <w:keepLines w:val="true"/>
      <w:pBdr/>
      <w:spacing w:after="200" w:before="320"/>
      <w:ind/>
      <w:outlineLvl w:val="7"/>
    </w:pPr>
    <w:rPr>
      <w:rFonts w:ascii="等线" w:hAnsi="等线" w:eastAsia="等线" w:cs="等线"/>
      <w:i/>
      <w:iCs/>
      <w:sz w:val="22"/>
      <w:szCs w:val="22"/>
    </w:rPr>
  </w:style>
  <w:style w:type="character" w:styleId="28">
    <w:name w:val="Heading 8 Char"/>
    <w:basedOn w:val="11"/>
    <w:link w:val="27"/>
    <w:uiPriority w:val="9"/>
    <w:pPr>
      <w:pBdr/>
      <w:spacing/>
      <w:ind/>
    </w:pPr>
    <w:rPr>
      <w:rFonts w:ascii="等线" w:hAnsi="等线" w:eastAsia="等线" w:cs="等线"/>
      <w:i/>
      <w:iCs/>
      <w:sz w:val="22"/>
      <w:szCs w:val="22"/>
    </w:rPr>
  </w:style>
  <w:style w:type="paragraph" w:styleId="29">
    <w:name w:val="Heading 9"/>
    <w:basedOn w:val="859"/>
    <w:next w:val="859"/>
    <w:link w:val="30"/>
    <w:uiPriority w:val="9"/>
    <w:unhideWhenUsed/>
    <w:qFormat/>
    <w:pPr>
      <w:keepNext w:val="true"/>
      <w:keepLines w:val="true"/>
      <w:pBdr/>
      <w:spacing w:after="200" w:before="320"/>
      <w:ind/>
      <w:outlineLvl w:val="8"/>
    </w:pPr>
    <w:rPr>
      <w:rFonts w:ascii="等线" w:hAnsi="等线" w:eastAsia="等线" w:cs="等线"/>
      <w:i/>
      <w:iCs/>
      <w:sz w:val="21"/>
      <w:szCs w:val="21"/>
    </w:rPr>
  </w:style>
  <w:style w:type="character" w:styleId="30">
    <w:name w:val="Heading 9 Char"/>
    <w:basedOn w:val="11"/>
    <w:link w:val="29"/>
    <w:uiPriority w:val="9"/>
    <w:pPr>
      <w:pBdr/>
      <w:spacing/>
      <w:ind/>
    </w:pPr>
    <w:rPr>
      <w:rFonts w:ascii="等线" w:hAnsi="等线" w:eastAsia="等线" w:cs="等线"/>
      <w:i/>
      <w:iCs/>
      <w:sz w:val="21"/>
      <w:szCs w:val="21"/>
    </w:rPr>
  </w:style>
  <w:style w:type="paragraph" w:styleId="31">
    <w:name w:val="List Paragraph"/>
    <w:basedOn w:val="859"/>
    <w:uiPriority w:val="34"/>
    <w:qFormat/>
    <w:pPr>
      <w:pBdr/>
      <w:spacing/>
      <w:ind w:left="720"/>
      <w:contextualSpacing w:val="true"/>
    </w:pPr>
  </w:style>
  <w:style w:type="paragraph" w:styleId="33">
    <w:name w:val="No Spacing"/>
    <w:uiPriority w:val="1"/>
    <w:qFormat/>
    <w:pPr>
      <w:pBdr/>
      <w:spacing w:after="0" w:before="0" w:line="240" w:lineRule="auto"/>
      <w:ind/>
    </w:pPr>
  </w:style>
  <w:style w:type="paragraph" w:styleId="34">
    <w:name w:val="Title"/>
    <w:basedOn w:val="859"/>
    <w:next w:val="859"/>
    <w:link w:val="35"/>
    <w:uiPriority w:val="10"/>
    <w:qFormat/>
    <w:pPr>
      <w:pBdr/>
      <w:spacing w:after="200" w:before="300"/>
      <w:ind/>
      <w:contextualSpacing w:val="true"/>
    </w:pPr>
    <w:rPr>
      <w:sz w:val="48"/>
      <w:szCs w:val="48"/>
    </w:rPr>
  </w:style>
  <w:style w:type="character" w:styleId="35">
    <w:name w:val="Title Char"/>
    <w:basedOn w:val="11"/>
    <w:link w:val="34"/>
    <w:uiPriority w:val="10"/>
    <w:pPr>
      <w:pBdr/>
      <w:spacing/>
      <w:ind/>
    </w:pPr>
    <w:rPr>
      <w:sz w:val="48"/>
      <w:szCs w:val="48"/>
    </w:rPr>
  </w:style>
  <w:style w:type="paragraph" w:styleId="36">
    <w:name w:val="Subtitle"/>
    <w:basedOn w:val="859"/>
    <w:next w:val="859"/>
    <w:link w:val="37"/>
    <w:uiPriority w:val="11"/>
    <w:qFormat/>
    <w:pPr>
      <w:pBdr/>
      <w:spacing w:after="200" w:before="200"/>
      <w:ind/>
    </w:pPr>
    <w:rPr>
      <w:sz w:val="24"/>
      <w:szCs w:val="24"/>
    </w:rPr>
  </w:style>
  <w:style w:type="character" w:styleId="37">
    <w:name w:val="Subtitle Char"/>
    <w:basedOn w:val="11"/>
    <w:link w:val="36"/>
    <w:uiPriority w:val="11"/>
    <w:pPr>
      <w:pBdr/>
      <w:spacing/>
      <w:ind/>
    </w:pPr>
    <w:rPr>
      <w:sz w:val="24"/>
      <w:szCs w:val="24"/>
    </w:rPr>
  </w:style>
  <w:style w:type="paragraph" w:styleId="38">
    <w:name w:val="Quote"/>
    <w:basedOn w:val="859"/>
    <w:next w:val="859"/>
    <w:link w:val="39"/>
    <w:uiPriority w:val="29"/>
    <w:qFormat/>
    <w:pPr>
      <w:pBdr/>
      <w:spacing/>
      <w:ind w:right="720" w:left="720"/>
    </w:pPr>
    <w:rPr>
      <w:i/>
    </w:rPr>
  </w:style>
  <w:style w:type="character" w:styleId="39">
    <w:name w:val="Quote Char"/>
    <w:link w:val="38"/>
    <w:uiPriority w:val="29"/>
    <w:pPr>
      <w:pBdr/>
      <w:spacing/>
      <w:ind/>
    </w:pPr>
    <w:rPr>
      <w:i/>
    </w:rPr>
  </w:style>
  <w:style w:type="paragraph" w:styleId="40">
    <w:name w:val="Intense Quote"/>
    <w:basedOn w:val="859"/>
    <w:next w:val="859"/>
    <w:link w:val="41"/>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41">
    <w:name w:val="Intense Quote Char"/>
    <w:link w:val="40"/>
    <w:uiPriority w:val="30"/>
    <w:pPr>
      <w:pBdr/>
      <w:spacing/>
      <w:ind/>
    </w:pPr>
    <w:rPr>
      <w:i/>
    </w:rPr>
  </w:style>
  <w:style w:type="paragraph" w:styleId="42">
    <w:name w:val="Header"/>
    <w:basedOn w:val="859"/>
    <w:link w:val="43"/>
    <w:uiPriority w:val="99"/>
    <w:unhideWhenUsed/>
    <w:pPr>
      <w:pBdr/>
      <w:tabs>
        <w:tab w:val="center" w:leader="none" w:pos="7143"/>
        <w:tab w:val="right" w:leader="none" w:pos="14287"/>
      </w:tabs>
      <w:spacing w:after="0" w:line="240" w:lineRule="auto"/>
      <w:ind/>
    </w:pPr>
  </w:style>
  <w:style w:type="character" w:styleId="43">
    <w:name w:val="Header Char"/>
    <w:basedOn w:val="11"/>
    <w:link w:val="42"/>
    <w:uiPriority w:val="99"/>
    <w:pPr>
      <w:pBdr/>
      <w:spacing/>
      <w:ind/>
    </w:pPr>
  </w:style>
  <w:style w:type="paragraph" w:styleId="44">
    <w:name w:val="Footer"/>
    <w:basedOn w:val="859"/>
    <w:link w:val="47"/>
    <w:uiPriority w:val="99"/>
    <w:unhideWhenUsed/>
    <w:pPr>
      <w:pBdr/>
      <w:tabs>
        <w:tab w:val="center" w:leader="none" w:pos="7143"/>
        <w:tab w:val="right" w:leader="none" w:pos="14287"/>
      </w:tabs>
      <w:spacing w:after="0" w:line="240" w:lineRule="auto"/>
      <w:ind/>
    </w:pPr>
  </w:style>
  <w:style w:type="character" w:styleId="45">
    <w:name w:val="Footer Char"/>
    <w:basedOn w:val="11"/>
    <w:link w:val="44"/>
    <w:uiPriority w:val="99"/>
    <w:pPr>
      <w:pBdr/>
      <w:spacing/>
      <w:ind/>
    </w:pPr>
  </w:style>
  <w:style w:type="paragraph" w:styleId="46">
    <w:name w:val="Caption"/>
    <w:basedOn w:val="859"/>
    <w:next w:val="859"/>
    <w:uiPriority w:val="35"/>
    <w:semiHidden/>
    <w:unhideWhenUsed/>
    <w:qFormat/>
    <w:pPr>
      <w:pBdr/>
      <w:spacing w:line="276" w:lineRule="auto"/>
      <w:ind/>
    </w:pPr>
    <w:rPr>
      <w:b/>
      <w:bCs/>
      <w:color w:val="4f81bd" w:themeColor="accent1"/>
      <w:sz w:val="18"/>
      <w:szCs w:val="18"/>
    </w:rPr>
  </w:style>
  <w:style w:type="character" w:styleId="47">
    <w:name w:val="Caption Char"/>
    <w:basedOn w:val="46"/>
    <w:link w:val="44"/>
    <w:uiPriority w:val="99"/>
    <w:pPr>
      <w:pBdr/>
      <w:spacing/>
      <w:ind/>
    </w:pPr>
  </w:style>
  <w:style w:type="table" w:styleId="48">
    <w:name w:val="Table Grid"/>
    <w:basedOn w:val="32"/>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Table Grid Light"/>
    <w:basedOn w:val="3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Plain Table 1"/>
    <w:basedOn w:val="3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Plain Table 2"/>
    <w:basedOn w:val="3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Plain Table 3"/>
    <w:basedOn w:val="3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Plain Table 4"/>
    <w:basedOn w:val="3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Plain Table 5"/>
    <w:basedOn w:val="3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1 Light"/>
    <w:basedOn w:val="3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6">
    <w:name w:val="Grid Table 1 Light - Accent 1"/>
    <w:basedOn w:val="3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7">
    <w:name w:val="Grid Table 1 Light - Accent 2"/>
    <w:basedOn w:val="3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8">
    <w:name w:val="Grid Table 1 Light - Accent 3"/>
    <w:basedOn w:val="3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9">
    <w:name w:val="Grid Table 1 Light - Accent 4"/>
    <w:basedOn w:val="3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0">
    <w:name w:val="Grid Table 1 Light - Accent 5"/>
    <w:basedOn w:val="3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1 Light - Accent 6"/>
    <w:basedOn w:val="3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2"/>
    <w:basedOn w:val="3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2 - Accent 1"/>
    <w:basedOn w:val="3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2 - Accent 2"/>
    <w:basedOn w:val="3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2 - Accent 3"/>
    <w:basedOn w:val="3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2 - Accent 4"/>
    <w:basedOn w:val="3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2 - Accent 5"/>
    <w:basedOn w:val="3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Grid Table 2 - Accent 6"/>
    <w:basedOn w:val="3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Grid Table 3"/>
    <w:basedOn w:val="3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Grid Table 3 - Accent 1"/>
    <w:basedOn w:val="3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Grid Table 3 - Accent 2"/>
    <w:basedOn w:val="3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Grid Table 3 - Accent 3"/>
    <w:basedOn w:val="3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Grid Table 3 - Accent 4"/>
    <w:basedOn w:val="3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Grid Table 3 - Accent 5"/>
    <w:basedOn w:val="3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Grid Table 3 - Accent 6"/>
    <w:basedOn w:val="3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Grid Table 4"/>
    <w:basedOn w:val="3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Grid Table 4 - Accent 1"/>
    <w:basedOn w:val="3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Grid Table 4 - Accent 2"/>
    <w:basedOn w:val="3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Grid Table 4 - Accent 3"/>
    <w:basedOn w:val="3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Grid Table 4 - Accent 4"/>
    <w:basedOn w:val="3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Grid Table 4 - Accent 5"/>
    <w:basedOn w:val="3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Grid Table 4 - Accent 6"/>
    <w:basedOn w:val="3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Grid Table 5 Dark"/>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Grid Table 5 Dark- Accent 1"/>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Grid Table 5 Dark - Accent 2"/>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Grid Table 5 Dark - Accent 3"/>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Grid Table 5 Dark- Accent 4"/>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Grid Table 5 Dark - Accent 5"/>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Grid Table 5 Dark - Accent 6"/>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Grid Table 6 Colorful"/>
    <w:basedOn w:val="3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1">
    <w:name w:val="Grid Table 6 Colorful - Accent 1"/>
    <w:basedOn w:val="3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2">
    <w:name w:val="Grid Table 6 Colorful - Accent 2"/>
    <w:basedOn w:val="3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3">
    <w:name w:val="Grid Table 6 Colorful - Accent 3"/>
    <w:basedOn w:val="3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4">
    <w:name w:val="Grid Table 6 Colorful - Accent 4"/>
    <w:basedOn w:val="3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5">
    <w:name w:val="Grid Table 6 Colorful - Accent 5"/>
    <w:basedOn w:val="3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6">
    <w:name w:val="Grid Table 6 Colorful - Accent 6"/>
    <w:basedOn w:val="3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7">
    <w:name w:val="Grid Table 7 Colorful"/>
    <w:basedOn w:val="3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
    <w:name w:val="Grid Table 7 Colorful - Accent 1"/>
    <w:basedOn w:val="3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
    <w:name w:val="Grid Table 7 Colorful - Accent 2"/>
    <w:basedOn w:val="3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
    <w:name w:val="Grid Table 7 Colorful - Accent 3"/>
    <w:basedOn w:val="3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
    <w:name w:val="Grid Table 7 Colorful - Accent 4"/>
    <w:basedOn w:val="3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
    <w:name w:val="Grid Table 7 Colorful - Accent 5"/>
    <w:basedOn w:val="3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Grid Table 7 Colorful - Accent 6"/>
    <w:basedOn w:val="3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1 Light"/>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1 Light - Accent 1"/>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1 Light - Accent 2"/>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1 Light - Accent 3"/>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1 Light - Accent 4"/>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1 Light - Accent 5"/>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1 Light - Accent 6"/>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2"/>
    <w:basedOn w:val="3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
    <w:name w:val="List Table 2 - Accent 1"/>
    <w:basedOn w:val="3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
    <w:name w:val="List Table 2 - Accent 2"/>
    <w:basedOn w:val="3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
    <w:name w:val="List Table 2 - Accent 3"/>
    <w:basedOn w:val="3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
    <w:name w:val="List Table 2 - Accent 4"/>
    <w:basedOn w:val="3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
    <w:name w:val="List Table 2 - Accent 5"/>
    <w:basedOn w:val="3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st Table 2 - Accent 6"/>
    <w:basedOn w:val="3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st Table 3"/>
    <w:basedOn w:val="3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st Table 3 - Accent 1"/>
    <w:basedOn w:val="3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st Table 3 - Accent 2"/>
    <w:basedOn w:val="3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st Table 3 - Accent 3"/>
    <w:basedOn w:val="3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st Table 3 - Accent 4"/>
    <w:basedOn w:val="3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st Table 3 - Accent 5"/>
    <w:basedOn w:val="3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List Table 3 - Accent 6"/>
    <w:basedOn w:val="3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List Table 4"/>
    <w:basedOn w:val="3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List Table 4 - Accent 1"/>
    <w:basedOn w:val="3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List Table 4 - Accent 2"/>
    <w:basedOn w:val="3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List Table 4 - Accent 3"/>
    <w:basedOn w:val="3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List Table 4 - Accent 4"/>
    <w:basedOn w:val="3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List Table 4 - Accent 5"/>
    <w:basedOn w:val="3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List Table 4 - Accent 6"/>
    <w:basedOn w:val="3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List Table 5 Dark"/>
    <w:basedOn w:val="3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3">
    <w:name w:val="List Table 5 Dark - Accent 1"/>
    <w:basedOn w:val="3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
    <w:name w:val="List Table 5 Dark - Accent 2"/>
    <w:basedOn w:val="3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5">
    <w:name w:val="List Table 5 Dark - Accent 3"/>
    <w:basedOn w:val="3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6">
    <w:name w:val="List Table 5 Dark - Accent 4"/>
    <w:basedOn w:val="3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7">
    <w:name w:val="List Table 5 Dark - Accent 5"/>
    <w:basedOn w:val="3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8">
    <w:name w:val="List Table 5 Dark - Accent 6"/>
    <w:basedOn w:val="3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9">
    <w:name w:val="List Table 6 Colorful"/>
    <w:basedOn w:val="3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
    <w:name w:val="List Table 6 Colorful - Accent 1"/>
    <w:basedOn w:val="3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
    <w:name w:val="List Table 6 Colorful - Accent 2"/>
    <w:basedOn w:val="3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
    <w:name w:val="List Table 6 Colorful - Accent 3"/>
    <w:basedOn w:val="3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3">
    <w:name w:val="List Table 6 Colorful - Accent 4"/>
    <w:basedOn w:val="3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
    <w:name w:val="List Table 6 Colorful - Accent 5"/>
    <w:basedOn w:val="3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
    <w:name w:val="List Table 6 Colorful - Accent 6"/>
    <w:basedOn w:val="3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
    <w:name w:val="List Table 7 Colorful"/>
    <w:basedOn w:val="3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47">
    <w:name w:val="List Table 7 Colorful - Accent 1"/>
    <w:basedOn w:val="3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148">
    <w:name w:val="List Table 7 Colorful - Accent 2"/>
    <w:basedOn w:val="3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149">
    <w:name w:val="List Table 7 Colorful - Accent 3"/>
    <w:basedOn w:val="3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150">
    <w:name w:val="List Table 7 Colorful - Accent 4"/>
    <w:basedOn w:val="3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151">
    <w:name w:val="List Table 7 Colorful - Accent 5"/>
    <w:basedOn w:val="3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152">
    <w:name w:val="List Table 7 Colorful - Accent 6"/>
    <w:basedOn w:val="3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153">
    <w:name w:val="Lined - Accent"/>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
    <w:name w:val="Lined - Accent 1"/>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
    <w:name w:val="Lined - Accent 2"/>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
    <w:name w:val="Lined - Accent 3"/>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
    <w:name w:val="Lined - Accent 4"/>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
    <w:name w:val="Lined - Accent 5"/>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
    <w:name w:val="Lined - Accent 6"/>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
    <w:name w:val="Bordered &amp; Lined - Accent"/>
    <w:basedOn w:val="3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
    <w:name w:val="Bordered &amp; Lined - Accent 1"/>
    <w:basedOn w:val="3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
    <w:name w:val="Bordered &amp; Lined - Accent 2"/>
    <w:basedOn w:val="3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
    <w:name w:val="Bordered &amp; Lined - Accent 3"/>
    <w:basedOn w:val="3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
    <w:name w:val="Bordered &amp; Lined - Accent 4"/>
    <w:basedOn w:val="3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
    <w:name w:val="Bordered &amp; Lined - Accent 5"/>
    <w:basedOn w:val="3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
    <w:name w:val="Bordered &amp; Lined - Accent 6"/>
    <w:basedOn w:val="3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
    <w:name w:val="Bordered"/>
    <w:basedOn w:val="3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
    <w:name w:val="Bordered - Accent 1"/>
    <w:basedOn w:val="3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
    <w:name w:val="Bordered - Accent 2"/>
    <w:basedOn w:val="3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
    <w:name w:val="Bordered - Accent 3"/>
    <w:basedOn w:val="3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
    <w:name w:val="Bordered - Accent 4"/>
    <w:basedOn w:val="3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
    <w:name w:val="Bordered - Accent 5"/>
    <w:basedOn w:val="3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
    <w:name w:val="Bordered - Accent 6"/>
    <w:basedOn w:val="3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74">
    <w:name w:val="Hyperlink"/>
    <w:uiPriority w:val="99"/>
    <w:unhideWhenUsed/>
    <w:pPr>
      <w:pBdr/>
      <w:spacing/>
      <w:ind/>
    </w:pPr>
    <w:rPr>
      <w:color w:val="0000ff" w:themeColor="hyperlink"/>
      <w:u w:val="single"/>
    </w:rPr>
  </w:style>
  <w:style w:type="paragraph" w:styleId="175">
    <w:name w:val="footnote text"/>
    <w:basedOn w:val="859"/>
    <w:link w:val="176"/>
    <w:uiPriority w:val="99"/>
    <w:semiHidden/>
    <w:unhideWhenUsed/>
    <w:pPr>
      <w:pBdr/>
      <w:spacing w:after="40" w:line="240" w:lineRule="auto"/>
      <w:ind/>
    </w:pPr>
    <w:rPr>
      <w:sz w:val="18"/>
    </w:rPr>
  </w:style>
  <w:style w:type="character" w:styleId="176">
    <w:name w:val="Footnote Text Char"/>
    <w:link w:val="175"/>
    <w:uiPriority w:val="99"/>
    <w:pPr>
      <w:pBdr/>
      <w:spacing/>
      <w:ind/>
    </w:pPr>
    <w:rPr>
      <w:sz w:val="18"/>
    </w:rPr>
  </w:style>
  <w:style w:type="character" w:styleId="177">
    <w:name w:val="footnote reference"/>
    <w:basedOn w:val="11"/>
    <w:uiPriority w:val="99"/>
    <w:unhideWhenUsed/>
    <w:pPr>
      <w:pBdr/>
      <w:spacing/>
      <w:ind/>
    </w:pPr>
    <w:rPr>
      <w:vertAlign w:val="superscript"/>
    </w:rPr>
  </w:style>
  <w:style w:type="paragraph" w:styleId="178">
    <w:name w:val="endnote text"/>
    <w:basedOn w:val="859"/>
    <w:link w:val="179"/>
    <w:uiPriority w:val="99"/>
    <w:semiHidden/>
    <w:unhideWhenUsed/>
    <w:pPr>
      <w:pBdr/>
      <w:spacing w:after="0" w:line="240" w:lineRule="auto"/>
      <w:ind/>
    </w:pPr>
    <w:rPr>
      <w:sz w:val="20"/>
    </w:rPr>
  </w:style>
  <w:style w:type="character" w:styleId="179">
    <w:name w:val="Endnote Text Char"/>
    <w:link w:val="178"/>
    <w:uiPriority w:val="99"/>
    <w:pPr>
      <w:pBdr/>
      <w:spacing/>
      <w:ind/>
    </w:pPr>
    <w:rPr>
      <w:sz w:val="20"/>
    </w:rPr>
  </w:style>
  <w:style w:type="character" w:styleId="180">
    <w:name w:val="endnote reference"/>
    <w:basedOn w:val="11"/>
    <w:uiPriority w:val="99"/>
    <w:semiHidden/>
    <w:unhideWhenUsed/>
    <w:pPr>
      <w:pBdr/>
      <w:spacing/>
      <w:ind/>
    </w:pPr>
    <w:rPr>
      <w:vertAlign w:val="superscript"/>
    </w:rPr>
  </w:style>
  <w:style w:type="paragraph" w:styleId="181">
    <w:name w:val="toc 1"/>
    <w:basedOn w:val="859"/>
    <w:next w:val="859"/>
    <w:uiPriority w:val="39"/>
    <w:unhideWhenUsed/>
    <w:pPr>
      <w:pBdr/>
      <w:spacing w:after="57"/>
      <w:ind w:right="0" w:firstLine="0" w:left="0"/>
    </w:pPr>
  </w:style>
  <w:style w:type="paragraph" w:styleId="182">
    <w:name w:val="toc 2"/>
    <w:basedOn w:val="859"/>
    <w:next w:val="859"/>
    <w:uiPriority w:val="39"/>
    <w:unhideWhenUsed/>
    <w:pPr>
      <w:pBdr/>
      <w:spacing w:after="57"/>
      <w:ind w:right="0" w:firstLine="0" w:left="283"/>
    </w:pPr>
  </w:style>
  <w:style w:type="paragraph" w:styleId="183">
    <w:name w:val="toc 3"/>
    <w:basedOn w:val="859"/>
    <w:next w:val="859"/>
    <w:uiPriority w:val="39"/>
    <w:unhideWhenUsed/>
    <w:pPr>
      <w:pBdr/>
      <w:spacing w:after="57"/>
      <w:ind w:right="0" w:firstLine="0" w:left="567"/>
    </w:pPr>
  </w:style>
  <w:style w:type="paragraph" w:styleId="184">
    <w:name w:val="toc 4"/>
    <w:basedOn w:val="859"/>
    <w:next w:val="859"/>
    <w:uiPriority w:val="39"/>
    <w:unhideWhenUsed/>
    <w:pPr>
      <w:pBdr/>
      <w:spacing w:after="57"/>
      <w:ind w:right="0" w:firstLine="0" w:left="850"/>
    </w:pPr>
  </w:style>
  <w:style w:type="paragraph" w:styleId="185">
    <w:name w:val="toc 5"/>
    <w:basedOn w:val="859"/>
    <w:next w:val="859"/>
    <w:uiPriority w:val="39"/>
    <w:unhideWhenUsed/>
    <w:pPr>
      <w:pBdr/>
      <w:spacing w:after="57"/>
      <w:ind w:right="0" w:firstLine="0" w:left="1134"/>
    </w:pPr>
  </w:style>
  <w:style w:type="paragraph" w:styleId="186">
    <w:name w:val="toc 6"/>
    <w:basedOn w:val="859"/>
    <w:next w:val="859"/>
    <w:uiPriority w:val="39"/>
    <w:unhideWhenUsed/>
    <w:pPr>
      <w:pBdr/>
      <w:spacing w:after="57"/>
      <w:ind w:right="0" w:firstLine="0" w:left="1417"/>
    </w:pPr>
  </w:style>
  <w:style w:type="paragraph" w:styleId="187">
    <w:name w:val="toc 7"/>
    <w:basedOn w:val="859"/>
    <w:next w:val="859"/>
    <w:uiPriority w:val="39"/>
    <w:unhideWhenUsed/>
    <w:pPr>
      <w:pBdr/>
      <w:spacing w:after="57"/>
      <w:ind w:right="0" w:firstLine="0" w:left="1701"/>
    </w:pPr>
  </w:style>
  <w:style w:type="paragraph" w:styleId="188">
    <w:name w:val="toc 8"/>
    <w:basedOn w:val="859"/>
    <w:next w:val="859"/>
    <w:uiPriority w:val="39"/>
    <w:unhideWhenUsed/>
    <w:pPr>
      <w:pBdr/>
      <w:spacing w:after="57"/>
      <w:ind w:right="0" w:firstLine="0" w:left="1984"/>
    </w:pPr>
  </w:style>
  <w:style w:type="paragraph" w:styleId="189">
    <w:name w:val="toc 9"/>
    <w:basedOn w:val="859"/>
    <w:next w:val="859"/>
    <w:uiPriority w:val="39"/>
    <w:unhideWhenUsed/>
    <w:pPr>
      <w:pBdr/>
      <w:spacing w:after="57"/>
      <w:ind w:right="0" w:firstLine="0" w:left="2268"/>
    </w:pPr>
  </w:style>
  <w:style w:type="paragraph" w:styleId="190">
    <w:name w:val="TOC Heading"/>
    <w:uiPriority w:val="39"/>
    <w:unhideWhenUsed/>
    <w:pPr>
      <w:pBdr/>
      <w:spacing/>
      <w:ind/>
    </w:pPr>
  </w:style>
  <w:style w:type="paragraph" w:styleId="191">
    <w:name w:val="table of figures"/>
    <w:basedOn w:val="859"/>
    <w:next w:val="859"/>
    <w:uiPriority w:val="99"/>
    <w:unhideWhenUsed/>
    <w:pPr>
      <w:pBdr/>
      <w:spacing w:after="0" w:afterAutospacing="0"/>
      <w:ind/>
    </w:pPr>
  </w:style>
  <w:style w:type="paragraph" w:styleId="859" w:default="1">
    <w:name w:val="Normal"/>
    <w:next w:val="859"/>
    <w:link w:val="859"/>
    <w:qFormat/>
    <w:pPr>
      <w:widowControl w:val="false"/>
      <w:pBdr/>
      <w:spacing/>
      <w:ind/>
      <w:jc w:val="both"/>
    </w:pPr>
    <w:rPr>
      <w:sz w:val="21"/>
      <w:szCs w:val="24"/>
      <w:lang w:val="en-US" w:eastAsia="zh-CN" w:bidi="ar-SA"/>
    </w:rPr>
  </w:style>
  <w:style w:type="character" w:styleId="860">
    <w:name w:val="默认段落字体"/>
    <w:next w:val="860"/>
    <w:link w:val="859"/>
    <w:semiHidden/>
    <w:pPr>
      <w:pBdr/>
      <w:spacing/>
      <w:ind/>
    </w:pPr>
  </w:style>
  <w:style w:type="table" w:styleId="861">
    <w:name w:val="普通表格"/>
    <w:next w:val="861"/>
    <w:link w:val="859"/>
    <w:semiHidden/>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62">
    <w:name w:val="批注框文本"/>
    <w:basedOn w:val="859"/>
    <w:next w:val="862"/>
    <w:link w:val="863"/>
    <w:pPr>
      <w:pBdr/>
      <w:spacing/>
      <w:ind/>
    </w:pPr>
    <w:rPr>
      <w:sz w:val="18"/>
      <w:szCs w:val="18"/>
    </w:rPr>
  </w:style>
  <w:style w:type="character" w:styleId="863">
    <w:name w:val="批注框文本 Char"/>
    <w:next w:val="863"/>
    <w:link w:val="862"/>
    <w:pPr>
      <w:pBdr/>
      <w:spacing/>
      <w:ind/>
    </w:pPr>
    <w:rPr>
      <w:sz w:val="18"/>
      <w:szCs w:val="18"/>
    </w:rPr>
  </w:style>
  <w:style w:type="paragraph" w:styleId="864">
    <w:name w:val="页脚"/>
    <w:basedOn w:val="859"/>
    <w:next w:val="864"/>
    <w:link w:val="859"/>
    <w:pPr>
      <w:pBdr/>
      <w:tabs>
        <w:tab w:val="center" w:leader="none" w:pos="4153"/>
        <w:tab w:val="right" w:leader="none" w:pos="8306"/>
      </w:tabs>
      <w:spacing/>
      <w:ind/>
      <w:jc w:val="left"/>
    </w:pPr>
    <w:rPr>
      <w:sz w:val="18"/>
      <w:szCs w:val="18"/>
    </w:rPr>
  </w:style>
  <w:style w:type="paragraph" w:styleId="865">
    <w:name w:val="页眉"/>
    <w:basedOn w:val="859"/>
    <w:next w:val="865"/>
    <w:link w:val="866"/>
    <w:pPr>
      <w:pBdr>
        <w:bottom w:val="single" w:color="000000" w:sz="6" w:space="1"/>
      </w:pBdr>
      <w:tabs>
        <w:tab w:val="center" w:leader="none" w:pos="4153"/>
        <w:tab w:val="right" w:leader="none" w:pos="8306"/>
      </w:tabs>
      <w:spacing/>
      <w:ind/>
      <w:jc w:val="center"/>
    </w:pPr>
    <w:rPr>
      <w:sz w:val="18"/>
      <w:szCs w:val="18"/>
    </w:rPr>
  </w:style>
  <w:style w:type="character" w:styleId="866">
    <w:name w:val="页眉 Char"/>
    <w:next w:val="866"/>
    <w:link w:val="865"/>
    <w:pPr>
      <w:pBdr/>
      <w:spacing/>
      <w:ind/>
    </w:pPr>
    <w:rPr>
      <w:sz w:val="18"/>
      <w:szCs w:val="18"/>
    </w:rPr>
  </w:style>
  <w:style w:type="character" w:styleId="867">
    <w:name w:val="页码"/>
    <w:basedOn w:val="860"/>
    <w:next w:val="867"/>
    <w:link w:val="859"/>
    <w:pPr>
      <w:pBdr/>
      <w:spacing/>
      <w:ind/>
    </w:pPr>
  </w:style>
  <w:style w:type="character" w:styleId="868">
    <w:name w:val="font01"/>
    <w:basedOn w:val="860"/>
    <w:next w:val="868"/>
    <w:link w:val="859"/>
    <w:pPr>
      <w:pBdr/>
      <w:spacing/>
      <w:ind/>
    </w:pPr>
    <w:rPr>
      <w:rFonts w:hint="eastAsia" w:ascii="宋体" w:hAnsi="宋体" w:eastAsia="宋体" w:cs="宋体"/>
      <w:i w:val="0"/>
      <w:color w:val="000000"/>
      <w:sz w:val="24"/>
      <w:szCs w:val="24"/>
      <w:u w:val="none"/>
    </w:rPr>
  </w:style>
  <w:style w:type="paragraph" w:styleId="869">
    <w:name w:val=" Char"/>
    <w:basedOn w:val="859"/>
    <w:next w:val="869"/>
    <w:link w:val="859"/>
    <w:pPr>
      <w:widowControl w:val="true"/>
      <w:pBdr/>
      <w:spacing/>
      <w:ind/>
      <w:jc w:val="left"/>
    </w:pPr>
    <w:rPr>
      <w:rFonts w:ascii="Verdana" w:hAnsi="Verdana" w:eastAsia="仿宋_GB2312"/>
      <w:sz w:val="28"/>
      <w:szCs w:val="20"/>
      <w:lang w:eastAsia="en-US"/>
    </w:rPr>
  </w:style>
  <w:style w:type="paragraph" w:styleId="870">
    <w:name w:val="Body text|1"/>
    <w:basedOn w:val="859"/>
    <w:next w:val="870"/>
    <w:link w:val="859"/>
    <w:qFormat/>
    <w:pPr>
      <w:pBdr/>
      <w:spacing w:line="403" w:lineRule="auto"/>
      <w:ind w:firstLine="400"/>
    </w:pPr>
    <w:rPr>
      <w:rFonts w:ascii="宋体" w:hAnsi="宋体" w:cs="宋体"/>
      <w:color w:val="494749"/>
      <w:sz w:val="28"/>
      <w:szCs w:val="28"/>
      <w:lang w:val="zh-TW" w:eastAsia="zh-TW" w:bidi="zh-TW"/>
    </w:rPr>
  </w:style>
  <w:style w:type="paragraph" w:styleId="871">
    <w:name w:val="Header or footer|2"/>
    <w:basedOn w:val="859"/>
    <w:next w:val="871"/>
    <w:link w:val="859"/>
    <w:qFormat/>
    <w:pPr>
      <w:pBdr/>
      <w:spacing/>
      <w:ind/>
    </w:pPr>
    <w:rPr>
      <w:rFonts w:ascii="Calibri" w:hAnsi="Calibri"/>
      <w:sz w:val="20"/>
      <w:szCs w:val="20"/>
      <w:lang w:val="zh-TW" w:eastAsia="zh-TW" w:bidi="zh-TW"/>
    </w:rPr>
  </w:style>
  <w:style w:type="character" w:styleId="872">
    <w:name w:val="font11"/>
    <w:basedOn w:val="860"/>
    <w:next w:val="872"/>
    <w:link w:val="859"/>
    <w:pPr>
      <w:pBdr/>
      <w:spacing/>
      <w:ind/>
    </w:pPr>
    <w:rPr>
      <w:rFonts w:hint="eastAsia" w:ascii="宋体" w:hAnsi="宋体" w:eastAsia="宋体" w:cs="宋体"/>
      <w:i w:val="0"/>
      <w:iCs w:val="0"/>
      <w:color w:val="000000"/>
      <w:sz w:val="24"/>
      <w:szCs w:val="24"/>
      <w:u w:val="none"/>
    </w:rPr>
  </w:style>
  <w:style w:type="character" w:styleId="873">
    <w:name w:val="font41"/>
    <w:basedOn w:val="860"/>
    <w:next w:val="873"/>
    <w:link w:val="859"/>
    <w:pPr>
      <w:pBdr/>
      <w:spacing/>
      <w:ind/>
    </w:pPr>
    <w:rPr>
      <w:rFonts w:hint="eastAsia" w:ascii="宋体" w:hAnsi="宋体" w:eastAsia="宋体" w:cs="宋体"/>
      <w:i w:val="0"/>
      <w:iCs w:val="0"/>
      <w:color w:val="000000"/>
      <w:sz w:val="24"/>
      <w:szCs w:val="24"/>
      <w:u w:val="none"/>
    </w:rPr>
  </w:style>
  <w:style w:type="character" w:styleId="874">
    <w:name w:val="font31"/>
    <w:basedOn w:val="860"/>
    <w:next w:val="874"/>
    <w:link w:val="859"/>
    <w:pPr>
      <w:pBdr/>
      <w:spacing/>
      <w:ind/>
    </w:pPr>
    <w:rPr>
      <w:rFonts w:hint="eastAsia" w:ascii="宋体" w:hAnsi="宋体" w:eastAsia="宋体" w:cs="宋体"/>
      <w:i w:val="0"/>
      <w:iCs w:val="0"/>
      <w:color w:val="000000"/>
      <w:sz w:val="24"/>
      <w:szCs w:val="24"/>
      <w:u w:val="none"/>
    </w:rPr>
  </w:style>
  <w:style w:type="character" w:styleId="21752" w:default="1">
    <w:name w:val="Default Paragraph Font"/>
    <w:uiPriority w:val="1"/>
    <w:semiHidden/>
    <w:unhideWhenUsed/>
    <w:pPr>
      <w:pBdr/>
      <w:spacing/>
      <w:ind/>
    </w:pPr>
  </w:style>
  <w:style w:type="numbering" w:styleId="21753" w:default="1">
    <w:name w:val="No List"/>
    <w:uiPriority w:val="99"/>
    <w:semiHidden/>
    <w:unhideWhenUsed/>
    <w:pPr>
      <w:pBdr/>
      <w:spacing/>
      <w:ind/>
    </w:pPr>
  </w:style>
  <w:style w:type="table" w:styleId="21754"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footer" Target="footer7.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ONLYOFFICE/7.5.1.23</Application>
  <Company>Micro</Company>
  <DocSecurity>0</DocSecurity>
  <ScaleCrop>false</ScaleCrop>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len</dc:creator>
  <cp:lastModifiedBy>匿名</cp:lastModifiedBy>
  <cp:revision>9</cp:revision>
  <dcterms:created xsi:type="dcterms:W3CDTF">2014-08-22T16:46:00Z</dcterms:created>
  <dcterms:modified xsi:type="dcterms:W3CDTF">2026-02-25T01:07:22Z</dcterms:modified>
</cp:coreProperties>
</file>